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proofErr w:type="gramStart"/>
      <w:r w:rsidR="00180AC4" w:rsidRPr="004216EA">
        <w:rPr>
          <w:rFonts w:ascii="Avenir Next" w:hAnsi="Avenir Next" w:cs="Arial"/>
          <w:bCs/>
          <w:sz w:val="22"/>
          <w:szCs w:val="22"/>
          <w:lang w:val="en-GB"/>
        </w:rPr>
        <w:t>In order to</w:t>
      </w:r>
      <w:proofErr w:type="gramEnd"/>
      <w:r w:rsidR="00180AC4" w:rsidRPr="004216EA">
        <w:rPr>
          <w:rFonts w:ascii="Avenir Next" w:hAnsi="Avenir Next" w:cs="Arial"/>
          <w:bCs/>
          <w:sz w:val="22"/>
          <w:szCs w:val="22"/>
          <w:lang w:val="en-GB"/>
        </w:rPr>
        <w:t xml:space="preserve">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ED7FCE" w:rsidRDefault="002D2356" w:rsidP="008071D5">
      <w:pPr>
        <w:pStyle w:val="ListParagraph"/>
        <w:numPr>
          <w:ilvl w:val="0"/>
          <w:numId w:val="15"/>
        </w:numPr>
        <w:ind w:left="425" w:hanging="357"/>
        <w:jc w:val="both"/>
        <w:rPr>
          <w:rFonts w:ascii="Avenir Next" w:hAnsi="Avenir Next" w:cs="Arial"/>
          <w:sz w:val="22"/>
          <w:szCs w:val="22"/>
          <w:highlight w:val="yellow"/>
        </w:rPr>
      </w:pPr>
      <w:r w:rsidRPr="00ED7FCE">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ED7FCE">
        <w:rPr>
          <w:rFonts w:ascii="Avenir Next" w:hAnsi="Avenir Next" w:cs="Arial"/>
          <w:sz w:val="22"/>
          <w:szCs w:val="22"/>
          <w:highlight w:val="yellow"/>
          <w:vertAlign w:val="superscript"/>
        </w:rPr>
        <w:t>th</w:t>
      </w:r>
      <w:r w:rsidRPr="00ED7FCE">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BE0C06" w:rsidRDefault="002D2356" w:rsidP="008071D5">
      <w:pPr>
        <w:pStyle w:val="ListParagraph"/>
        <w:numPr>
          <w:ilvl w:val="0"/>
          <w:numId w:val="16"/>
        </w:numPr>
        <w:ind w:left="426"/>
        <w:jc w:val="both"/>
        <w:rPr>
          <w:rFonts w:ascii="Avenir Next" w:hAnsi="Avenir Next" w:cs="Arial"/>
          <w:sz w:val="22"/>
          <w:szCs w:val="22"/>
          <w:highlight w:val="yellow"/>
        </w:rPr>
      </w:pPr>
      <w:r w:rsidRPr="00BE0C06">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1D8C85A4"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40E98" w:rsidRDefault="002D2356" w:rsidP="008071D5">
      <w:pPr>
        <w:pStyle w:val="ListParagraph"/>
        <w:numPr>
          <w:ilvl w:val="0"/>
          <w:numId w:val="17"/>
        </w:numPr>
        <w:ind w:left="426"/>
        <w:jc w:val="both"/>
        <w:rPr>
          <w:rFonts w:ascii="Avenir Next" w:hAnsi="Avenir Next" w:cs="Arial"/>
          <w:sz w:val="22"/>
          <w:szCs w:val="22"/>
          <w:highlight w:val="yellow"/>
        </w:rPr>
      </w:pPr>
      <w:r w:rsidRPr="00A40E98">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w:t>
      </w:r>
      <w:proofErr w:type="gramStart"/>
      <w:r w:rsidRPr="00CC5ECB">
        <w:rPr>
          <w:rFonts w:ascii="Avenir Next" w:hAnsi="Avenir Next" w:cs="Arial"/>
          <w:sz w:val="22"/>
          <w:szCs w:val="22"/>
        </w:rPr>
        <w:t>exactly the same</w:t>
      </w:r>
      <w:proofErr w:type="gramEnd"/>
      <w:r w:rsidRPr="00CC5ECB">
        <w:rPr>
          <w:rFonts w:ascii="Avenir Next" w:hAnsi="Avenir Next" w:cs="Arial"/>
          <w:sz w:val="22"/>
          <w:szCs w:val="22"/>
        </w:rPr>
        <w:t xml:space="preserv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40E98" w:rsidRDefault="00466ED6" w:rsidP="008071D5">
      <w:pPr>
        <w:pStyle w:val="ListParagraph"/>
        <w:numPr>
          <w:ilvl w:val="0"/>
          <w:numId w:val="18"/>
        </w:numPr>
        <w:ind w:left="426"/>
        <w:jc w:val="both"/>
        <w:rPr>
          <w:rFonts w:ascii="Avenir Next" w:hAnsi="Avenir Next" w:cs="Arial"/>
          <w:sz w:val="22"/>
          <w:szCs w:val="22"/>
          <w:highlight w:val="yellow"/>
        </w:rPr>
      </w:pPr>
      <w:r w:rsidRPr="00A40E98">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A40E98" w:rsidRDefault="002D2356" w:rsidP="008071D5">
      <w:pPr>
        <w:pStyle w:val="ListParagraph"/>
        <w:numPr>
          <w:ilvl w:val="0"/>
          <w:numId w:val="19"/>
        </w:numPr>
        <w:ind w:left="425" w:hanging="357"/>
        <w:jc w:val="both"/>
        <w:rPr>
          <w:rFonts w:ascii="Avenir Next" w:hAnsi="Avenir Next" w:cs="Arial"/>
          <w:sz w:val="22"/>
          <w:szCs w:val="22"/>
          <w:highlight w:val="yellow"/>
        </w:rPr>
      </w:pPr>
      <w:r w:rsidRPr="00A40E98">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w:t>
      </w:r>
      <w:proofErr w:type="gramStart"/>
      <w:r w:rsidRPr="004216EA">
        <w:rPr>
          <w:rFonts w:ascii="Avenir Next" w:hAnsi="Avenir Next" w:cs="Arial"/>
          <w:sz w:val="22"/>
          <w:szCs w:val="22"/>
          <w:lang w:val="en-GB"/>
        </w:rPr>
        <w:t>particular country</w:t>
      </w:r>
      <w:proofErr w:type="gramEnd"/>
      <w:r w:rsidRPr="004216EA">
        <w:rPr>
          <w:rFonts w:ascii="Avenir Next" w:hAnsi="Avenir Next" w:cs="Arial"/>
          <w:sz w:val="22"/>
          <w:szCs w:val="22"/>
          <w:lang w:val="en-GB"/>
        </w:rPr>
        <w:t xml:space="preserve">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C552BE">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611704"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611704">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611704">
        <w:rPr>
          <w:rFonts w:ascii="Avenir Next" w:eastAsiaTheme="minorHAnsi" w:hAnsi="Avenir Next" w:cs="Arial"/>
          <w:sz w:val="22"/>
          <w:szCs w:val="22"/>
          <w:highlight w:val="yellow"/>
          <w:lang w:val="en-GB"/>
        </w:rPr>
        <w:t xml:space="preserve"> </w:t>
      </w:r>
      <w:r w:rsidRPr="00611704">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611704"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611704">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611704" w:rsidRDefault="00F5239B" w:rsidP="008071D5">
      <w:pPr>
        <w:pStyle w:val="ListParagraph"/>
        <w:numPr>
          <w:ilvl w:val="0"/>
          <w:numId w:val="23"/>
        </w:numPr>
        <w:ind w:left="426"/>
        <w:jc w:val="both"/>
        <w:rPr>
          <w:rFonts w:ascii="Avenir Next" w:hAnsi="Avenir Next" w:cs="Arial"/>
          <w:sz w:val="22"/>
          <w:szCs w:val="22"/>
          <w:highlight w:val="yellow"/>
        </w:rPr>
      </w:pPr>
      <w:r w:rsidRPr="00611704">
        <w:rPr>
          <w:rFonts w:ascii="Avenir Next" w:hAnsi="Avenir Next" w:cs="Arial"/>
          <w:sz w:val="22"/>
          <w:szCs w:val="22"/>
          <w:highlight w:val="yellow"/>
        </w:rPr>
        <w:t xml:space="preserve">This statement is true because </w:t>
      </w:r>
      <w:r w:rsidR="007B5180" w:rsidRPr="00611704">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611704" w:rsidRDefault="009355DB" w:rsidP="008071D5">
      <w:pPr>
        <w:pStyle w:val="ListParagraph"/>
        <w:numPr>
          <w:ilvl w:val="0"/>
          <w:numId w:val="24"/>
        </w:numPr>
        <w:ind w:left="426"/>
        <w:jc w:val="both"/>
        <w:rPr>
          <w:rFonts w:ascii="Avenir Next" w:hAnsi="Avenir Next" w:cs="Arial"/>
          <w:sz w:val="22"/>
          <w:szCs w:val="22"/>
          <w:highlight w:val="yellow"/>
        </w:rPr>
      </w:pPr>
      <w:r w:rsidRPr="00611704">
        <w:rPr>
          <w:rFonts w:ascii="Avenir Next" w:hAnsi="Avenir Next" w:cs="Arial"/>
          <w:sz w:val="22"/>
          <w:szCs w:val="22"/>
          <w:highlight w:val="yellow"/>
        </w:rPr>
        <w:t xml:space="preserve">This statement is true because </w:t>
      </w:r>
      <w:r w:rsidR="005C4FF2" w:rsidRPr="00611704">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0B17CF2F" w14:textId="28BFEAE3" w:rsidR="0081547D" w:rsidRDefault="003162BE" w:rsidP="0066407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Historical </w:t>
      </w:r>
      <w:r w:rsidR="00D50986">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oots of various insolvency law systems in African jurisdictions are a result of the</w:t>
      </w:r>
      <w:r w:rsidR="0066407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legal system which </w:t>
      </w:r>
      <w:r w:rsidR="00D50986">
        <w:rPr>
          <w:rFonts w:ascii="Avenir Next" w:hAnsi="Avenir Next" w:cs="Arial"/>
          <w:color w:val="808080" w:themeColor="background1" w:themeShade="80"/>
          <w:sz w:val="22"/>
          <w:szCs w:val="22"/>
          <w:lang w:val="en-GB"/>
        </w:rPr>
        <w:t>predisposed</w:t>
      </w:r>
      <w:r>
        <w:rPr>
          <w:rFonts w:ascii="Avenir Next" w:hAnsi="Avenir Next" w:cs="Arial"/>
          <w:color w:val="808080" w:themeColor="background1" w:themeShade="80"/>
          <w:sz w:val="22"/>
          <w:szCs w:val="22"/>
          <w:lang w:val="en-GB"/>
        </w:rPr>
        <w:t xml:space="preserve"> their domestic laws which are in turn a result of their colonial past and </w:t>
      </w:r>
      <w:r>
        <w:rPr>
          <w:rFonts w:ascii="Avenir Next" w:hAnsi="Avenir Next" w:cs="Arial"/>
          <w:color w:val="808080" w:themeColor="background1" w:themeShade="80"/>
          <w:sz w:val="22"/>
          <w:szCs w:val="22"/>
          <w:lang w:val="en-GB"/>
        </w:rPr>
        <w:lastRenderedPageBreak/>
        <w:t>occupation of colonialists who influenced the legal systems</w:t>
      </w:r>
      <w:r w:rsidR="0066407C">
        <w:rPr>
          <w:rStyle w:val="FootnoteReferenc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 An attempt has been made to categorise them as under:</w:t>
      </w:r>
    </w:p>
    <w:p w14:paraId="1C4AB05C" w14:textId="65A2C434" w:rsidR="003162BE" w:rsidRDefault="003162BE" w:rsidP="003162BE">
      <w:pPr>
        <w:pStyle w:val="ListParagraph"/>
        <w:numPr>
          <w:ilvl w:val="0"/>
          <w:numId w:val="25"/>
        </w:numPr>
        <w:jc w:val="both"/>
        <w:rPr>
          <w:rFonts w:ascii="Avenir Next" w:hAnsi="Avenir Next" w:cs="Arial"/>
          <w:color w:val="808080" w:themeColor="background1" w:themeShade="80"/>
          <w:sz w:val="22"/>
          <w:szCs w:val="22"/>
          <w:lang w:val="en-GB"/>
        </w:rPr>
      </w:pPr>
      <w:r w:rsidRPr="00D50986">
        <w:rPr>
          <w:rFonts w:ascii="Avenir Next" w:hAnsi="Avenir Next" w:cs="Arial"/>
          <w:color w:val="808080" w:themeColor="background1" w:themeShade="80"/>
          <w:sz w:val="22"/>
          <w:szCs w:val="22"/>
          <w:u w:val="single"/>
          <w:lang w:val="en-GB"/>
        </w:rPr>
        <w:t>Common Law legal systems</w:t>
      </w:r>
      <w:r w:rsidR="0066407C">
        <w:rPr>
          <w:rFonts w:ascii="Avenir Next" w:hAnsi="Avenir Next" w:cs="Arial"/>
          <w:color w:val="808080" w:themeColor="background1" w:themeShade="80"/>
          <w:sz w:val="22"/>
          <w:szCs w:val="22"/>
          <w:lang w:val="en-GB"/>
        </w:rPr>
        <w:t>: Ghana, Kenya, Malavi, Uganda</w:t>
      </w:r>
      <w:r w:rsidR="00D50986">
        <w:rPr>
          <w:rFonts w:ascii="Avenir Next" w:hAnsi="Avenir Next" w:cs="Arial"/>
          <w:color w:val="808080" w:themeColor="background1" w:themeShade="80"/>
          <w:sz w:val="22"/>
          <w:szCs w:val="22"/>
          <w:lang w:val="en-GB"/>
        </w:rPr>
        <w:t>;</w:t>
      </w:r>
    </w:p>
    <w:p w14:paraId="341F496C" w14:textId="304DF282" w:rsidR="0066407C" w:rsidRDefault="0066407C" w:rsidP="003162BE">
      <w:pPr>
        <w:pStyle w:val="ListParagraph"/>
        <w:numPr>
          <w:ilvl w:val="0"/>
          <w:numId w:val="25"/>
        </w:numPr>
        <w:jc w:val="both"/>
        <w:rPr>
          <w:rFonts w:ascii="Avenir Next" w:hAnsi="Avenir Next" w:cs="Arial"/>
          <w:color w:val="808080" w:themeColor="background1" w:themeShade="80"/>
          <w:sz w:val="22"/>
          <w:szCs w:val="22"/>
          <w:lang w:val="en-GB"/>
        </w:rPr>
      </w:pPr>
      <w:r w:rsidRPr="00D50986">
        <w:rPr>
          <w:rFonts w:ascii="Avenir Next" w:hAnsi="Avenir Next" w:cs="Arial"/>
          <w:color w:val="808080" w:themeColor="background1" w:themeShade="80"/>
          <w:sz w:val="22"/>
          <w:szCs w:val="22"/>
          <w:u w:val="single"/>
          <w:lang w:val="en-GB"/>
        </w:rPr>
        <w:t>Civil Law legal system (Roman, Germanic, French, Belgian etc.)</w:t>
      </w:r>
      <w:r>
        <w:rPr>
          <w:rFonts w:ascii="Avenir Next" w:hAnsi="Avenir Next" w:cs="Arial"/>
          <w:color w:val="808080" w:themeColor="background1" w:themeShade="80"/>
          <w:sz w:val="22"/>
          <w:szCs w:val="22"/>
          <w:lang w:val="en-GB"/>
        </w:rPr>
        <w:t xml:space="preserve">: Angola, Burkina Faso, Cote D’Ivoire, </w:t>
      </w:r>
      <w:r w:rsidR="005D75E8">
        <w:rPr>
          <w:rFonts w:ascii="Avenir Next" w:hAnsi="Avenir Next" w:cs="Arial"/>
          <w:color w:val="808080" w:themeColor="background1" w:themeShade="80"/>
          <w:sz w:val="22"/>
          <w:szCs w:val="22"/>
          <w:lang w:val="en-GB"/>
        </w:rPr>
        <w:t>Congo, Lesotho</w:t>
      </w:r>
      <w:r>
        <w:rPr>
          <w:rFonts w:ascii="Avenir Next" w:hAnsi="Avenir Next" w:cs="Arial"/>
          <w:color w:val="808080" w:themeColor="background1" w:themeShade="80"/>
          <w:sz w:val="22"/>
          <w:szCs w:val="22"/>
          <w:lang w:val="en-GB"/>
        </w:rPr>
        <w:t>, Mali, Mozambique, Senegal, Zimbabwe</w:t>
      </w:r>
      <w:r w:rsidR="00D50986">
        <w:rPr>
          <w:rFonts w:ascii="Avenir Next" w:hAnsi="Avenir Next" w:cs="Arial"/>
          <w:color w:val="808080" w:themeColor="background1" w:themeShade="80"/>
          <w:sz w:val="22"/>
          <w:szCs w:val="22"/>
          <w:lang w:val="en-GB"/>
        </w:rPr>
        <w:t>;</w:t>
      </w:r>
    </w:p>
    <w:p w14:paraId="4705BBC2" w14:textId="395D231E" w:rsidR="0066407C" w:rsidRPr="003162BE" w:rsidRDefault="0066407C" w:rsidP="003162BE">
      <w:pPr>
        <w:pStyle w:val="ListParagraph"/>
        <w:numPr>
          <w:ilvl w:val="0"/>
          <w:numId w:val="25"/>
        </w:numPr>
        <w:jc w:val="both"/>
        <w:rPr>
          <w:rFonts w:ascii="Avenir Next" w:hAnsi="Avenir Next" w:cs="Arial"/>
          <w:color w:val="808080" w:themeColor="background1" w:themeShade="80"/>
          <w:sz w:val="22"/>
          <w:szCs w:val="22"/>
          <w:lang w:val="en-GB"/>
        </w:rPr>
      </w:pPr>
      <w:r w:rsidRPr="00D50986">
        <w:rPr>
          <w:rFonts w:ascii="Avenir Next" w:hAnsi="Avenir Next" w:cs="Arial"/>
          <w:color w:val="808080" w:themeColor="background1" w:themeShade="80"/>
          <w:sz w:val="22"/>
          <w:szCs w:val="22"/>
          <w:u w:val="single"/>
          <w:lang w:val="en-GB"/>
        </w:rPr>
        <w:t>Multi Legal system (mix of civil and common legal systems along with at times Islamic law, customary laws etc.):</w:t>
      </w:r>
      <w:r>
        <w:rPr>
          <w:rFonts w:ascii="Avenir Next" w:hAnsi="Avenir Next" w:cs="Arial"/>
          <w:color w:val="808080" w:themeColor="background1" w:themeShade="80"/>
          <w:sz w:val="22"/>
          <w:szCs w:val="22"/>
          <w:lang w:val="en-GB"/>
        </w:rPr>
        <w:t xml:space="preserve"> </w:t>
      </w:r>
      <w:r w:rsidR="005D75E8">
        <w:rPr>
          <w:rFonts w:ascii="Avenir Next" w:hAnsi="Avenir Next" w:cs="Arial"/>
          <w:color w:val="808080" w:themeColor="background1" w:themeShade="80"/>
          <w:sz w:val="22"/>
          <w:szCs w:val="22"/>
          <w:lang w:val="en-GB"/>
        </w:rPr>
        <w:t>Botswana</w:t>
      </w:r>
      <w:r>
        <w:rPr>
          <w:rFonts w:ascii="Avenir Next" w:hAnsi="Avenir Next" w:cs="Arial"/>
          <w:color w:val="808080" w:themeColor="background1" w:themeShade="80"/>
          <w:sz w:val="22"/>
          <w:szCs w:val="22"/>
          <w:lang w:val="en-GB"/>
        </w:rPr>
        <w:t>, Egypt, Guinea Conakry, Mauritius, Namibia, Nigeria, South Africa, Tanzania, Zambia</w:t>
      </w:r>
      <w:r w:rsidR="00D50986">
        <w:rPr>
          <w:rFonts w:ascii="Avenir Next" w:hAnsi="Avenir Next" w:cs="Arial"/>
          <w:color w:val="808080" w:themeColor="background1" w:themeShade="80"/>
          <w:sz w:val="22"/>
          <w:szCs w:val="22"/>
          <w:lang w:val="en-GB"/>
        </w:rPr>
        <w:t>.</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09F61129" w14:textId="07B89B19" w:rsidR="00AB63DE" w:rsidRDefault="00095CD8" w:rsidP="00095C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1997/1998 Economic Crises</w:t>
      </w:r>
      <w:r w:rsidR="00D5098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that affect the East Asian countries is often given to be the backdrop against which many countries in East Asia began to overhaul their insolvency law systems. The main contributing factors to the economic crisis were large external deficits, lack </w:t>
      </w:r>
      <w:r w:rsidR="00D50986">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f enforcement of prudential norms, gover</w:t>
      </w:r>
      <w:r w:rsidR="006E5FA4">
        <w:rPr>
          <w:rFonts w:ascii="Avenir Next" w:hAnsi="Avenir Next" w:cs="Arial"/>
          <w:color w:val="808080" w:themeColor="background1" w:themeShade="80"/>
          <w:sz w:val="22"/>
          <w:szCs w:val="22"/>
          <w:lang w:val="en-GB"/>
        </w:rPr>
        <w:t>nmental</w:t>
      </w:r>
      <w:r>
        <w:rPr>
          <w:rFonts w:ascii="Avenir Next" w:hAnsi="Avenir Next" w:cs="Arial"/>
          <w:color w:val="808080" w:themeColor="background1" w:themeShade="80"/>
          <w:sz w:val="22"/>
          <w:szCs w:val="22"/>
          <w:lang w:val="en-GB"/>
        </w:rPr>
        <w:t xml:space="preserve"> and political </w:t>
      </w:r>
      <w:r w:rsidR="006E5FA4">
        <w:rPr>
          <w:rFonts w:ascii="Avenir Next" w:hAnsi="Avenir Next" w:cs="Arial"/>
          <w:color w:val="808080" w:themeColor="background1" w:themeShade="80"/>
          <w:sz w:val="22"/>
          <w:szCs w:val="22"/>
          <w:lang w:val="en-GB"/>
        </w:rPr>
        <w:t>uncertainties</w:t>
      </w:r>
      <w:r>
        <w:rPr>
          <w:rFonts w:ascii="Avenir Next" w:hAnsi="Avenir Next" w:cs="Arial"/>
          <w:color w:val="808080" w:themeColor="background1" w:themeShade="80"/>
          <w:sz w:val="22"/>
          <w:szCs w:val="22"/>
          <w:lang w:val="en-GB"/>
        </w:rPr>
        <w:t>, lack of availability of</w:t>
      </w:r>
      <w:r w:rsidR="006E5FA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data for market participants etc.</w:t>
      </w:r>
      <w:r>
        <w:rPr>
          <w:rStyle w:val="FootnoteReferenc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 xml:space="preserve"> I</w:t>
      </w:r>
      <w:r w:rsidRPr="00095CD8">
        <w:rPr>
          <w:rFonts w:ascii="Avenir Next" w:hAnsi="Avenir Next" w:cs="Arial"/>
          <w:color w:val="808080" w:themeColor="background1" w:themeShade="80"/>
          <w:sz w:val="22"/>
          <w:szCs w:val="22"/>
          <w:lang w:val="en-GB"/>
        </w:rPr>
        <w:t>n the wake of the Asian financial and economic crisis in the late 1990s, insolvency reform ha</w:t>
      </w:r>
      <w:r w:rsidR="00826B28">
        <w:rPr>
          <w:rFonts w:ascii="Avenir Next" w:hAnsi="Avenir Next" w:cs="Arial"/>
          <w:color w:val="808080" w:themeColor="background1" w:themeShade="80"/>
          <w:sz w:val="22"/>
          <w:szCs w:val="22"/>
          <w:lang w:val="en-GB"/>
        </w:rPr>
        <w:t xml:space="preserve">d </w:t>
      </w:r>
      <w:r w:rsidRPr="00095CD8">
        <w:rPr>
          <w:rFonts w:ascii="Avenir Next" w:hAnsi="Avenir Next" w:cs="Arial"/>
          <w:color w:val="808080" w:themeColor="background1" w:themeShade="80"/>
          <w:sz w:val="22"/>
          <w:szCs w:val="22"/>
          <w:lang w:val="en-GB"/>
        </w:rPr>
        <w:t>risen to the top of the policy agenda of many Asian economies</w:t>
      </w:r>
      <w:r>
        <w:rPr>
          <w:rStyle w:val="FootnoteReference"/>
          <w:rFonts w:ascii="Avenir Next" w:hAnsi="Avenir Next" w:cs="Arial"/>
          <w:color w:val="808080" w:themeColor="background1" w:themeShade="80"/>
          <w:sz w:val="22"/>
          <w:szCs w:val="22"/>
          <w:lang w:val="en-GB"/>
        </w:rPr>
        <w:footnoteReference w:id="3"/>
      </w:r>
      <w:r w:rsidR="006E5FA4">
        <w:rPr>
          <w:rFonts w:ascii="Avenir Next" w:hAnsi="Avenir Next" w:cs="Arial"/>
          <w:color w:val="808080" w:themeColor="background1" w:themeShade="80"/>
          <w:sz w:val="22"/>
          <w:szCs w:val="22"/>
          <w:lang w:val="en-GB"/>
        </w:rPr>
        <w:t>:</w:t>
      </w:r>
    </w:p>
    <w:p w14:paraId="7FFABAAF" w14:textId="327C50FF" w:rsidR="006E5FA4" w:rsidRDefault="006E5FA4" w:rsidP="00095CD8">
      <w:pPr>
        <w:jc w:val="both"/>
        <w:rPr>
          <w:rFonts w:ascii="Avenir Next" w:hAnsi="Avenir Next" w:cs="Arial"/>
          <w:color w:val="808080" w:themeColor="background1" w:themeShade="80"/>
          <w:sz w:val="22"/>
          <w:szCs w:val="22"/>
          <w:lang w:val="en-GB"/>
        </w:rPr>
      </w:pPr>
    </w:p>
    <w:p w14:paraId="663C09FF" w14:textId="0ECD3275" w:rsidR="006E5FA4" w:rsidRDefault="006E5FA4" w:rsidP="006E5FA4">
      <w:pPr>
        <w:pStyle w:val="ListParagraph"/>
        <w:numPr>
          <w:ilvl w:val="0"/>
          <w:numId w:val="26"/>
        </w:numPr>
        <w:jc w:val="both"/>
        <w:rPr>
          <w:rFonts w:ascii="Avenir Next" w:hAnsi="Avenir Next" w:cs="Arial"/>
          <w:color w:val="808080" w:themeColor="background1" w:themeShade="80"/>
          <w:sz w:val="22"/>
          <w:szCs w:val="22"/>
          <w:lang w:val="en-GB"/>
        </w:rPr>
      </w:pPr>
      <w:r w:rsidRPr="00747AFB">
        <w:rPr>
          <w:rFonts w:ascii="Avenir Next" w:hAnsi="Avenir Next" w:cs="Arial"/>
          <w:color w:val="808080" w:themeColor="background1" w:themeShade="80"/>
          <w:sz w:val="22"/>
          <w:szCs w:val="22"/>
          <w:u w:val="single"/>
          <w:lang w:val="en-GB"/>
        </w:rPr>
        <w:t>FAIR</w:t>
      </w:r>
      <w:r>
        <w:rPr>
          <w:rFonts w:ascii="Avenir Next" w:hAnsi="Avenir Next" w:cs="Arial"/>
          <w:color w:val="808080" w:themeColor="background1" w:themeShade="80"/>
          <w:sz w:val="22"/>
          <w:szCs w:val="22"/>
          <w:lang w:val="en-GB"/>
        </w:rPr>
        <w:t xml:space="preserve">: </w:t>
      </w:r>
      <w:r w:rsidRPr="006E5FA4">
        <w:rPr>
          <w:rFonts w:ascii="Avenir Next" w:hAnsi="Avenir Next" w:cs="Arial"/>
          <w:color w:val="808080" w:themeColor="background1" w:themeShade="80"/>
          <w:sz w:val="22"/>
          <w:szCs w:val="22"/>
          <w:lang w:val="en-GB"/>
        </w:rPr>
        <w:t>The Forum for Asian Insolvency Reform (</w:t>
      </w:r>
      <w:r w:rsidR="00747AFB">
        <w:rPr>
          <w:rFonts w:ascii="Avenir Next" w:hAnsi="Avenir Next" w:cs="Arial"/>
          <w:color w:val="808080" w:themeColor="background1" w:themeShade="80"/>
          <w:sz w:val="22"/>
          <w:szCs w:val="22"/>
          <w:lang w:val="en-GB"/>
        </w:rPr>
        <w:t>“</w:t>
      </w:r>
      <w:r w:rsidRPr="006E5FA4">
        <w:rPr>
          <w:rFonts w:ascii="Avenir Next" w:hAnsi="Avenir Next" w:cs="Arial"/>
          <w:color w:val="808080" w:themeColor="background1" w:themeShade="80"/>
          <w:sz w:val="22"/>
          <w:szCs w:val="22"/>
          <w:lang w:val="en-GB"/>
        </w:rPr>
        <w:t>FAIR</w:t>
      </w:r>
      <w:r w:rsidR="00747AFB">
        <w:rPr>
          <w:rFonts w:ascii="Avenir Next" w:hAnsi="Avenir Next" w:cs="Arial"/>
          <w:color w:val="808080" w:themeColor="background1" w:themeShade="80"/>
          <w:sz w:val="22"/>
          <w:szCs w:val="22"/>
          <w:lang w:val="en-GB"/>
        </w:rPr>
        <w:t>”</w:t>
      </w:r>
      <w:r w:rsidRPr="006E5FA4">
        <w:rPr>
          <w:rFonts w:ascii="Avenir Next" w:hAnsi="Avenir Next" w:cs="Arial"/>
          <w:color w:val="808080" w:themeColor="background1" w:themeShade="80"/>
          <w:sz w:val="22"/>
          <w:szCs w:val="22"/>
          <w:lang w:val="en-GB"/>
        </w:rPr>
        <w:t>) was created by the Organisation of Economic Co-operation and Development (</w:t>
      </w:r>
      <w:r w:rsidR="00747AFB">
        <w:rPr>
          <w:rFonts w:ascii="Avenir Next" w:hAnsi="Avenir Next" w:cs="Arial"/>
          <w:color w:val="808080" w:themeColor="background1" w:themeShade="80"/>
          <w:sz w:val="22"/>
          <w:szCs w:val="22"/>
          <w:lang w:val="en-GB"/>
        </w:rPr>
        <w:t>“</w:t>
      </w:r>
      <w:r w:rsidRPr="006E5FA4">
        <w:rPr>
          <w:rFonts w:ascii="Avenir Next" w:hAnsi="Avenir Next" w:cs="Arial"/>
          <w:color w:val="808080" w:themeColor="background1" w:themeShade="80"/>
          <w:sz w:val="22"/>
          <w:szCs w:val="22"/>
          <w:lang w:val="en-GB"/>
        </w:rPr>
        <w:t>OECD</w:t>
      </w:r>
      <w:r w:rsidR="00747AFB">
        <w:rPr>
          <w:rFonts w:ascii="Avenir Next" w:hAnsi="Avenir Next" w:cs="Arial"/>
          <w:color w:val="808080" w:themeColor="background1" w:themeShade="80"/>
          <w:sz w:val="22"/>
          <w:szCs w:val="22"/>
          <w:lang w:val="en-GB"/>
        </w:rPr>
        <w:t>”</w:t>
      </w:r>
      <w:r w:rsidRPr="006E5FA4">
        <w:rPr>
          <w:rFonts w:ascii="Avenir Next" w:hAnsi="Avenir Next" w:cs="Arial"/>
          <w:color w:val="808080" w:themeColor="background1" w:themeShade="80"/>
          <w:sz w:val="22"/>
          <w:szCs w:val="22"/>
          <w:lang w:val="en-GB"/>
        </w:rPr>
        <w:t>), the Asia-Pacific Economic Cooperation forum (APEC) and the Asian Development Bank (</w:t>
      </w:r>
      <w:r w:rsidR="00747AFB">
        <w:rPr>
          <w:rFonts w:ascii="Avenir Next" w:hAnsi="Avenir Next" w:cs="Arial"/>
          <w:color w:val="808080" w:themeColor="background1" w:themeShade="80"/>
          <w:sz w:val="22"/>
          <w:szCs w:val="22"/>
          <w:lang w:val="en-GB"/>
        </w:rPr>
        <w:t>“</w:t>
      </w:r>
      <w:r w:rsidRPr="006E5FA4">
        <w:rPr>
          <w:rFonts w:ascii="Avenir Next" w:hAnsi="Avenir Next" w:cs="Arial"/>
          <w:color w:val="808080" w:themeColor="background1" w:themeShade="80"/>
          <w:sz w:val="22"/>
          <w:szCs w:val="22"/>
          <w:lang w:val="en-GB"/>
        </w:rPr>
        <w:t>ADB</w:t>
      </w:r>
      <w:r w:rsidR="00747AFB">
        <w:rPr>
          <w:rFonts w:ascii="Avenir Next" w:hAnsi="Avenir Next" w:cs="Arial"/>
          <w:color w:val="808080" w:themeColor="background1" w:themeShade="80"/>
          <w:sz w:val="22"/>
          <w:szCs w:val="22"/>
          <w:lang w:val="en-GB"/>
        </w:rPr>
        <w:t>”</w:t>
      </w:r>
      <w:r w:rsidRPr="006E5FA4">
        <w:rPr>
          <w:rFonts w:ascii="Avenir Next" w:hAnsi="Avenir Next" w:cs="Arial"/>
          <w:color w:val="808080" w:themeColor="background1" w:themeShade="80"/>
          <w:sz w:val="22"/>
          <w:szCs w:val="22"/>
          <w:lang w:val="en-GB"/>
        </w:rPr>
        <w:t>)</w:t>
      </w:r>
      <w:r w:rsidR="00826B28">
        <w:rPr>
          <w:rFonts w:ascii="Avenir Next" w:hAnsi="Avenir Next" w:cs="Arial"/>
          <w:color w:val="808080" w:themeColor="background1" w:themeShade="80"/>
          <w:sz w:val="22"/>
          <w:szCs w:val="22"/>
          <w:lang w:val="en-GB"/>
        </w:rPr>
        <w:t xml:space="preserve">. Along </w:t>
      </w:r>
      <w:r w:rsidRPr="006E5FA4">
        <w:rPr>
          <w:rFonts w:ascii="Avenir Next" w:hAnsi="Avenir Next" w:cs="Arial"/>
          <w:color w:val="808080" w:themeColor="background1" w:themeShade="80"/>
          <w:sz w:val="22"/>
          <w:szCs w:val="22"/>
          <w:lang w:val="en-GB"/>
        </w:rPr>
        <w:t xml:space="preserve">with the support of the public and private sector experts, </w:t>
      </w:r>
      <w:r w:rsidR="00826B28">
        <w:rPr>
          <w:rFonts w:ascii="Avenir Next" w:hAnsi="Avenir Next" w:cs="Arial"/>
          <w:color w:val="808080" w:themeColor="background1" w:themeShade="80"/>
          <w:sz w:val="22"/>
          <w:szCs w:val="22"/>
          <w:lang w:val="en-GB"/>
        </w:rPr>
        <w:t xml:space="preserve">FAIR </w:t>
      </w:r>
      <w:r w:rsidRPr="006E5FA4">
        <w:rPr>
          <w:rFonts w:ascii="Avenir Next" w:hAnsi="Avenir Next" w:cs="Arial"/>
          <w:color w:val="808080" w:themeColor="background1" w:themeShade="80"/>
          <w:sz w:val="22"/>
          <w:szCs w:val="22"/>
          <w:lang w:val="en-GB"/>
        </w:rPr>
        <w:t>intended to serve as a policy dialogue platform to discuss and promote the formulation and implementation of insolvency reform strategies in the Asian economies.</w:t>
      </w:r>
      <w:r>
        <w:rPr>
          <w:rStyle w:val="FootnoteReference"/>
          <w:rFonts w:ascii="Avenir Next" w:hAnsi="Avenir Next" w:cs="Arial"/>
          <w:color w:val="808080" w:themeColor="background1" w:themeShade="80"/>
          <w:sz w:val="22"/>
          <w:szCs w:val="22"/>
          <w:lang w:val="en-GB"/>
        </w:rPr>
        <w:footnoteReference w:id="4"/>
      </w:r>
    </w:p>
    <w:p w14:paraId="17430482" w14:textId="4D25E6F4" w:rsidR="006E5FA4" w:rsidRPr="006E5FA4" w:rsidRDefault="00747AFB" w:rsidP="006E5FA4">
      <w:pPr>
        <w:pStyle w:val="ListParagraph"/>
        <w:numPr>
          <w:ilvl w:val="0"/>
          <w:numId w:val="26"/>
        </w:numPr>
        <w:jc w:val="both"/>
        <w:rPr>
          <w:rFonts w:ascii="Avenir Next" w:hAnsi="Avenir Next" w:cs="Arial"/>
          <w:color w:val="808080" w:themeColor="background1" w:themeShade="80"/>
          <w:sz w:val="22"/>
          <w:szCs w:val="22"/>
          <w:lang w:val="en-GB"/>
        </w:rPr>
      </w:pPr>
      <w:r w:rsidRPr="00747AFB">
        <w:rPr>
          <w:rFonts w:ascii="Avenir Next" w:hAnsi="Avenir Next" w:cs="Arial"/>
          <w:color w:val="808080" w:themeColor="background1" w:themeShade="80"/>
          <w:sz w:val="22"/>
          <w:szCs w:val="22"/>
          <w:u w:val="single"/>
          <w:lang w:val="en-GB"/>
        </w:rPr>
        <w:t xml:space="preserve">The </w:t>
      </w:r>
      <w:r w:rsidR="006E5FA4" w:rsidRPr="00747AFB">
        <w:rPr>
          <w:rFonts w:ascii="Avenir Next" w:hAnsi="Avenir Next" w:cs="Arial"/>
          <w:color w:val="808080" w:themeColor="background1" w:themeShade="80"/>
          <w:sz w:val="22"/>
          <w:szCs w:val="22"/>
          <w:u w:val="single"/>
          <w:lang w:val="en-GB"/>
        </w:rPr>
        <w:t>Bangkok Framework (1998)</w:t>
      </w:r>
      <w:r w:rsidR="006E5FA4">
        <w:rPr>
          <w:rFonts w:ascii="Avenir Next" w:hAnsi="Avenir Next" w:cs="Arial"/>
          <w:color w:val="808080" w:themeColor="background1" w:themeShade="80"/>
          <w:sz w:val="22"/>
          <w:szCs w:val="22"/>
          <w:lang w:val="en-GB"/>
        </w:rPr>
        <w:t xml:space="preserve">: </w:t>
      </w:r>
      <w:r w:rsidR="006E5FA4" w:rsidRPr="006E5FA4">
        <w:rPr>
          <w:rFonts w:ascii="Avenir Next" w:hAnsi="Avenir Next" w:cs="Arial"/>
          <w:color w:val="808080" w:themeColor="background1" w:themeShade="80"/>
          <w:sz w:val="22"/>
          <w:szCs w:val="22"/>
          <w:lang w:val="en-GB"/>
        </w:rPr>
        <w:t xml:space="preserve">To generate a more coordinated informal workout approach, the Board of Trade of Thailand, Federation of Thai Industries, the Thai Bankers’ Association, the Association of Finance Companies and the Foreign Banks’ Association jointly prepared a Framework for Corporate Debt Restructuring in Thailand in early 1998. The framework is non-binding and non-statutory but </w:t>
      </w:r>
      <w:r w:rsidR="00826B28">
        <w:rPr>
          <w:rFonts w:ascii="Avenir Next" w:hAnsi="Avenir Next" w:cs="Arial"/>
          <w:color w:val="808080" w:themeColor="background1" w:themeShade="80"/>
          <w:sz w:val="22"/>
          <w:szCs w:val="22"/>
          <w:lang w:val="en-GB"/>
        </w:rPr>
        <w:t>was a</w:t>
      </w:r>
      <w:r w:rsidR="006E5FA4" w:rsidRPr="006E5FA4">
        <w:rPr>
          <w:rFonts w:ascii="Avenir Next" w:hAnsi="Avenir Next" w:cs="Arial"/>
          <w:color w:val="808080" w:themeColor="background1" w:themeShade="80"/>
          <w:sz w:val="22"/>
          <w:szCs w:val="22"/>
          <w:lang w:val="en-GB"/>
        </w:rPr>
        <w:t xml:space="preserve"> statement of the approach that </w:t>
      </w:r>
      <w:r w:rsidR="00826B28">
        <w:rPr>
          <w:rFonts w:ascii="Avenir Next" w:hAnsi="Avenir Next" w:cs="Arial"/>
          <w:color w:val="808080" w:themeColor="background1" w:themeShade="80"/>
          <w:sz w:val="22"/>
          <w:szCs w:val="22"/>
          <w:lang w:val="en-GB"/>
        </w:rPr>
        <w:t>was at least</w:t>
      </w:r>
      <w:r w:rsidR="006E5FA4" w:rsidRPr="006E5FA4">
        <w:rPr>
          <w:rFonts w:ascii="Avenir Next" w:hAnsi="Avenir Next" w:cs="Arial"/>
          <w:color w:val="808080" w:themeColor="background1" w:themeShade="80"/>
          <w:sz w:val="22"/>
          <w:szCs w:val="22"/>
          <w:lang w:val="en-GB"/>
        </w:rPr>
        <w:t xml:space="preserve"> expected to be adopted in corporate workouts involving multiple creditors</w:t>
      </w:r>
      <w:r w:rsidR="006E5FA4">
        <w:rPr>
          <w:rStyle w:val="FootnoteReference"/>
          <w:rFonts w:ascii="Avenir Next" w:hAnsi="Avenir Next" w:cs="Arial"/>
          <w:color w:val="808080" w:themeColor="background1" w:themeShade="80"/>
          <w:sz w:val="22"/>
          <w:szCs w:val="22"/>
          <w:lang w:val="en-GB"/>
        </w:rPr>
        <w:footnoteReference w:id="5"/>
      </w:r>
      <w:r w:rsidR="00826B28">
        <w:rPr>
          <w:rFonts w:ascii="Avenir Next" w:hAnsi="Avenir Next" w:cs="Arial"/>
          <w:color w:val="808080" w:themeColor="background1" w:themeShade="80"/>
          <w:sz w:val="22"/>
          <w:szCs w:val="22"/>
          <w:lang w:val="en-GB"/>
        </w:rPr>
        <w:t>.</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6F93CE78" w:rsidR="00AB63DE" w:rsidRDefault="006867F5" w:rsidP="006867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Since the 1970s, there ha</w:t>
      </w:r>
      <w:r w:rsidR="00826B28">
        <w:rPr>
          <w:rFonts w:ascii="Avenir Next" w:hAnsi="Avenir Next" w:cs="Arial"/>
          <w:color w:val="808080" w:themeColor="background1" w:themeShade="80"/>
          <w:sz w:val="22"/>
          <w:szCs w:val="22"/>
          <w:lang w:val="en-GB"/>
        </w:rPr>
        <w:t>ve</w:t>
      </w:r>
      <w:r>
        <w:rPr>
          <w:rFonts w:ascii="Avenir Next" w:hAnsi="Avenir Next" w:cs="Arial"/>
          <w:color w:val="808080" w:themeColor="background1" w:themeShade="80"/>
          <w:sz w:val="22"/>
          <w:szCs w:val="22"/>
          <w:lang w:val="en-GB"/>
        </w:rPr>
        <w:t xml:space="preserve"> been many efforts to enter into bilateral agreements between North America and Canada</w:t>
      </w:r>
      <w:r w:rsidR="00826B2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which were deemed as too determined and then resultantly weren’t successful. The true progress qua the resolution of international insolvency issues between theses countries came via the following efforts:</w:t>
      </w:r>
    </w:p>
    <w:p w14:paraId="613E54C6" w14:textId="63055884" w:rsidR="006867F5" w:rsidRDefault="006867F5" w:rsidP="006867F5">
      <w:pPr>
        <w:pStyle w:val="ListParagraph"/>
        <w:numPr>
          <w:ilvl w:val="0"/>
          <w:numId w:val="28"/>
        </w:numPr>
        <w:jc w:val="both"/>
        <w:rPr>
          <w:rFonts w:ascii="Avenir Next" w:hAnsi="Avenir Next" w:cs="Arial"/>
          <w:color w:val="808080" w:themeColor="background1" w:themeShade="80"/>
          <w:sz w:val="22"/>
          <w:szCs w:val="22"/>
          <w:lang w:val="en-GB"/>
        </w:rPr>
      </w:pPr>
      <w:r w:rsidRPr="008639A3">
        <w:rPr>
          <w:rFonts w:ascii="Avenir Next" w:hAnsi="Avenir Next" w:cs="Arial"/>
          <w:color w:val="808080" w:themeColor="background1" w:themeShade="80"/>
          <w:sz w:val="22"/>
          <w:szCs w:val="22"/>
          <w:u w:val="single"/>
          <w:lang w:val="en-GB"/>
        </w:rPr>
        <w:t>ALI NAFTA Principles</w:t>
      </w:r>
      <w:r w:rsidRPr="006867F5">
        <w:rPr>
          <w:rFonts w:ascii="Avenir Next" w:hAnsi="Avenir Next" w:cs="Arial"/>
          <w:color w:val="808080" w:themeColor="background1" w:themeShade="80"/>
          <w:sz w:val="22"/>
          <w:szCs w:val="22"/>
          <w:lang w:val="en-GB"/>
        </w:rPr>
        <w:t xml:space="preserve">: </w:t>
      </w:r>
      <w:r w:rsidR="008639A3">
        <w:rPr>
          <w:rFonts w:ascii="Avenir Next" w:hAnsi="Avenir Next" w:cs="Arial"/>
          <w:color w:val="808080" w:themeColor="background1" w:themeShade="80"/>
          <w:sz w:val="22"/>
          <w:szCs w:val="22"/>
          <w:lang w:val="en-GB"/>
        </w:rPr>
        <w:t>American Law Institute’s (“ALI”) P</w:t>
      </w:r>
      <w:r w:rsidR="008639A3" w:rsidRPr="008639A3">
        <w:rPr>
          <w:rFonts w:ascii="Avenir Next" w:hAnsi="Avenir Next" w:cs="Arial"/>
          <w:color w:val="808080" w:themeColor="background1" w:themeShade="80"/>
          <w:sz w:val="22"/>
          <w:szCs w:val="22"/>
          <w:lang w:val="en-GB"/>
        </w:rPr>
        <w:t>rinciples of Cooperation among the member-states of the North American Free Trade Association</w:t>
      </w:r>
      <w:r w:rsidR="008639A3">
        <w:rPr>
          <w:rFonts w:ascii="Avenir Next" w:hAnsi="Avenir Next" w:cs="Arial"/>
          <w:color w:val="808080" w:themeColor="background1" w:themeShade="80"/>
          <w:sz w:val="22"/>
          <w:szCs w:val="22"/>
          <w:lang w:val="en-GB"/>
        </w:rPr>
        <w:t xml:space="preserve"> (being the United States, Canada and Mexico)</w:t>
      </w:r>
      <w:r w:rsidR="008639A3" w:rsidRPr="008639A3">
        <w:rPr>
          <w:rFonts w:ascii="Avenir Next" w:hAnsi="Avenir Next" w:cs="Arial"/>
          <w:color w:val="808080" w:themeColor="background1" w:themeShade="80"/>
          <w:sz w:val="22"/>
          <w:szCs w:val="22"/>
          <w:lang w:val="en-GB"/>
        </w:rPr>
        <w:t xml:space="preserve"> (the “ALI NAFTA Principles”)</w:t>
      </w:r>
      <w:r w:rsidR="008639A3">
        <w:rPr>
          <w:rFonts w:ascii="Avenir Next" w:hAnsi="Avenir Next" w:cs="Arial"/>
          <w:color w:val="808080" w:themeColor="background1" w:themeShade="80"/>
          <w:sz w:val="22"/>
          <w:szCs w:val="22"/>
          <w:lang w:val="en-GB"/>
        </w:rPr>
        <w:t xml:space="preserve"> was one such attempt</w:t>
      </w:r>
      <w:r w:rsidR="008639A3" w:rsidRPr="008639A3">
        <w:rPr>
          <w:rFonts w:ascii="Avenir Next" w:hAnsi="Avenir Next" w:cs="Arial"/>
          <w:color w:val="808080" w:themeColor="background1" w:themeShade="80"/>
          <w:sz w:val="22"/>
          <w:szCs w:val="22"/>
          <w:lang w:val="en-GB"/>
        </w:rPr>
        <w:t>.</w:t>
      </w:r>
      <w:r w:rsidR="008639A3">
        <w:rPr>
          <w:rFonts w:ascii="Avenir Next" w:hAnsi="Avenir Next" w:cs="Arial"/>
          <w:color w:val="808080" w:themeColor="background1" w:themeShade="80"/>
          <w:sz w:val="22"/>
          <w:szCs w:val="22"/>
          <w:lang w:val="en-GB"/>
        </w:rPr>
        <w:t xml:space="preserve"> </w:t>
      </w:r>
      <w:r w:rsidRPr="006867F5">
        <w:rPr>
          <w:rFonts w:ascii="Avenir Next" w:hAnsi="Avenir Next" w:cs="Arial"/>
          <w:color w:val="808080" w:themeColor="background1" w:themeShade="80"/>
          <w:sz w:val="22"/>
          <w:szCs w:val="22"/>
          <w:lang w:val="en-GB"/>
        </w:rPr>
        <w:t>These Principles have evolved from the A</w:t>
      </w:r>
      <w:r w:rsidR="008639A3">
        <w:rPr>
          <w:rFonts w:ascii="Avenir Next" w:hAnsi="Avenir Next" w:cs="Arial"/>
          <w:color w:val="808080" w:themeColor="background1" w:themeShade="80"/>
          <w:sz w:val="22"/>
          <w:szCs w:val="22"/>
          <w:lang w:val="en-GB"/>
        </w:rPr>
        <w:t xml:space="preserve">merican </w:t>
      </w:r>
      <w:r w:rsidRPr="006867F5">
        <w:rPr>
          <w:rFonts w:ascii="Avenir Next" w:hAnsi="Avenir Next" w:cs="Arial"/>
          <w:color w:val="808080" w:themeColor="background1" w:themeShade="80"/>
          <w:sz w:val="22"/>
          <w:szCs w:val="22"/>
          <w:lang w:val="en-GB"/>
        </w:rPr>
        <w:t>L</w:t>
      </w:r>
      <w:r w:rsidR="008639A3">
        <w:rPr>
          <w:rFonts w:ascii="Avenir Next" w:hAnsi="Avenir Next" w:cs="Arial"/>
          <w:color w:val="808080" w:themeColor="background1" w:themeShade="80"/>
          <w:sz w:val="22"/>
          <w:szCs w:val="22"/>
          <w:lang w:val="en-GB"/>
        </w:rPr>
        <w:t xml:space="preserve">aw </w:t>
      </w:r>
      <w:r w:rsidRPr="006867F5">
        <w:rPr>
          <w:rFonts w:ascii="Avenir Next" w:hAnsi="Avenir Next" w:cs="Arial"/>
          <w:color w:val="808080" w:themeColor="background1" w:themeShade="80"/>
          <w:sz w:val="22"/>
          <w:szCs w:val="22"/>
          <w:lang w:val="en-GB"/>
        </w:rPr>
        <w:t>I</w:t>
      </w:r>
      <w:r w:rsidR="008639A3">
        <w:rPr>
          <w:rFonts w:ascii="Avenir Next" w:hAnsi="Avenir Next" w:cs="Arial"/>
          <w:color w:val="808080" w:themeColor="background1" w:themeShade="80"/>
          <w:sz w:val="22"/>
          <w:szCs w:val="22"/>
          <w:lang w:val="en-GB"/>
        </w:rPr>
        <w:t>nstitute</w:t>
      </w:r>
      <w:r w:rsidRPr="006867F5">
        <w:rPr>
          <w:rFonts w:ascii="Avenir Next" w:hAnsi="Avenir Next" w:cs="Arial"/>
          <w:color w:val="808080" w:themeColor="background1" w:themeShade="80"/>
          <w:sz w:val="22"/>
          <w:szCs w:val="22"/>
          <w:lang w:val="en-GB"/>
        </w:rPr>
        <w:t xml:space="preserve">’s Transnational Insolvency Project, conducted between 1995 and 2000, for which the Reporter was Professor Jay L. </w:t>
      </w:r>
      <w:r w:rsidR="008639A3" w:rsidRPr="006867F5">
        <w:rPr>
          <w:rFonts w:ascii="Avenir Next" w:hAnsi="Avenir Next" w:cs="Arial"/>
          <w:color w:val="808080" w:themeColor="background1" w:themeShade="80"/>
          <w:sz w:val="22"/>
          <w:szCs w:val="22"/>
          <w:lang w:val="en-GB"/>
        </w:rPr>
        <w:t>Westbrook</w:t>
      </w:r>
      <w:r w:rsidR="008639A3">
        <w:rPr>
          <w:rFonts w:ascii="Avenir Next" w:hAnsi="Avenir Next" w:cs="Arial"/>
          <w:color w:val="808080" w:themeColor="background1" w:themeShade="80"/>
          <w:sz w:val="22"/>
          <w:szCs w:val="22"/>
          <w:lang w:val="en-GB"/>
        </w:rPr>
        <w:t xml:space="preserve"> (</w:t>
      </w:r>
      <w:r w:rsidRPr="006867F5">
        <w:rPr>
          <w:rFonts w:ascii="Avenir Next" w:hAnsi="Avenir Next" w:cs="Arial"/>
          <w:color w:val="808080" w:themeColor="background1" w:themeShade="80"/>
          <w:sz w:val="22"/>
          <w:szCs w:val="22"/>
          <w:lang w:val="en-GB"/>
        </w:rPr>
        <w:t>University of Texas</w:t>
      </w:r>
      <w:r w:rsidR="008639A3">
        <w:rPr>
          <w:rFonts w:ascii="Avenir Next" w:hAnsi="Avenir Next" w:cs="Arial"/>
          <w:color w:val="808080" w:themeColor="background1" w:themeShade="80"/>
          <w:sz w:val="22"/>
          <w:szCs w:val="22"/>
          <w:lang w:val="en-GB"/>
        </w:rPr>
        <w:t>)</w:t>
      </w:r>
      <w:r w:rsidRPr="006867F5">
        <w:rPr>
          <w:rFonts w:ascii="Avenir Next" w:hAnsi="Avenir Next" w:cs="Arial"/>
          <w:color w:val="808080" w:themeColor="background1" w:themeShade="80"/>
          <w:sz w:val="22"/>
          <w:szCs w:val="22"/>
          <w:lang w:val="en-GB"/>
        </w:rPr>
        <w:t xml:space="preserve">. The objective of that </w:t>
      </w:r>
      <w:r w:rsidR="008639A3">
        <w:rPr>
          <w:rFonts w:ascii="Avenir Next" w:hAnsi="Avenir Next" w:cs="Arial"/>
          <w:color w:val="808080" w:themeColor="background1" w:themeShade="80"/>
          <w:sz w:val="22"/>
          <w:szCs w:val="22"/>
          <w:lang w:val="en-GB"/>
        </w:rPr>
        <w:t>p</w:t>
      </w:r>
      <w:r w:rsidRPr="006867F5">
        <w:rPr>
          <w:rFonts w:ascii="Avenir Next" w:hAnsi="Avenir Next" w:cs="Arial"/>
          <w:color w:val="808080" w:themeColor="background1" w:themeShade="80"/>
          <w:sz w:val="22"/>
          <w:szCs w:val="22"/>
          <w:lang w:val="en-GB"/>
        </w:rPr>
        <w:t>roject was to provide a non-statutory basis for cooperation in international insolvency cases involving two or more of the NAFTA states of the United States, Canada and Mexico</w:t>
      </w:r>
      <w:r w:rsidR="00AB76D6">
        <w:rPr>
          <w:rStyle w:val="FootnoteReference"/>
          <w:rFonts w:ascii="Avenir Next" w:hAnsi="Avenir Next" w:cs="Arial"/>
          <w:color w:val="808080" w:themeColor="background1" w:themeShade="80"/>
          <w:sz w:val="22"/>
          <w:szCs w:val="22"/>
          <w:lang w:val="en-GB"/>
        </w:rPr>
        <w:footnoteReference w:id="6"/>
      </w:r>
      <w:r w:rsidR="00AB76D6">
        <w:rPr>
          <w:rFonts w:ascii="Avenir Next" w:hAnsi="Avenir Next" w:cs="Arial"/>
          <w:color w:val="808080" w:themeColor="background1" w:themeShade="80"/>
          <w:sz w:val="22"/>
          <w:szCs w:val="22"/>
          <w:lang w:val="en-GB"/>
        </w:rPr>
        <w:t>.</w:t>
      </w:r>
      <w:r w:rsidRPr="006867F5">
        <w:rPr>
          <w:rFonts w:ascii="Avenir Next" w:hAnsi="Avenir Next" w:cs="Arial"/>
          <w:color w:val="808080" w:themeColor="background1" w:themeShade="80"/>
          <w:sz w:val="22"/>
          <w:szCs w:val="22"/>
          <w:lang w:val="en-GB"/>
        </w:rPr>
        <w:t xml:space="preserve"> Furthermore, account has been taken of the fact that some of the central issues addressed in the original ALI NAFTA Principles (including recognition, relief, and cooperation) have, since ALI’s adoption of the text in 2000, found their way into national or federal legislation</w:t>
      </w:r>
      <w:r w:rsidR="00826B28">
        <w:rPr>
          <w:rFonts w:ascii="Avenir Next" w:hAnsi="Avenir Next" w:cs="Arial"/>
          <w:color w:val="808080" w:themeColor="background1" w:themeShade="80"/>
          <w:sz w:val="22"/>
          <w:szCs w:val="22"/>
          <w:lang w:val="en-GB"/>
        </w:rPr>
        <w:t>s</w:t>
      </w:r>
      <w:r w:rsidR="00AB76D6">
        <w:rPr>
          <w:rStyle w:val="FootnoteReference"/>
          <w:rFonts w:ascii="Avenir Next" w:hAnsi="Avenir Next" w:cs="Arial"/>
          <w:color w:val="808080" w:themeColor="background1" w:themeShade="80"/>
          <w:sz w:val="22"/>
          <w:szCs w:val="22"/>
          <w:lang w:val="en-GB"/>
        </w:rPr>
        <w:footnoteReference w:id="7"/>
      </w:r>
      <w:r w:rsidR="00AB76D6">
        <w:rPr>
          <w:rFonts w:ascii="Avenir Next" w:hAnsi="Avenir Next" w:cs="Arial"/>
          <w:color w:val="808080" w:themeColor="background1" w:themeShade="80"/>
          <w:sz w:val="22"/>
          <w:szCs w:val="22"/>
          <w:lang w:val="en-GB"/>
        </w:rPr>
        <w:t>.</w:t>
      </w:r>
    </w:p>
    <w:p w14:paraId="41EE593A" w14:textId="03B89F57" w:rsidR="008639A3" w:rsidRPr="006867F5" w:rsidRDefault="008639A3" w:rsidP="006867F5">
      <w:pPr>
        <w:pStyle w:val="ListParagraph"/>
        <w:numPr>
          <w:ilvl w:val="0"/>
          <w:numId w:val="28"/>
        </w:numPr>
        <w:jc w:val="both"/>
        <w:rPr>
          <w:rFonts w:ascii="Avenir Next" w:hAnsi="Avenir Next" w:cs="Arial"/>
          <w:color w:val="808080" w:themeColor="background1" w:themeShade="80"/>
          <w:sz w:val="22"/>
          <w:szCs w:val="22"/>
          <w:lang w:val="en-GB"/>
        </w:rPr>
      </w:pPr>
      <w:r w:rsidRPr="008639A3">
        <w:rPr>
          <w:rFonts w:ascii="Avenir Next" w:hAnsi="Avenir Next" w:cs="Arial"/>
          <w:color w:val="808080" w:themeColor="background1" w:themeShade="80"/>
          <w:sz w:val="22"/>
          <w:szCs w:val="22"/>
          <w:u w:val="single"/>
          <w:lang w:val="en-GB"/>
        </w:rPr>
        <w:t>ALI NAFTA Guidelines Applicable to Court-to-Court Communication in Cross-Border Cases</w:t>
      </w:r>
      <w:r w:rsidR="00985F9E">
        <w:rPr>
          <w:rFonts w:ascii="Avenir Next" w:hAnsi="Avenir Next" w:cs="Arial"/>
          <w:color w:val="808080" w:themeColor="background1" w:themeShade="80"/>
          <w:sz w:val="22"/>
          <w:szCs w:val="22"/>
          <w:u w:val="single"/>
          <w:lang w:val="en-GB"/>
        </w:rPr>
        <w:t xml:space="preserve"> (“Court-to-Court Guidelines)</w:t>
      </w:r>
      <w:r>
        <w:rPr>
          <w:rFonts w:ascii="Avenir Next" w:hAnsi="Avenir Next" w:cs="Arial"/>
          <w:color w:val="808080" w:themeColor="background1" w:themeShade="80"/>
          <w:sz w:val="22"/>
          <w:szCs w:val="22"/>
          <w:lang w:val="en-GB"/>
        </w:rPr>
        <w:t xml:space="preserve">: </w:t>
      </w:r>
      <w:r w:rsidRPr="008639A3">
        <w:rPr>
          <w:rFonts w:ascii="Avenir Next" w:hAnsi="Avenir Next" w:cs="Arial"/>
          <w:color w:val="808080" w:themeColor="background1" w:themeShade="80"/>
          <w:sz w:val="22"/>
          <w:szCs w:val="22"/>
          <w:lang w:val="en-GB"/>
        </w:rPr>
        <w:t xml:space="preserve">These </w:t>
      </w:r>
      <w:r>
        <w:rPr>
          <w:rFonts w:ascii="Avenir Next" w:hAnsi="Avenir Next" w:cs="Arial"/>
          <w:color w:val="808080" w:themeColor="background1" w:themeShade="80"/>
          <w:sz w:val="22"/>
          <w:szCs w:val="22"/>
          <w:lang w:val="en-GB"/>
        </w:rPr>
        <w:t>g</w:t>
      </w:r>
      <w:r w:rsidRPr="008639A3">
        <w:rPr>
          <w:rFonts w:ascii="Avenir Next" w:hAnsi="Avenir Next" w:cs="Arial"/>
          <w:color w:val="808080" w:themeColor="background1" w:themeShade="80"/>
          <w:sz w:val="22"/>
          <w:szCs w:val="22"/>
          <w:lang w:val="en-GB"/>
        </w:rPr>
        <w:t>uidelines in their original form were included in Appendix B of the ALI NAFTA Principles and represent procedural suggestions for increasing communications between courts and between insolvency administrators in cross-border insolvency cases. T</w:t>
      </w:r>
      <w:r w:rsidR="00985F9E">
        <w:rPr>
          <w:rFonts w:ascii="Avenir Next" w:hAnsi="Avenir Next" w:cs="Arial"/>
          <w:color w:val="808080" w:themeColor="background1" w:themeShade="80"/>
          <w:sz w:val="22"/>
          <w:szCs w:val="22"/>
          <w:lang w:val="en-GB"/>
        </w:rPr>
        <w:t>he Court-to Court G</w:t>
      </w:r>
      <w:r w:rsidRPr="008639A3">
        <w:rPr>
          <w:rFonts w:ascii="Avenir Next" w:hAnsi="Avenir Next" w:cs="Arial"/>
          <w:color w:val="808080" w:themeColor="background1" w:themeShade="80"/>
          <w:sz w:val="22"/>
          <w:szCs w:val="22"/>
          <w:lang w:val="en-GB"/>
        </w:rPr>
        <w:t>uidelines have been used in many cross-border cases, such as </w:t>
      </w:r>
      <w:r>
        <w:rPr>
          <w:rFonts w:ascii="Avenir Next" w:hAnsi="Avenir Next"/>
          <w:i/>
          <w:iCs/>
          <w:color w:val="808080" w:themeColor="background1" w:themeShade="80"/>
          <w:sz w:val="22"/>
          <w:szCs w:val="22"/>
          <w:lang w:val="en-GB"/>
        </w:rPr>
        <w:t>the</w:t>
      </w:r>
      <w:r w:rsidRPr="008639A3">
        <w:rPr>
          <w:rFonts w:ascii="Avenir Next" w:hAnsi="Avenir Next"/>
          <w:i/>
          <w:iCs/>
          <w:color w:val="808080" w:themeColor="background1" w:themeShade="80"/>
          <w:sz w:val="22"/>
          <w:szCs w:val="22"/>
          <w:lang w:val="en-GB"/>
        </w:rPr>
        <w:t xml:space="preserve"> Lehman Brothers</w:t>
      </w:r>
      <w:r>
        <w:rPr>
          <w:rFonts w:ascii="Avenir Next" w:hAnsi="Avenir Next"/>
          <w:i/>
          <w:iCs/>
          <w:color w:val="808080" w:themeColor="background1" w:themeShade="80"/>
          <w:sz w:val="22"/>
          <w:szCs w:val="22"/>
          <w:lang w:val="en-GB"/>
        </w:rPr>
        <w:t xml:space="preserve"> Case</w:t>
      </w:r>
      <w:r w:rsidRPr="008639A3">
        <w:rPr>
          <w:rFonts w:ascii="Avenir Next" w:hAnsi="Avenir Next" w:cs="Arial"/>
          <w:color w:val="808080" w:themeColor="background1" w:themeShade="80"/>
          <w:sz w:val="22"/>
          <w:szCs w:val="22"/>
          <w:lang w:val="en-GB"/>
        </w:rPr>
        <w:t xml:space="preserve">, in which some 70 insolvency proceedings in 17 countries all over the world </w:t>
      </w:r>
      <w:r>
        <w:rPr>
          <w:rFonts w:ascii="Avenir Next" w:hAnsi="Avenir Next" w:cs="Arial"/>
          <w:color w:val="808080" w:themeColor="background1" w:themeShade="80"/>
          <w:sz w:val="22"/>
          <w:szCs w:val="22"/>
          <w:lang w:val="en-GB"/>
        </w:rPr>
        <w:t>were initiated.</w:t>
      </w:r>
      <w:r>
        <w:rPr>
          <w:rStyle w:val="FootnoteReference"/>
          <w:rFonts w:ascii="Avenir Next" w:hAnsi="Avenir Next" w:cs="Arial"/>
          <w:color w:val="808080" w:themeColor="background1" w:themeShade="80"/>
          <w:sz w:val="22"/>
          <w:szCs w:val="22"/>
          <w:lang w:val="en-GB"/>
        </w:rPr>
        <w:footnoteReference w:id="8"/>
      </w:r>
    </w:p>
    <w:p w14:paraId="49984A27" w14:textId="016067A8" w:rsidR="00AB63DE" w:rsidRDefault="008639A3" w:rsidP="00971D8D">
      <w:pPr>
        <w:pStyle w:val="ListParagraph"/>
        <w:numPr>
          <w:ilvl w:val="0"/>
          <w:numId w:val="28"/>
        </w:numPr>
        <w:jc w:val="both"/>
        <w:rPr>
          <w:rFonts w:ascii="Avenir Next" w:hAnsi="Avenir Next" w:cs="Arial"/>
          <w:color w:val="808080" w:themeColor="background1" w:themeShade="80"/>
          <w:sz w:val="22"/>
          <w:szCs w:val="22"/>
          <w:lang w:val="en-GB"/>
        </w:rPr>
      </w:pPr>
      <w:r w:rsidRPr="001627E1">
        <w:rPr>
          <w:rFonts w:ascii="Avenir Next" w:hAnsi="Avenir Next" w:cs="Arial"/>
          <w:color w:val="808080" w:themeColor="background1" w:themeShade="80"/>
          <w:sz w:val="22"/>
          <w:szCs w:val="22"/>
          <w:u w:val="single"/>
          <w:lang w:val="en-GB"/>
        </w:rPr>
        <w:t>Global Principles for Cooperation in International Insolvency Cases</w:t>
      </w:r>
      <w:r w:rsidR="00985F9E" w:rsidRPr="001627E1">
        <w:rPr>
          <w:rFonts w:ascii="Avenir Next" w:hAnsi="Avenir Next" w:cs="Arial"/>
          <w:color w:val="808080" w:themeColor="background1" w:themeShade="80"/>
          <w:sz w:val="22"/>
          <w:szCs w:val="22"/>
          <w:u w:val="single"/>
          <w:lang w:val="en-GB"/>
        </w:rPr>
        <w:t xml:space="preserve"> (“Global Principles”)</w:t>
      </w:r>
      <w:r w:rsidRPr="001627E1">
        <w:rPr>
          <w:rFonts w:ascii="Avenir Next" w:hAnsi="Avenir Next" w:cs="Arial"/>
          <w:color w:val="808080" w:themeColor="background1" w:themeShade="80"/>
          <w:sz w:val="22"/>
          <w:szCs w:val="22"/>
          <w:u w:val="single"/>
          <w:lang w:val="en-GB"/>
        </w:rPr>
        <w:t>:</w:t>
      </w:r>
      <w:r w:rsidRPr="001627E1">
        <w:rPr>
          <w:rFonts w:ascii="Avenir Next" w:hAnsi="Avenir Next" w:cs="Arial"/>
          <w:color w:val="808080" w:themeColor="background1" w:themeShade="80"/>
          <w:sz w:val="22"/>
          <w:szCs w:val="22"/>
          <w:lang w:val="en-GB"/>
        </w:rPr>
        <w:t xml:space="preserve"> </w:t>
      </w:r>
      <w:r w:rsidR="00985F9E" w:rsidRPr="001627E1">
        <w:rPr>
          <w:rFonts w:ascii="Avenir Next" w:hAnsi="Avenir Next" w:cs="Arial"/>
          <w:color w:val="808080" w:themeColor="background1" w:themeShade="80"/>
          <w:sz w:val="22"/>
          <w:szCs w:val="22"/>
          <w:lang w:val="en-GB"/>
        </w:rPr>
        <w:t>These principles reflect a non-binding statement, drafted in a manner to be used in both civil law as well as common-law jurisdictions and aim to cover all jurisdictions in the world</w:t>
      </w:r>
      <w:r w:rsidR="00826B28">
        <w:rPr>
          <w:rFonts w:ascii="Avenir Next" w:hAnsi="Avenir Next" w:cs="Arial"/>
          <w:color w:val="808080" w:themeColor="background1" w:themeShade="80"/>
          <w:sz w:val="22"/>
          <w:szCs w:val="22"/>
          <w:lang w:val="en-GB"/>
        </w:rPr>
        <w:t xml:space="preserve">. </w:t>
      </w:r>
      <w:r w:rsidR="00985F9E" w:rsidRPr="001627E1">
        <w:rPr>
          <w:rFonts w:ascii="Avenir Next" w:hAnsi="Avenir Next" w:cs="Arial"/>
          <w:color w:val="808080" w:themeColor="background1" w:themeShade="80"/>
          <w:sz w:val="22"/>
          <w:szCs w:val="22"/>
          <w:lang w:val="en-GB"/>
        </w:rPr>
        <w:t xml:space="preserve">Ian F. Fletcher and Bob Wessels were appointed by the ALI to draft the same. The Global Principles further build </w:t>
      </w:r>
      <w:r w:rsidR="00826B28">
        <w:rPr>
          <w:rFonts w:ascii="Avenir Next" w:hAnsi="Avenir Next" w:cs="Arial"/>
          <w:color w:val="808080" w:themeColor="background1" w:themeShade="80"/>
          <w:sz w:val="22"/>
          <w:szCs w:val="22"/>
          <w:lang w:val="en-GB"/>
        </w:rPr>
        <w:t>o</w:t>
      </w:r>
      <w:r w:rsidR="00985F9E" w:rsidRPr="001627E1">
        <w:rPr>
          <w:rFonts w:ascii="Avenir Next" w:hAnsi="Avenir Next" w:cs="Arial"/>
          <w:color w:val="808080" w:themeColor="background1" w:themeShade="80"/>
          <w:sz w:val="22"/>
          <w:szCs w:val="22"/>
          <w:lang w:val="en-GB"/>
        </w:rPr>
        <w:t>n the ALI NAFTA Principles. The Global Principles cover mainly three areas</w:t>
      </w:r>
      <w:r w:rsidR="00826B28">
        <w:rPr>
          <w:rFonts w:ascii="Avenir Next" w:hAnsi="Avenir Next" w:cs="Arial"/>
          <w:color w:val="808080" w:themeColor="background1" w:themeShade="80"/>
          <w:sz w:val="22"/>
          <w:szCs w:val="22"/>
          <w:lang w:val="en-GB"/>
        </w:rPr>
        <w:t>, a</w:t>
      </w:r>
      <w:r w:rsidR="00985F9E" w:rsidRPr="001627E1">
        <w:rPr>
          <w:rFonts w:ascii="Avenir Next" w:hAnsi="Avenir Next" w:cs="Arial"/>
          <w:color w:val="808080" w:themeColor="background1" w:themeShade="80"/>
          <w:sz w:val="22"/>
          <w:szCs w:val="22"/>
          <w:lang w:val="en-GB"/>
        </w:rPr>
        <w:t xml:space="preserve">fter an introduction, Section II constitutes the heart of the statement. </w:t>
      </w:r>
      <w:r w:rsidR="00826B28" w:rsidRPr="001627E1">
        <w:rPr>
          <w:rFonts w:ascii="Avenir Next" w:hAnsi="Avenir Next" w:cs="Arial"/>
          <w:color w:val="808080" w:themeColor="background1" w:themeShade="80"/>
          <w:sz w:val="22"/>
          <w:szCs w:val="22"/>
          <w:lang w:val="en-GB"/>
        </w:rPr>
        <w:t>Then follows Section III, which includes a review of the appreciation of the Court-to-Court Guidelines</w:t>
      </w:r>
      <w:r w:rsidR="00826B28">
        <w:rPr>
          <w:rStyle w:val="FootnoteReference"/>
          <w:rFonts w:ascii="Avenir Next" w:hAnsi="Avenir Next" w:cs="Arial"/>
          <w:color w:val="808080" w:themeColor="background1" w:themeShade="80"/>
          <w:sz w:val="22"/>
          <w:szCs w:val="22"/>
          <w:lang w:val="en-GB"/>
        </w:rPr>
        <w:footnoteReference w:id="9"/>
      </w:r>
      <w:r w:rsidR="00826B28" w:rsidRPr="001627E1">
        <w:rPr>
          <w:rFonts w:ascii="Avenir Next" w:hAnsi="Avenir Next" w:cs="Arial"/>
          <w:color w:val="808080" w:themeColor="background1" w:themeShade="80"/>
          <w:sz w:val="22"/>
          <w:szCs w:val="22"/>
          <w:lang w:val="en-GB"/>
        </w:rPr>
        <w:t xml:space="preserve">. </w:t>
      </w:r>
      <w:r w:rsidR="00985F9E" w:rsidRPr="001627E1">
        <w:rPr>
          <w:rFonts w:ascii="Avenir Next" w:hAnsi="Avenir Next" w:cs="Arial"/>
          <w:color w:val="808080" w:themeColor="background1" w:themeShade="80"/>
          <w:sz w:val="22"/>
          <w:szCs w:val="22"/>
          <w:lang w:val="en-GB"/>
        </w:rPr>
        <w:t xml:space="preserve">The Global Principles are the result of a global research survey that established the extent to which it is feasible to achieve a worldwide acceptance of the ALI NAFTA Principles, either in their existing form or, if necessary, with modifications or variations. </w:t>
      </w:r>
    </w:p>
    <w:p w14:paraId="5CE05E9C" w14:textId="35F3ACF6" w:rsidR="001627E1" w:rsidRPr="001627E1" w:rsidRDefault="001627E1" w:rsidP="00971D8D">
      <w:pPr>
        <w:pStyle w:val="ListParagraph"/>
        <w:numPr>
          <w:ilvl w:val="0"/>
          <w:numId w:val="28"/>
        </w:numPr>
        <w:jc w:val="both"/>
        <w:rPr>
          <w:rFonts w:ascii="Avenir Next" w:hAnsi="Avenir Next" w:cs="Arial"/>
          <w:color w:val="808080" w:themeColor="background1" w:themeShade="80"/>
          <w:sz w:val="22"/>
          <w:szCs w:val="22"/>
          <w:lang w:val="en-GB"/>
        </w:rPr>
      </w:pPr>
      <w:r w:rsidRPr="001627E1">
        <w:rPr>
          <w:rFonts w:ascii="Avenir Next" w:hAnsi="Avenir Next" w:cs="Arial"/>
          <w:color w:val="808080" w:themeColor="background1" w:themeShade="80"/>
          <w:sz w:val="22"/>
          <w:szCs w:val="22"/>
          <w:u w:val="single"/>
          <w:lang w:val="en-GB"/>
        </w:rPr>
        <w:t>UNICTRAL Model Law on Cross-Border Insolvency (“Model Law”)</w:t>
      </w:r>
      <w:r>
        <w:rPr>
          <w:rFonts w:ascii="Avenir Next" w:hAnsi="Avenir Next" w:cs="Arial"/>
          <w:color w:val="808080" w:themeColor="background1" w:themeShade="80"/>
          <w:sz w:val="22"/>
          <w:szCs w:val="22"/>
          <w:lang w:val="en-GB"/>
        </w:rPr>
        <w:t xml:space="preserve">: The Model Law has been adopted by all the NAFTA countries (By United States and Canada in 2005 and by Mexico in the year 2000). </w:t>
      </w:r>
    </w:p>
    <w:p w14:paraId="22EB343F" w14:textId="34402789" w:rsidR="00AB63DE"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w:t>
      </w:r>
      <w:r w:rsidR="00092378" w:rsidRPr="004216EA">
        <w:rPr>
          <w:rFonts w:ascii="Avenir Next" w:hAnsi="Avenir Next" w:cs="Arial"/>
          <w:sz w:val="22"/>
          <w:szCs w:val="22"/>
          <w:lang w:val="en-GB"/>
        </w:rPr>
        <w:lastRenderedPageBreak/>
        <w:t xml:space="preserve">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36288C84" w14:textId="18E26ACD" w:rsidR="00677650" w:rsidRPr="00AB63DE" w:rsidRDefault="00677650" w:rsidP="00AC50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gene</w:t>
      </w:r>
      <w:r w:rsidR="00826B28">
        <w:rPr>
          <w:rFonts w:ascii="Avenir Next" w:hAnsi="Avenir Next" w:cs="Arial"/>
          <w:color w:val="808080" w:themeColor="background1" w:themeShade="80"/>
          <w:sz w:val="22"/>
          <w:szCs w:val="22"/>
          <w:lang w:val="en-GB"/>
        </w:rPr>
        <w:t>sis</w:t>
      </w:r>
      <w:r>
        <w:rPr>
          <w:rFonts w:ascii="Avenir Next" w:hAnsi="Avenir Next" w:cs="Arial"/>
          <w:color w:val="808080" w:themeColor="background1" w:themeShade="80"/>
          <w:sz w:val="22"/>
          <w:szCs w:val="22"/>
          <w:lang w:val="en-GB"/>
        </w:rPr>
        <w:t xml:space="preserve"> of the voidable dispositions in the Roman or the Civil Law can be found in the </w:t>
      </w:r>
      <w:r w:rsidR="00826B28">
        <w:rPr>
          <w:rFonts w:ascii="Avenir Next" w:hAnsi="Avenir Next" w:cs="Arial"/>
          <w:color w:val="808080" w:themeColor="background1" w:themeShade="80"/>
          <w:sz w:val="22"/>
          <w:szCs w:val="22"/>
          <w:lang w:val="en-GB"/>
        </w:rPr>
        <w:t>‘</w:t>
      </w:r>
      <w:proofErr w:type="spellStart"/>
      <w:r w:rsidRPr="00826B28">
        <w:rPr>
          <w:rFonts w:ascii="Avenir Next" w:hAnsi="Avenir Next" w:cs="Arial"/>
          <w:i/>
          <w:color w:val="808080" w:themeColor="background1" w:themeShade="80"/>
          <w:sz w:val="22"/>
          <w:szCs w:val="22"/>
          <w:lang w:val="en-GB"/>
        </w:rPr>
        <w:t>actio</w:t>
      </w:r>
      <w:proofErr w:type="spellEnd"/>
      <w:r w:rsidRPr="00826B28">
        <w:rPr>
          <w:rFonts w:ascii="Avenir Next" w:hAnsi="Avenir Next" w:cs="Arial"/>
          <w:i/>
          <w:color w:val="808080" w:themeColor="background1" w:themeShade="80"/>
          <w:sz w:val="22"/>
          <w:szCs w:val="22"/>
          <w:lang w:val="en-GB"/>
        </w:rPr>
        <w:t xml:space="preserve"> </w:t>
      </w:r>
      <w:proofErr w:type="spellStart"/>
      <w:r w:rsidRPr="00826B28">
        <w:rPr>
          <w:rFonts w:ascii="Avenir Next" w:hAnsi="Avenir Next" w:cs="Arial"/>
          <w:i/>
          <w:color w:val="808080" w:themeColor="background1" w:themeShade="80"/>
          <w:sz w:val="22"/>
          <w:szCs w:val="22"/>
          <w:lang w:val="en-GB"/>
        </w:rPr>
        <w:t>paulina</w:t>
      </w:r>
      <w:proofErr w:type="spellEnd"/>
      <w:r w:rsidR="00826B2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while under the English or Common Law the same can be found in the </w:t>
      </w:r>
      <w:r w:rsidR="00826B28">
        <w:rPr>
          <w:rFonts w:ascii="Avenir Next" w:hAnsi="Avenir Next" w:cs="Arial"/>
          <w:color w:val="808080" w:themeColor="background1" w:themeShade="80"/>
          <w:sz w:val="22"/>
          <w:szCs w:val="22"/>
          <w:lang w:val="en-GB"/>
        </w:rPr>
        <w:t>‘</w:t>
      </w:r>
      <w:r w:rsidRPr="00826B28">
        <w:rPr>
          <w:rFonts w:ascii="Avenir Next" w:hAnsi="Avenir Next" w:cs="Arial"/>
          <w:i/>
          <w:color w:val="808080" w:themeColor="background1" w:themeShade="80"/>
          <w:sz w:val="22"/>
          <w:szCs w:val="22"/>
          <w:lang w:val="en-GB"/>
        </w:rPr>
        <w:t>Act of Elizabeth of 1570</w:t>
      </w:r>
      <w:r w:rsidR="00826B28">
        <w:rPr>
          <w:rFonts w:ascii="Avenir Next" w:hAnsi="Avenir Next" w:cs="Arial"/>
          <w:i/>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dealing with fraudulent conveyances. The modern</w:t>
      </w:r>
      <w:r w:rsidR="001A179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day insolvency systems of different states may differ greatly in relation to the qualifications, remedies, defences, procedure etc</w:t>
      </w:r>
      <w:r w:rsidR="00826B2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vis a vis voidable dispositions and fraudulent conveyances and hence the same has prove</w:t>
      </w:r>
      <w:r w:rsidR="00826B28">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to be a hurdle in transnational insolvency matters. For instance</w:t>
      </w:r>
      <w:r w:rsidR="00826B2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u</w:t>
      </w:r>
      <w:r w:rsidRPr="00677650">
        <w:rPr>
          <w:rFonts w:ascii="Avenir Next" w:hAnsi="Avenir Next" w:cs="Arial"/>
          <w:color w:val="808080" w:themeColor="background1" w:themeShade="80"/>
          <w:sz w:val="22"/>
          <w:szCs w:val="22"/>
          <w:lang w:val="en-GB"/>
        </w:rPr>
        <w:t>nder German law</w:t>
      </w:r>
      <w:r>
        <w:rPr>
          <w:rFonts w:ascii="Avenir Next" w:hAnsi="Avenir Next" w:cs="Arial"/>
          <w:color w:val="808080" w:themeColor="background1" w:themeShade="80"/>
          <w:sz w:val="22"/>
          <w:szCs w:val="22"/>
          <w:lang w:val="en-GB"/>
        </w:rPr>
        <w:t xml:space="preserve"> which is based on civil law</w:t>
      </w:r>
      <w:r w:rsidRPr="00677650">
        <w:rPr>
          <w:rFonts w:ascii="Avenir Next" w:hAnsi="Avenir Next" w:cs="Arial"/>
          <w:color w:val="808080" w:themeColor="background1" w:themeShade="80"/>
          <w:sz w:val="22"/>
          <w:szCs w:val="22"/>
          <w:lang w:val="en-GB"/>
        </w:rPr>
        <w:t xml:space="preserve">, the main aim of voidable transactions provisions is to support equal treatment of all creditors. Only on a secondary level, unrighteous advantages are corrected. Thus, the rules governing voidable transactions under German law are in general, a specification of the </w:t>
      </w:r>
      <w:proofErr w:type="spellStart"/>
      <w:r w:rsidRPr="00677650">
        <w:rPr>
          <w:rFonts w:ascii="Avenir Next" w:hAnsi="Avenir Next" w:cs="Arial"/>
          <w:i/>
          <w:color w:val="808080" w:themeColor="background1" w:themeShade="80"/>
          <w:sz w:val="22"/>
          <w:szCs w:val="22"/>
          <w:lang w:val="en-GB"/>
        </w:rPr>
        <w:t>pari</w:t>
      </w:r>
      <w:proofErr w:type="spellEnd"/>
      <w:r w:rsidRPr="00677650">
        <w:rPr>
          <w:rFonts w:ascii="Avenir Next" w:hAnsi="Avenir Next" w:cs="Arial"/>
          <w:i/>
          <w:color w:val="808080" w:themeColor="background1" w:themeShade="80"/>
          <w:sz w:val="22"/>
          <w:szCs w:val="22"/>
          <w:lang w:val="en-GB"/>
        </w:rPr>
        <w:t xml:space="preserve"> </w:t>
      </w:r>
      <w:proofErr w:type="spellStart"/>
      <w:r w:rsidRPr="00677650">
        <w:rPr>
          <w:rFonts w:ascii="Avenir Next" w:hAnsi="Avenir Next" w:cs="Arial"/>
          <w:i/>
          <w:color w:val="808080" w:themeColor="background1" w:themeShade="80"/>
          <w:sz w:val="22"/>
          <w:szCs w:val="22"/>
          <w:lang w:val="en-GB"/>
        </w:rPr>
        <w:t>passu</w:t>
      </w:r>
      <w:proofErr w:type="spellEnd"/>
      <w:r w:rsidRPr="00677650">
        <w:rPr>
          <w:rFonts w:ascii="Avenir Next" w:hAnsi="Avenir Next" w:cs="Arial"/>
          <w:color w:val="808080" w:themeColor="background1" w:themeShade="80"/>
          <w:sz w:val="22"/>
          <w:szCs w:val="22"/>
          <w:lang w:val="en-GB"/>
        </w:rPr>
        <w:t xml:space="preserve"> principle.</w:t>
      </w:r>
      <w:r>
        <w:rPr>
          <w:rFonts w:ascii="Avenir Next" w:hAnsi="Avenir Next" w:cs="Arial"/>
          <w:color w:val="808080" w:themeColor="background1" w:themeShade="80"/>
          <w:sz w:val="22"/>
          <w:szCs w:val="22"/>
          <w:lang w:val="en-GB"/>
        </w:rPr>
        <w:t xml:space="preserve"> While, on the other hand, T</w:t>
      </w:r>
      <w:r w:rsidRPr="00677650">
        <w:rPr>
          <w:rFonts w:ascii="Avenir Next" w:hAnsi="Avenir Next" w:cs="Arial"/>
          <w:color w:val="808080" w:themeColor="background1" w:themeShade="80"/>
          <w:sz w:val="22"/>
          <w:szCs w:val="22"/>
          <w:lang w:val="en-GB"/>
        </w:rPr>
        <w:t xml:space="preserve">he English rules governing voidable transactions are rather narrow. According to some legal writers, the rules pursue various aims. They serve to increase the assets of the insolvent debtor; protect against unrighteous advantages of single creditors; and secure the principle of </w:t>
      </w:r>
      <w:proofErr w:type="spellStart"/>
      <w:r w:rsidRPr="00677650">
        <w:rPr>
          <w:rFonts w:ascii="Avenir Next" w:hAnsi="Avenir Next" w:cs="Arial"/>
          <w:i/>
          <w:color w:val="808080" w:themeColor="background1" w:themeShade="80"/>
          <w:sz w:val="22"/>
          <w:szCs w:val="22"/>
          <w:lang w:val="en-GB"/>
        </w:rPr>
        <w:t>pari</w:t>
      </w:r>
      <w:proofErr w:type="spellEnd"/>
      <w:r w:rsidRPr="00677650">
        <w:rPr>
          <w:rFonts w:ascii="Avenir Next" w:hAnsi="Avenir Next" w:cs="Arial"/>
          <w:i/>
          <w:color w:val="808080" w:themeColor="background1" w:themeShade="80"/>
          <w:sz w:val="22"/>
          <w:szCs w:val="22"/>
          <w:lang w:val="en-GB"/>
        </w:rPr>
        <w:t xml:space="preserve"> </w:t>
      </w:r>
      <w:proofErr w:type="spellStart"/>
      <w:r w:rsidRPr="00677650">
        <w:rPr>
          <w:rFonts w:ascii="Avenir Next" w:hAnsi="Avenir Next" w:cs="Arial"/>
          <w:i/>
          <w:color w:val="808080" w:themeColor="background1" w:themeShade="80"/>
          <w:sz w:val="22"/>
          <w:szCs w:val="22"/>
          <w:lang w:val="en-GB"/>
        </w:rPr>
        <w:t>passu</w:t>
      </w:r>
      <w:proofErr w:type="spellEnd"/>
      <w:r w:rsidRPr="00677650">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0"/>
      </w:r>
    </w:p>
    <w:p w14:paraId="6B1A06CC" w14:textId="77777777" w:rsidR="00C373B3" w:rsidRDefault="00C373B3" w:rsidP="00692852">
      <w:pPr>
        <w:jc w:val="both"/>
        <w:rPr>
          <w:rFonts w:ascii="Avenir Next" w:hAnsi="Avenir Next" w:cs="Arial"/>
          <w:color w:val="808080" w:themeColor="background1" w:themeShade="80"/>
          <w:sz w:val="22"/>
          <w:szCs w:val="22"/>
          <w:lang w:val="en-GB"/>
        </w:rPr>
      </w:pPr>
    </w:p>
    <w:p w14:paraId="32379961" w14:textId="6041B6FE" w:rsidR="001A1791" w:rsidRPr="0069635E" w:rsidRDefault="001A1791" w:rsidP="00692852">
      <w:pPr>
        <w:jc w:val="both"/>
        <w:rPr>
          <w:rFonts w:ascii="Avenir Next" w:hAnsi="Avenir Next" w:cs="Arial"/>
          <w:color w:val="808080" w:themeColor="background1" w:themeShade="80"/>
          <w:sz w:val="22"/>
          <w:szCs w:val="22"/>
          <w:lang w:val="en-GB"/>
        </w:rPr>
      </w:pPr>
      <w:r w:rsidRPr="0069635E">
        <w:rPr>
          <w:rFonts w:ascii="Avenir Next" w:hAnsi="Avenir Next" w:cs="Arial"/>
          <w:color w:val="808080" w:themeColor="background1" w:themeShade="80"/>
          <w:sz w:val="22"/>
          <w:szCs w:val="22"/>
          <w:lang w:val="en-GB"/>
        </w:rPr>
        <w:t>It can be said that the management of a corporate has the first sense of</w:t>
      </w:r>
      <w:r w:rsidR="00C373B3">
        <w:rPr>
          <w:rFonts w:ascii="Avenir Next" w:hAnsi="Avenir Next" w:cs="Arial"/>
          <w:color w:val="808080" w:themeColor="background1" w:themeShade="80"/>
          <w:sz w:val="22"/>
          <w:szCs w:val="22"/>
          <w:lang w:val="en-GB"/>
        </w:rPr>
        <w:t xml:space="preserve"> the</w:t>
      </w:r>
      <w:r w:rsidRPr="0069635E">
        <w:rPr>
          <w:rFonts w:ascii="Avenir Next" w:hAnsi="Avenir Next" w:cs="Arial"/>
          <w:color w:val="808080" w:themeColor="background1" w:themeShade="80"/>
          <w:sz w:val="22"/>
          <w:szCs w:val="22"/>
          <w:lang w:val="en-GB"/>
        </w:rPr>
        <w:t xml:space="preserve"> impending insolvency, and the same can be months or even years </w:t>
      </w:r>
      <w:r w:rsidR="00A73867" w:rsidRPr="0069635E">
        <w:rPr>
          <w:rFonts w:ascii="Avenir Next" w:hAnsi="Avenir Next" w:cs="Arial"/>
          <w:color w:val="808080" w:themeColor="background1" w:themeShade="80"/>
          <w:sz w:val="22"/>
          <w:szCs w:val="22"/>
          <w:lang w:val="en-GB"/>
        </w:rPr>
        <w:t xml:space="preserve">before any formal insolvency process is initiated </w:t>
      </w:r>
      <w:r w:rsidR="00CA36CC" w:rsidRPr="0069635E">
        <w:rPr>
          <w:rFonts w:ascii="Avenir Next" w:hAnsi="Avenir Next" w:cs="Arial"/>
          <w:color w:val="808080" w:themeColor="background1" w:themeShade="80"/>
          <w:sz w:val="22"/>
          <w:szCs w:val="22"/>
          <w:lang w:val="en-GB"/>
        </w:rPr>
        <w:t>against</w:t>
      </w:r>
      <w:r w:rsidR="00A73867" w:rsidRPr="0069635E">
        <w:rPr>
          <w:rFonts w:ascii="Avenir Next" w:hAnsi="Avenir Next" w:cs="Arial"/>
          <w:color w:val="808080" w:themeColor="background1" w:themeShade="80"/>
          <w:sz w:val="22"/>
          <w:szCs w:val="22"/>
          <w:lang w:val="en-GB"/>
        </w:rPr>
        <w:t xml:space="preserve"> the body of the corporate</w:t>
      </w:r>
      <w:r w:rsidR="008924C5" w:rsidRPr="0069635E">
        <w:rPr>
          <w:rFonts w:ascii="Avenir Next" w:hAnsi="Avenir Next" w:cs="Arial"/>
          <w:color w:val="808080" w:themeColor="background1" w:themeShade="80"/>
          <w:sz w:val="22"/>
          <w:szCs w:val="22"/>
          <w:lang w:val="en-GB"/>
        </w:rPr>
        <w:t xml:space="preserve">. Hence in anticipation of the same, </w:t>
      </w:r>
      <w:r w:rsidR="00971D8D" w:rsidRPr="0069635E">
        <w:rPr>
          <w:rFonts w:ascii="Avenir Next" w:hAnsi="Avenir Next" w:cs="Arial"/>
          <w:color w:val="808080" w:themeColor="background1" w:themeShade="80"/>
          <w:sz w:val="22"/>
          <w:szCs w:val="22"/>
          <w:lang w:val="en-GB"/>
        </w:rPr>
        <w:t xml:space="preserve">certain transactions </w:t>
      </w:r>
      <w:r w:rsidR="00C373B3">
        <w:rPr>
          <w:rFonts w:ascii="Avenir Next" w:hAnsi="Avenir Next" w:cs="Arial"/>
          <w:color w:val="808080" w:themeColor="background1" w:themeShade="80"/>
          <w:sz w:val="22"/>
          <w:szCs w:val="22"/>
          <w:lang w:val="en-GB"/>
        </w:rPr>
        <w:t xml:space="preserve">can be </w:t>
      </w:r>
      <w:r w:rsidR="00C373B3" w:rsidRPr="0069635E">
        <w:rPr>
          <w:rFonts w:ascii="Avenir Next" w:hAnsi="Avenir Next" w:cs="Arial"/>
          <w:color w:val="808080" w:themeColor="background1" w:themeShade="80"/>
          <w:sz w:val="22"/>
          <w:szCs w:val="22"/>
          <w:lang w:val="en-GB"/>
        </w:rPr>
        <w:t>entered</w:t>
      </w:r>
      <w:r w:rsidR="00971D8D" w:rsidRPr="0069635E">
        <w:rPr>
          <w:rFonts w:ascii="Avenir Next" w:hAnsi="Avenir Next" w:cs="Arial"/>
          <w:color w:val="808080" w:themeColor="background1" w:themeShade="80"/>
          <w:sz w:val="22"/>
          <w:szCs w:val="22"/>
          <w:lang w:val="en-GB"/>
        </w:rPr>
        <w:t xml:space="preserve"> which are not in the </w:t>
      </w:r>
      <w:r w:rsidR="00C373B3" w:rsidRPr="0069635E">
        <w:rPr>
          <w:rFonts w:ascii="Avenir Next" w:hAnsi="Avenir Next" w:cs="Arial"/>
          <w:color w:val="808080" w:themeColor="background1" w:themeShade="80"/>
          <w:sz w:val="22"/>
          <w:szCs w:val="22"/>
          <w:lang w:val="en-GB"/>
        </w:rPr>
        <w:t>ordinary</w:t>
      </w:r>
      <w:r w:rsidR="00971D8D" w:rsidRPr="0069635E">
        <w:rPr>
          <w:rFonts w:ascii="Avenir Next" w:hAnsi="Avenir Next" w:cs="Arial"/>
          <w:color w:val="808080" w:themeColor="background1" w:themeShade="80"/>
          <w:sz w:val="22"/>
          <w:szCs w:val="22"/>
          <w:lang w:val="en-GB"/>
        </w:rPr>
        <w:t xml:space="preserve"> </w:t>
      </w:r>
      <w:r w:rsidR="00C373B3" w:rsidRPr="0069635E">
        <w:rPr>
          <w:rFonts w:ascii="Avenir Next" w:hAnsi="Avenir Next" w:cs="Arial"/>
          <w:color w:val="808080" w:themeColor="background1" w:themeShade="80"/>
          <w:sz w:val="22"/>
          <w:szCs w:val="22"/>
          <w:lang w:val="en-GB"/>
        </w:rPr>
        <w:t>course</w:t>
      </w:r>
      <w:r w:rsidR="00971D8D" w:rsidRPr="0069635E">
        <w:rPr>
          <w:rFonts w:ascii="Avenir Next" w:hAnsi="Avenir Next" w:cs="Arial"/>
          <w:color w:val="808080" w:themeColor="background1" w:themeShade="80"/>
          <w:sz w:val="22"/>
          <w:szCs w:val="22"/>
          <w:lang w:val="en-GB"/>
        </w:rPr>
        <w:t xml:space="preserve"> of its business which leads to unjust enrichment and also erosion of the value of the co</w:t>
      </w:r>
      <w:r w:rsidR="00C373B3">
        <w:rPr>
          <w:rFonts w:ascii="Avenir Next" w:hAnsi="Avenir Next" w:cs="Arial"/>
          <w:color w:val="808080" w:themeColor="background1" w:themeShade="80"/>
          <w:sz w:val="22"/>
          <w:szCs w:val="22"/>
          <w:lang w:val="en-GB"/>
        </w:rPr>
        <w:t>rporate’s</w:t>
      </w:r>
      <w:r w:rsidR="00971D8D" w:rsidRPr="0069635E">
        <w:rPr>
          <w:rFonts w:ascii="Avenir Next" w:hAnsi="Avenir Next" w:cs="Arial"/>
          <w:color w:val="808080" w:themeColor="background1" w:themeShade="80"/>
          <w:sz w:val="22"/>
          <w:szCs w:val="22"/>
          <w:lang w:val="en-GB"/>
        </w:rPr>
        <w:t xml:space="preserve"> estate</w:t>
      </w:r>
      <w:r w:rsidR="00C373B3">
        <w:rPr>
          <w:rFonts w:ascii="Avenir Next" w:hAnsi="Avenir Next" w:cs="Arial"/>
          <w:color w:val="808080" w:themeColor="background1" w:themeShade="80"/>
          <w:sz w:val="22"/>
          <w:szCs w:val="22"/>
          <w:lang w:val="en-GB"/>
        </w:rPr>
        <w:t>,</w:t>
      </w:r>
      <w:r w:rsidR="00971D8D" w:rsidRPr="0069635E">
        <w:rPr>
          <w:rFonts w:ascii="Avenir Next" w:hAnsi="Avenir Next" w:cs="Arial"/>
          <w:color w:val="808080" w:themeColor="background1" w:themeShade="80"/>
          <w:sz w:val="22"/>
          <w:szCs w:val="22"/>
          <w:lang w:val="en-GB"/>
        </w:rPr>
        <w:t xml:space="preserve"> which ultimately leads to the non-effective implementation of insolvency provisions. </w:t>
      </w:r>
      <w:r w:rsidR="0069635E">
        <w:rPr>
          <w:rFonts w:ascii="Avenir Next" w:hAnsi="Avenir Next" w:cs="Arial"/>
          <w:color w:val="808080" w:themeColor="background1" w:themeShade="80"/>
          <w:sz w:val="22"/>
          <w:szCs w:val="22"/>
          <w:lang w:val="en-GB"/>
        </w:rPr>
        <w:t>F</w:t>
      </w:r>
      <w:r w:rsidR="0069635E" w:rsidRPr="0069635E">
        <w:rPr>
          <w:rFonts w:ascii="Avenir Next" w:hAnsi="Avenir Next" w:cs="Arial"/>
          <w:color w:val="808080" w:themeColor="background1" w:themeShade="80"/>
          <w:sz w:val="22"/>
          <w:szCs w:val="22"/>
          <w:lang w:val="en-GB"/>
        </w:rPr>
        <w:t xml:space="preserve">or this reason, insolvency laws </w:t>
      </w:r>
      <w:r w:rsidR="00C373B3">
        <w:rPr>
          <w:rFonts w:ascii="Avenir Next" w:hAnsi="Avenir Next" w:cs="Arial"/>
          <w:color w:val="808080" w:themeColor="background1" w:themeShade="80"/>
          <w:sz w:val="22"/>
          <w:szCs w:val="22"/>
          <w:lang w:val="en-GB"/>
        </w:rPr>
        <w:t>are required to</w:t>
      </w:r>
      <w:r w:rsidR="0069635E" w:rsidRPr="0069635E">
        <w:rPr>
          <w:rFonts w:ascii="Avenir Next" w:hAnsi="Avenir Next" w:cs="Arial"/>
          <w:color w:val="808080" w:themeColor="background1" w:themeShade="80"/>
          <w:sz w:val="22"/>
          <w:szCs w:val="22"/>
          <w:lang w:val="en-GB"/>
        </w:rPr>
        <w:t xml:space="preserve"> set forth a mechanism that recaptures assets whose transfer prior to the commencement of the proceedings has such a detrimental effect</w:t>
      </w:r>
      <w:r w:rsidR="0069635E">
        <w:rPr>
          <w:rStyle w:val="FootnoteReference"/>
          <w:rFonts w:ascii="Avenir Next" w:hAnsi="Avenir Next" w:cs="Arial"/>
          <w:color w:val="808080" w:themeColor="background1" w:themeShade="80"/>
          <w:sz w:val="22"/>
          <w:szCs w:val="22"/>
          <w:lang w:val="en-GB"/>
        </w:rPr>
        <w:footnoteReference w:id="11"/>
      </w:r>
      <w:r w:rsidR="0069635E" w:rsidRPr="0069635E">
        <w:rPr>
          <w:rFonts w:ascii="Avenir Next" w:hAnsi="Avenir Next" w:cs="Arial"/>
          <w:color w:val="808080" w:themeColor="background1" w:themeShade="80"/>
          <w:sz w:val="22"/>
          <w:szCs w:val="22"/>
          <w:lang w:val="en-GB"/>
        </w:rPr>
        <w:t>.</w:t>
      </w:r>
    </w:p>
    <w:p w14:paraId="5452A842" w14:textId="77777777" w:rsidR="00B0020D" w:rsidRPr="0069635E" w:rsidRDefault="00B0020D" w:rsidP="00692852">
      <w:pPr>
        <w:jc w:val="both"/>
        <w:rPr>
          <w:rFonts w:ascii="Avenir Next" w:hAnsi="Avenir Next" w:cs="Arial"/>
          <w:color w:val="808080" w:themeColor="background1" w:themeShade="80"/>
          <w:sz w:val="22"/>
          <w:szCs w:val="22"/>
          <w:lang w:val="en-GB"/>
        </w:rPr>
      </w:pPr>
    </w:p>
    <w:p w14:paraId="4FCBEE2A" w14:textId="56A0049D" w:rsidR="00971D8D" w:rsidRPr="0069635E" w:rsidRDefault="00971D8D" w:rsidP="00692852">
      <w:pPr>
        <w:jc w:val="both"/>
        <w:rPr>
          <w:rFonts w:ascii="Avenir Next" w:hAnsi="Avenir Next" w:cs="Arial"/>
          <w:color w:val="808080" w:themeColor="background1" w:themeShade="80"/>
          <w:sz w:val="22"/>
          <w:szCs w:val="22"/>
          <w:lang w:val="en-GB"/>
        </w:rPr>
      </w:pPr>
      <w:r w:rsidRPr="0069635E">
        <w:rPr>
          <w:rFonts w:ascii="Avenir Next" w:hAnsi="Avenir Next" w:cs="Arial"/>
          <w:color w:val="808080" w:themeColor="background1" w:themeShade="80"/>
          <w:sz w:val="22"/>
          <w:szCs w:val="22"/>
          <w:lang w:val="en-GB"/>
        </w:rPr>
        <w:t xml:space="preserve">The framework dealing with voidable transactions can be generic in the sense, can prescribe </w:t>
      </w:r>
      <w:r w:rsidR="00C373B3" w:rsidRPr="0069635E">
        <w:rPr>
          <w:rFonts w:ascii="Avenir Next" w:hAnsi="Avenir Next" w:cs="Arial"/>
          <w:color w:val="808080" w:themeColor="background1" w:themeShade="80"/>
          <w:sz w:val="22"/>
          <w:szCs w:val="22"/>
          <w:lang w:val="en-GB"/>
        </w:rPr>
        <w:t>a period</w:t>
      </w:r>
      <w:r w:rsidRPr="0069635E">
        <w:rPr>
          <w:rFonts w:ascii="Avenir Next" w:hAnsi="Avenir Next" w:cs="Arial"/>
          <w:color w:val="808080" w:themeColor="background1" w:themeShade="80"/>
          <w:sz w:val="22"/>
          <w:szCs w:val="22"/>
          <w:lang w:val="en-GB"/>
        </w:rPr>
        <w:t xml:space="preserve"> before the </w:t>
      </w:r>
      <w:r w:rsidR="00C373B3" w:rsidRPr="0069635E">
        <w:rPr>
          <w:rFonts w:ascii="Avenir Next" w:hAnsi="Avenir Next" w:cs="Arial"/>
          <w:color w:val="808080" w:themeColor="background1" w:themeShade="80"/>
          <w:sz w:val="22"/>
          <w:szCs w:val="22"/>
          <w:lang w:val="en-GB"/>
        </w:rPr>
        <w:t>insolvency</w:t>
      </w:r>
      <w:r w:rsidRPr="0069635E">
        <w:rPr>
          <w:rFonts w:ascii="Avenir Next" w:hAnsi="Avenir Next" w:cs="Arial"/>
          <w:color w:val="808080" w:themeColor="background1" w:themeShade="80"/>
          <w:sz w:val="22"/>
          <w:szCs w:val="22"/>
          <w:lang w:val="en-GB"/>
        </w:rPr>
        <w:t xml:space="preserve"> commencement, which will be taken a</w:t>
      </w:r>
      <w:r w:rsidR="00C373B3">
        <w:rPr>
          <w:rFonts w:ascii="Avenir Next" w:hAnsi="Avenir Next" w:cs="Arial"/>
          <w:color w:val="808080" w:themeColor="background1" w:themeShade="80"/>
          <w:sz w:val="22"/>
          <w:szCs w:val="22"/>
          <w:lang w:val="en-GB"/>
        </w:rPr>
        <w:t xml:space="preserve">s a </w:t>
      </w:r>
      <w:r w:rsidRPr="0069635E">
        <w:rPr>
          <w:rFonts w:ascii="Avenir Next" w:hAnsi="Avenir Next" w:cs="Arial"/>
          <w:color w:val="808080" w:themeColor="background1" w:themeShade="80"/>
          <w:sz w:val="22"/>
          <w:szCs w:val="22"/>
          <w:lang w:val="en-GB"/>
        </w:rPr>
        <w:t xml:space="preserve">benchmark to view and judge which transactions may fall under the said category of voidable or </w:t>
      </w:r>
      <w:r w:rsidR="00C373B3">
        <w:rPr>
          <w:rFonts w:ascii="Avenir Next" w:hAnsi="Avenir Next" w:cs="Arial"/>
          <w:color w:val="808080" w:themeColor="background1" w:themeShade="80"/>
          <w:sz w:val="22"/>
          <w:szCs w:val="22"/>
          <w:lang w:val="en-GB"/>
        </w:rPr>
        <w:t xml:space="preserve">the same </w:t>
      </w:r>
      <w:r w:rsidRPr="0069635E">
        <w:rPr>
          <w:rFonts w:ascii="Avenir Next" w:hAnsi="Avenir Next" w:cs="Arial"/>
          <w:color w:val="808080" w:themeColor="background1" w:themeShade="80"/>
          <w:sz w:val="22"/>
          <w:szCs w:val="22"/>
          <w:lang w:val="en-GB"/>
        </w:rPr>
        <w:t xml:space="preserve">can be case-specific and lay down subjective criteria such </w:t>
      </w:r>
      <w:r w:rsidR="00C373B3">
        <w:rPr>
          <w:rFonts w:ascii="Avenir Next" w:hAnsi="Avenir Next" w:cs="Arial"/>
          <w:color w:val="808080" w:themeColor="background1" w:themeShade="80"/>
          <w:sz w:val="22"/>
          <w:szCs w:val="22"/>
          <w:lang w:val="en-GB"/>
        </w:rPr>
        <w:t xml:space="preserve">as, </w:t>
      </w:r>
      <w:r w:rsidRPr="0069635E">
        <w:rPr>
          <w:rFonts w:ascii="Avenir Next" w:hAnsi="Avenir Next" w:cs="Arial"/>
          <w:color w:val="808080" w:themeColor="background1" w:themeShade="80"/>
          <w:sz w:val="22"/>
          <w:szCs w:val="22"/>
          <w:lang w:val="en-GB"/>
        </w:rPr>
        <w:t xml:space="preserve">undervaluation, </w:t>
      </w:r>
      <w:r w:rsidR="00C373B3" w:rsidRPr="0069635E">
        <w:rPr>
          <w:rFonts w:ascii="Avenir Next" w:hAnsi="Avenir Next" w:cs="Arial"/>
          <w:color w:val="808080" w:themeColor="background1" w:themeShade="80"/>
          <w:sz w:val="22"/>
          <w:szCs w:val="22"/>
          <w:lang w:val="en-GB"/>
        </w:rPr>
        <w:t>intention</w:t>
      </w:r>
      <w:r w:rsidRPr="0069635E">
        <w:rPr>
          <w:rFonts w:ascii="Avenir Next" w:hAnsi="Avenir Next" w:cs="Arial"/>
          <w:color w:val="808080" w:themeColor="background1" w:themeShade="80"/>
          <w:sz w:val="22"/>
          <w:szCs w:val="22"/>
          <w:lang w:val="en-GB"/>
        </w:rPr>
        <w:t xml:space="preserve"> of the parties etc. Below are the various kinds of voidable transactions which are usually investigated</w:t>
      </w:r>
      <w:r w:rsidR="002F611F" w:rsidRPr="0069635E">
        <w:rPr>
          <w:rFonts w:ascii="Avenir Next" w:hAnsi="Avenir Next" w:cs="Arial"/>
          <w:color w:val="808080" w:themeColor="background1" w:themeShade="80"/>
          <w:sz w:val="22"/>
          <w:szCs w:val="22"/>
          <w:lang w:val="en-GB"/>
        </w:rPr>
        <w:t xml:space="preserve"> and </w:t>
      </w:r>
      <w:r w:rsidR="00C373B3">
        <w:rPr>
          <w:rFonts w:ascii="Avenir Next" w:hAnsi="Avenir Next" w:cs="Arial"/>
          <w:color w:val="808080" w:themeColor="background1" w:themeShade="80"/>
          <w:sz w:val="22"/>
          <w:szCs w:val="22"/>
          <w:lang w:val="en-GB"/>
        </w:rPr>
        <w:t xml:space="preserve">sought to </w:t>
      </w:r>
      <w:r w:rsidR="002F611F" w:rsidRPr="0069635E">
        <w:rPr>
          <w:rFonts w:ascii="Avenir Next" w:hAnsi="Avenir Next" w:cs="Arial"/>
          <w:color w:val="808080" w:themeColor="background1" w:themeShade="80"/>
          <w:sz w:val="22"/>
          <w:szCs w:val="22"/>
          <w:lang w:val="en-GB"/>
        </w:rPr>
        <w:t xml:space="preserve">set aside to restore the </w:t>
      </w:r>
      <w:r w:rsidR="00C373B3" w:rsidRPr="0069635E">
        <w:rPr>
          <w:rFonts w:ascii="Avenir Next" w:hAnsi="Avenir Next" w:cs="Arial"/>
          <w:color w:val="808080" w:themeColor="background1" w:themeShade="80"/>
          <w:sz w:val="22"/>
          <w:szCs w:val="22"/>
          <w:lang w:val="en-GB"/>
        </w:rPr>
        <w:t>positions</w:t>
      </w:r>
      <w:r w:rsidR="002F611F" w:rsidRPr="0069635E">
        <w:rPr>
          <w:rFonts w:ascii="Avenir Next" w:hAnsi="Avenir Next" w:cs="Arial"/>
          <w:color w:val="808080" w:themeColor="background1" w:themeShade="80"/>
          <w:sz w:val="22"/>
          <w:szCs w:val="22"/>
          <w:lang w:val="en-GB"/>
        </w:rPr>
        <w:t xml:space="preserve"> as it existed before such a transaction</w:t>
      </w:r>
      <w:r w:rsidRPr="0069635E">
        <w:rPr>
          <w:rFonts w:ascii="Avenir Next" w:hAnsi="Avenir Next" w:cs="Arial"/>
          <w:color w:val="808080" w:themeColor="background1" w:themeShade="80"/>
          <w:sz w:val="22"/>
          <w:szCs w:val="22"/>
          <w:lang w:val="en-GB"/>
        </w:rPr>
        <w:t>:</w:t>
      </w:r>
    </w:p>
    <w:p w14:paraId="78DC64AA" w14:textId="31E96B26" w:rsidR="00971D8D" w:rsidRPr="0069635E" w:rsidRDefault="00971D8D" w:rsidP="00971D8D">
      <w:pPr>
        <w:pStyle w:val="ListParagraph"/>
        <w:numPr>
          <w:ilvl w:val="0"/>
          <w:numId w:val="29"/>
        </w:numPr>
        <w:jc w:val="both"/>
        <w:rPr>
          <w:rFonts w:ascii="Avenir Next" w:hAnsi="Avenir Next" w:cs="Arial"/>
          <w:color w:val="808080" w:themeColor="background1" w:themeShade="80"/>
          <w:sz w:val="22"/>
          <w:szCs w:val="22"/>
          <w:lang w:val="en-GB"/>
        </w:rPr>
      </w:pPr>
      <w:r w:rsidRPr="00C373B3">
        <w:rPr>
          <w:rFonts w:ascii="Avenir Next" w:hAnsi="Avenir Next" w:cs="Arial"/>
          <w:color w:val="808080" w:themeColor="background1" w:themeShade="80"/>
          <w:sz w:val="22"/>
          <w:szCs w:val="22"/>
          <w:u w:val="single"/>
          <w:lang w:val="en-GB"/>
        </w:rPr>
        <w:t>Transactions to defraud the creditors</w:t>
      </w:r>
      <w:r w:rsidRPr="0069635E">
        <w:rPr>
          <w:rFonts w:ascii="Avenir Next" w:hAnsi="Avenir Next" w:cs="Arial"/>
          <w:color w:val="808080" w:themeColor="background1" w:themeShade="80"/>
          <w:sz w:val="22"/>
          <w:szCs w:val="22"/>
          <w:lang w:val="en-GB"/>
        </w:rPr>
        <w:t xml:space="preserve">: When the corporate has entered into transactions with a specific aim of keeping the assets beyond the reach of a person who are </w:t>
      </w:r>
      <w:r w:rsidR="00C373B3" w:rsidRPr="0069635E">
        <w:rPr>
          <w:rFonts w:ascii="Avenir Next" w:hAnsi="Avenir Next" w:cs="Arial"/>
          <w:color w:val="808080" w:themeColor="background1" w:themeShade="80"/>
          <w:sz w:val="22"/>
          <w:szCs w:val="22"/>
          <w:lang w:val="en-GB"/>
        </w:rPr>
        <w:t>entitled</w:t>
      </w:r>
      <w:r w:rsidRPr="0069635E">
        <w:rPr>
          <w:rFonts w:ascii="Avenir Next" w:hAnsi="Avenir Next" w:cs="Arial"/>
          <w:color w:val="808080" w:themeColor="background1" w:themeShade="80"/>
          <w:sz w:val="22"/>
          <w:szCs w:val="22"/>
          <w:lang w:val="en-GB"/>
        </w:rPr>
        <w:t xml:space="preserve"> to make a claim over it, or in order to adversely affect the interests of the aforementioned claimants </w:t>
      </w:r>
      <w:r w:rsidR="002F611F" w:rsidRPr="0069635E">
        <w:rPr>
          <w:rFonts w:ascii="Avenir Next" w:hAnsi="Avenir Next" w:cs="Arial"/>
          <w:color w:val="808080" w:themeColor="background1" w:themeShade="80"/>
          <w:sz w:val="22"/>
          <w:szCs w:val="22"/>
          <w:lang w:val="en-GB"/>
        </w:rPr>
        <w:t xml:space="preserve">and moreover, where the intention </w:t>
      </w:r>
      <w:r w:rsidR="00C373B3">
        <w:rPr>
          <w:rFonts w:ascii="Avenir Next" w:hAnsi="Avenir Next" w:cs="Arial"/>
          <w:color w:val="808080" w:themeColor="background1" w:themeShade="80"/>
          <w:sz w:val="22"/>
          <w:szCs w:val="22"/>
          <w:lang w:val="en-GB"/>
        </w:rPr>
        <w:t xml:space="preserve">is </w:t>
      </w:r>
      <w:r w:rsidR="002F611F" w:rsidRPr="0069635E">
        <w:rPr>
          <w:rFonts w:ascii="Avenir Next" w:hAnsi="Avenir Next" w:cs="Arial"/>
          <w:color w:val="808080" w:themeColor="background1" w:themeShade="80"/>
          <w:sz w:val="22"/>
          <w:szCs w:val="22"/>
          <w:lang w:val="en-GB"/>
        </w:rPr>
        <w:t xml:space="preserve">to defraud the </w:t>
      </w:r>
      <w:r w:rsidR="00C373B3" w:rsidRPr="0069635E">
        <w:rPr>
          <w:rFonts w:ascii="Avenir Next" w:hAnsi="Avenir Next" w:cs="Arial"/>
          <w:color w:val="808080" w:themeColor="background1" w:themeShade="80"/>
          <w:sz w:val="22"/>
          <w:szCs w:val="22"/>
          <w:lang w:val="en-GB"/>
        </w:rPr>
        <w:t>creditors,</w:t>
      </w:r>
      <w:r w:rsidR="002F611F" w:rsidRPr="0069635E">
        <w:rPr>
          <w:rFonts w:ascii="Avenir Next" w:hAnsi="Avenir Next" w:cs="Arial"/>
          <w:color w:val="808080" w:themeColor="background1" w:themeShade="80"/>
          <w:sz w:val="22"/>
          <w:szCs w:val="22"/>
          <w:lang w:val="en-GB"/>
        </w:rPr>
        <w:t xml:space="preserve"> or the claimants is clear for the facts.</w:t>
      </w:r>
    </w:p>
    <w:p w14:paraId="453A8875" w14:textId="48CD5FCE" w:rsidR="002F611F" w:rsidRPr="0069635E" w:rsidRDefault="002F611F" w:rsidP="00971D8D">
      <w:pPr>
        <w:pStyle w:val="ListParagraph"/>
        <w:numPr>
          <w:ilvl w:val="0"/>
          <w:numId w:val="29"/>
        </w:numPr>
        <w:jc w:val="both"/>
        <w:rPr>
          <w:rFonts w:ascii="Avenir Next" w:hAnsi="Avenir Next" w:cs="Arial"/>
          <w:color w:val="808080" w:themeColor="background1" w:themeShade="80"/>
          <w:sz w:val="22"/>
          <w:szCs w:val="22"/>
          <w:lang w:val="en-GB"/>
        </w:rPr>
      </w:pPr>
      <w:r w:rsidRPr="00C373B3">
        <w:rPr>
          <w:rFonts w:ascii="Avenir Next" w:hAnsi="Avenir Next" w:cs="Arial"/>
          <w:color w:val="808080" w:themeColor="background1" w:themeShade="80"/>
          <w:sz w:val="22"/>
          <w:szCs w:val="22"/>
          <w:u w:val="single"/>
          <w:lang w:val="en-GB"/>
        </w:rPr>
        <w:t>Undervalued Transactions</w:t>
      </w:r>
      <w:r w:rsidRPr="0069635E">
        <w:rPr>
          <w:rFonts w:ascii="Avenir Next" w:hAnsi="Avenir Next" w:cs="Arial"/>
          <w:color w:val="808080" w:themeColor="background1" w:themeShade="80"/>
          <w:sz w:val="22"/>
          <w:szCs w:val="22"/>
          <w:lang w:val="en-GB"/>
        </w:rPr>
        <w:t xml:space="preserve">: Transactions where the corporate has made a gift/donation to any person or </w:t>
      </w:r>
      <w:r w:rsidR="00C373B3" w:rsidRPr="0069635E">
        <w:rPr>
          <w:rFonts w:ascii="Avenir Next" w:hAnsi="Avenir Next" w:cs="Arial"/>
          <w:color w:val="808080" w:themeColor="background1" w:themeShade="80"/>
          <w:sz w:val="22"/>
          <w:szCs w:val="22"/>
          <w:lang w:val="en-GB"/>
        </w:rPr>
        <w:t>transactions</w:t>
      </w:r>
      <w:r w:rsidRPr="0069635E">
        <w:rPr>
          <w:rFonts w:ascii="Avenir Next" w:hAnsi="Avenir Next" w:cs="Arial"/>
          <w:color w:val="808080" w:themeColor="background1" w:themeShade="80"/>
          <w:sz w:val="22"/>
          <w:szCs w:val="22"/>
          <w:lang w:val="en-GB"/>
        </w:rPr>
        <w:t xml:space="preserve"> qua an asset </w:t>
      </w:r>
      <w:r w:rsidR="00C373B3" w:rsidRPr="0069635E">
        <w:rPr>
          <w:rFonts w:ascii="Avenir Next" w:hAnsi="Avenir Next" w:cs="Arial"/>
          <w:color w:val="808080" w:themeColor="background1" w:themeShade="80"/>
          <w:sz w:val="22"/>
          <w:szCs w:val="22"/>
          <w:lang w:val="en-GB"/>
        </w:rPr>
        <w:t>where</w:t>
      </w:r>
      <w:r w:rsidRPr="0069635E">
        <w:rPr>
          <w:rFonts w:ascii="Avenir Next" w:hAnsi="Avenir Next" w:cs="Arial"/>
          <w:color w:val="808080" w:themeColor="background1" w:themeShade="80"/>
          <w:sz w:val="22"/>
          <w:szCs w:val="22"/>
          <w:lang w:val="en-GB"/>
        </w:rPr>
        <w:t xml:space="preserve"> the consideration of the same is significantly less, or not at arm’s length and outside the </w:t>
      </w:r>
      <w:r w:rsidR="00C373B3" w:rsidRPr="0069635E">
        <w:rPr>
          <w:rFonts w:ascii="Avenir Next" w:hAnsi="Avenir Next" w:cs="Arial"/>
          <w:color w:val="808080" w:themeColor="background1" w:themeShade="80"/>
          <w:sz w:val="22"/>
          <w:szCs w:val="22"/>
          <w:lang w:val="en-GB"/>
        </w:rPr>
        <w:t>ordinary</w:t>
      </w:r>
      <w:r w:rsidRPr="0069635E">
        <w:rPr>
          <w:rFonts w:ascii="Avenir Next" w:hAnsi="Avenir Next" w:cs="Arial"/>
          <w:color w:val="808080" w:themeColor="background1" w:themeShade="80"/>
          <w:sz w:val="22"/>
          <w:szCs w:val="22"/>
          <w:lang w:val="en-GB"/>
        </w:rPr>
        <w:t xml:space="preserve"> course of </w:t>
      </w:r>
      <w:r w:rsidR="00C373B3" w:rsidRPr="0069635E">
        <w:rPr>
          <w:rFonts w:ascii="Avenir Next" w:hAnsi="Avenir Next" w:cs="Arial"/>
          <w:color w:val="808080" w:themeColor="background1" w:themeShade="80"/>
          <w:sz w:val="22"/>
          <w:szCs w:val="22"/>
          <w:lang w:val="en-GB"/>
        </w:rPr>
        <w:t>business</w:t>
      </w:r>
      <w:r w:rsidRPr="0069635E">
        <w:rPr>
          <w:rFonts w:ascii="Avenir Next" w:hAnsi="Avenir Next" w:cs="Arial"/>
          <w:color w:val="808080" w:themeColor="background1" w:themeShade="80"/>
          <w:sz w:val="22"/>
          <w:szCs w:val="22"/>
          <w:lang w:val="en-GB"/>
        </w:rPr>
        <w:t xml:space="preserve"> of the corporate are also subject to review and claw back</w:t>
      </w:r>
    </w:p>
    <w:p w14:paraId="023F4733" w14:textId="743BFEC1" w:rsidR="002F611F" w:rsidRPr="0069635E" w:rsidRDefault="00B0020D" w:rsidP="00971D8D">
      <w:pPr>
        <w:pStyle w:val="ListParagraph"/>
        <w:numPr>
          <w:ilvl w:val="0"/>
          <w:numId w:val="29"/>
        </w:numPr>
        <w:jc w:val="both"/>
        <w:rPr>
          <w:rFonts w:ascii="Avenir Next" w:hAnsi="Avenir Next" w:cs="Arial"/>
          <w:color w:val="808080" w:themeColor="background1" w:themeShade="80"/>
          <w:sz w:val="22"/>
          <w:szCs w:val="22"/>
          <w:lang w:val="en-GB"/>
        </w:rPr>
      </w:pPr>
      <w:r w:rsidRPr="00C373B3">
        <w:rPr>
          <w:rFonts w:ascii="Avenir Next" w:hAnsi="Avenir Next" w:cs="Arial"/>
          <w:color w:val="808080" w:themeColor="background1" w:themeShade="80"/>
          <w:sz w:val="22"/>
          <w:szCs w:val="22"/>
          <w:u w:val="single"/>
          <w:lang w:val="en-GB"/>
        </w:rPr>
        <w:t>Preferential</w:t>
      </w:r>
      <w:r w:rsidR="002F611F" w:rsidRPr="00C373B3">
        <w:rPr>
          <w:rFonts w:ascii="Avenir Next" w:hAnsi="Avenir Next" w:cs="Arial"/>
          <w:color w:val="808080" w:themeColor="background1" w:themeShade="80"/>
          <w:sz w:val="22"/>
          <w:szCs w:val="22"/>
          <w:u w:val="single"/>
          <w:lang w:val="en-GB"/>
        </w:rPr>
        <w:t xml:space="preserve"> Transactions</w:t>
      </w:r>
      <w:r w:rsidR="002F611F" w:rsidRPr="0069635E">
        <w:rPr>
          <w:rFonts w:ascii="Avenir Next" w:hAnsi="Avenir Next" w:cs="Arial"/>
          <w:color w:val="808080" w:themeColor="background1" w:themeShade="80"/>
          <w:sz w:val="22"/>
          <w:szCs w:val="22"/>
          <w:lang w:val="en-GB"/>
        </w:rPr>
        <w:t>: Where the corporate has transferred a property or an interest for the benefit of any creditor which has put such a creditor in a more beneficial pos</w:t>
      </w:r>
      <w:r w:rsidR="00C373B3">
        <w:rPr>
          <w:rFonts w:ascii="Avenir Next" w:hAnsi="Avenir Next" w:cs="Arial"/>
          <w:color w:val="808080" w:themeColor="background1" w:themeShade="80"/>
          <w:sz w:val="22"/>
          <w:szCs w:val="22"/>
          <w:lang w:val="en-GB"/>
        </w:rPr>
        <w:t>i</w:t>
      </w:r>
      <w:r w:rsidR="002F611F" w:rsidRPr="0069635E">
        <w:rPr>
          <w:rFonts w:ascii="Avenir Next" w:hAnsi="Avenir Next" w:cs="Arial"/>
          <w:color w:val="808080" w:themeColor="background1" w:themeShade="80"/>
          <w:sz w:val="22"/>
          <w:szCs w:val="22"/>
          <w:lang w:val="en-GB"/>
        </w:rPr>
        <w:t xml:space="preserve">tion qua the other prejudiced creditors and qua what that creditor may have usually received from the estate </w:t>
      </w:r>
      <w:r w:rsidR="00C373B3" w:rsidRPr="0069635E">
        <w:rPr>
          <w:rFonts w:ascii="Avenir Next" w:hAnsi="Avenir Next" w:cs="Arial"/>
          <w:color w:val="808080" w:themeColor="background1" w:themeShade="80"/>
          <w:sz w:val="22"/>
          <w:szCs w:val="22"/>
          <w:lang w:val="en-GB"/>
        </w:rPr>
        <w:t>distribution</w:t>
      </w:r>
      <w:r w:rsidR="002F611F" w:rsidRPr="0069635E">
        <w:rPr>
          <w:rFonts w:ascii="Avenir Next" w:hAnsi="Avenir Next" w:cs="Arial"/>
          <w:color w:val="808080" w:themeColor="background1" w:themeShade="80"/>
          <w:sz w:val="22"/>
          <w:szCs w:val="22"/>
          <w:lang w:val="en-GB"/>
        </w:rPr>
        <w:t xml:space="preserve"> of the </w:t>
      </w:r>
      <w:r w:rsidRPr="0069635E">
        <w:rPr>
          <w:rFonts w:ascii="Avenir Next" w:hAnsi="Avenir Next" w:cs="Arial"/>
          <w:color w:val="808080" w:themeColor="background1" w:themeShade="80"/>
          <w:sz w:val="22"/>
          <w:szCs w:val="22"/>
          <w:lang w:val="en-GB"/>
        </w:rPr>
        <w:t>corporate</w:t>
      </w:r>
      <w:r w:rsidR="00C373B3">
        <w:rPr>
          <w:rFonts w:ascii="Avenir Next" w:hAnsi="Avenir Next" w:cs="Arial"/>
          <w:color w:val="808080" w:themeColor="background1" w:themeShade="80"/>
          <w:sz w:val="22"/>
          <w:szCs w:val="22"/>
          <w:lang w:val="en-GB"/>
        </w:rPr>
        <w:t xml:space="preserve"> in the normal course of liquidation/insolvency</w:t>
      </w:r>
      <w:r w:rsidRPr="0069635E">
        <w:rPr>
          <w:rFonts w:ascii="Avenir Next" w:hAnsi="Avenir Next" w:cs="Arial"/>
          <w:color w:val="808080" w:themeColor="background1" w:themeShade="80"/>
          <w:sz w:val="22"/>
          <w:szCs w:val="22"/>
          <w:lang w:val="en-GB"/>
        </w:rPr>
        <w:t>. In such case</w:t>
      </w:r>
      <w:r w:rsidR="00C373B3">
        <w:rPr>
          <w:rFonts w:ascii="Avenir Next" w:hAnsi="Avenir Next" w:cs="Arial"/>
          <w:color w:val="808080" w:themeColor="background1" w:themeShade="80"/>
          <w:sz w:val="22"/>
          <w:szCs w:val="22"/>
          <w:lang w:val="en-GB"/>
        </w:rPr>
        <w:t>s</w:t>
      </w:r>
      <w:r w:rsidRPr="0069635E">
        <w:rPr>
          <w:rFonts w:ascii="Avenir Next" w:hAnsi="Avenir Next" w:cs="Arial"/>
          <w:color w:val="808080" w:themeColor="background1" w:themeShade="80"/>
          <w:sz w:val="22"/>
          <w:szCs w:val="22"/>
          <w:lang w:val="en-GB"/>
        </w:rPr>
        <w:t xml:space="preserve"> the </w:t>
      </w:r>
      <w:r w:rsidR="00C373B3">
        <w:rPr>
          <w:rFonts w:ascii="Avenir Next" w:hAnsi="Avenir Next" w:cs="Arial"/>
          <w:color w:val="808080" w:themeColor="background1" w:themeShade="80"/>
          <w:sz w:val="22"/>
          <w:szCs w:val="22"/>
          <w:lang w:val="en-GB"/>
        </w:rPr>
        <w:t xml:space="preserve">said </w:t>
      </w:r>
      <w:r w:rsidRPr="0069635E">
        <w:rPr>
          <w:rFonts w:ascii="Avenir Next" w:hAnsi="Avenir Next" w:cs="Arial"/>
          <w:color w:val="808080" w:themeColor="background1" w:themeShade="80"/>
          <w:sz w:val="22"/>
          <w:szCs w:val="22"/>
          <w:lang w:val="en-GB"/>
        </w:rPr>
        <w:t>benefit</w:t>
      </w:r>
      <w:r w:rsidR="00C373B3">
        <w:rPr>
          <w:rFonts w:ascii="Avenir Next" w:hAnsi="Avenir Next" w:cs="Arial"/>
          <w:color w:val="808080" w:themeColor="background1" w:themeShade="80"/>
          <w:sz w:val="22"/>
          <w:szCs w:val="22"/>
          <w:lang w:val="en-GB"/>
        </w:rPr>
        <w:t xml:space="preserve"> or preference</w:t>
      </w:r>
      <w:r w:rsidRPr="0069635E">
        <w:rPr>
          <w:rFonts w:ascii="Avenir Next" w:hAnsi="Avenir Next" w:cs="Arial"/>
          <w:color w:val="808080" w:themeColor="background1" w:themeShade="80"/>
          <w:sz w:val="22"/>
          <w:szCs w:val="22"/>
          <w:lang w:val="en-GB"/>
        </w:rPr>
        <w:t xml:space="preserve"> is often subject to a claw back from such creditors</w:t>
      </w:r>
      <w:r w:rsidR="00C373B3">
        <w:rPr>
          <w:rFonts w:ascii="Avenir Next" w:hAnsi="Avenir Next" w:cs="Arial"/>
          <w:color w:val="808080" w:themeColor="background1" w:themeShade="80"/>
          <w:sz w:val="22"/>
          <w:szCs w:val="22"/>
          <w:lang w:val="en-GB"/>
        </w:rPr>
        <w:t>.</w:t>
      </w:r>
    </w:p>
    <w:p w14:paraId="4BF8DCD1" w14:textId="22860F6F" w:rsidR="00B0020D" w:rsidRPr="0069635E" w:rsidRDefault="00C373B3" w:rsidP="00971D8D">
      <w:pPr>
        <w:pStyle w:val="ListParagraph"/>
        <w:numPr>
          <w:ilvl w:val="0"/>
          <w:numId w:val="29"/>
        </w:numPr>
        <w:jc w:val="both"/>
        <w:rPr>
          <w:rFonts w:ascii="Avenir Next" w:hAnsi="Avenir Next" w:cs="Arial"/>
          <w:color w:val="808080" w:themeColor="background1" w:themeShade="80"/>
          <w:sz w:val="22"/>
          <w:szCs w:val="22"/>
          <w:lang w:val="en-GB"/>
        </w:rPr>
      </w:pPr>
      <w:r w:rsidRPr="00C373B3">
        <w:rPr>
          <w:rFonts w:ascii="Avenir Next" w:hAnsi="Avenir Next" w:cs="Arial"/>
          <w:color w:val="808080" w:themeColor="background1" w:themeShade="80"/>
          <w:sz w:val="22"/>
          <w:szCs w:val="22"/>
          <w:u w:val="single"/>
          <w:lang w:val="en-GB"/>
        </w:rPr>
        <w:lastRenderedPageBreak/>
        <w:t>Extortionate</w:t>
      </w:r>
      <w:r w:rsidR="00B0020D" w:rsidRPr="00C373B3">
        <w:rPr>
          <w:rFonts w:ascii="Avenir Next" w:hAnsi="Avenir Next" w:cs="Arial"/>
          <w:color w:val="808080" w:themeColor="background1" w:themeShade="80"/>
          <w:sz w:val="22"/>
          <w:szCs w:val="22"/>
          <w:u w:val="single"/>
          <w:lang w:val="en-GB"/>
        </w:rPr>
        <w:t xml:space="preserve"> Credit Transactions</w:t>
      </w:r>
      <w:r w:rsidR="00B0020D" w:rsidRPr="0069635E">
        <w:rPr>
          <w:rFonts w:ascii="Avenir Next" w:hAnsi="Avenir Next" w:cs="Arial"/>
          <w:color w:val="808080" w:themeColor="background1" w:themeShade="80"/>
          <w:sz w:val="22"/>
          <w:szCs w:val="22"/>
          <w:lang w:val="en-GB"/>
        </w:rPr>
        <w:t xml:space="preserve">: The ordinary credit </w:t>
      </w:r>
      <w:r w:rsidRPr="0069635E">
        <w:rPr>
          <w:rFonts w:ascii="Avenir Next" w:hAnsi="Avenir Next" w:cs="Arial"/>
          <w:color w:val="808080" w:themeColor="background1" w:themeShade="80"/>
          <w:sz w:val="22"/>
          <w:szCs w:val="22"/>
          <w:lang w:val="en-GB"/>
        </w:rPr>
        <w:t>transactions</w:t>
      </w:r>
      <w:r w:rsidR="00B0020D" w:rsidRPr="0069635E">
        <w:rPr>
          <w:rFonts w:ascii="Avenir Next" w:hAnsi="Avenir Next" w:cs="Arial"/>
          <w:color w:val="808080" w:themeColor="background1" w:themeShade="80"/>
          <w:sz w:val="22"/>
          <w:szCs w:val="22"/>
          <w:lang w:val="en-GB"/>
        </w:rPr>
        <w:t xml:space="preserve"> which are </w:t>
      </w:r>
      <w:r w:rsidRPr="0069635E">
        <w:rPr>
          <w:rFonts w:ascii="Avenir Next" w:hAnsi="Avenir Next" w:cs="Arial"/>
          <w:color w:val="808080" w:themeColor="background1" w:themeShade="80"/>
          <w:sz w:val="22"/>
          <w:szCs w:val="22"/>
          <w:lang w:val="en-GB"/>
        </w:rPr>
        <w:t>entered</w:t>
      </w:r>
      <w:r w:rsidR="00B0020D" w:rsidRPr="0069635E">
        <w:rPr>
          <w:rFonts w:ascii="Avenir Next" w:hAnsi="Avenir Next" w:cs="Arial"/>
          <w:color w:val="808080" w:themeColor="background1" w:themeShade="80"/>
          <w:sz w:val="22"/>
          <w:szCs w:val="22"/>
          <w:lang w:val="en-GB"/>
        </w:rPr>
        <w:t xml:space="preserve"> close to the commencement of insolvency are often nullified and there is a presumption that insolvency already existed when the pay</w:t>
      </w:r>
      <w:r>
        <w:rPr>
          <w:rFonts w:ascii="Avenir Next" w:hAnsi="Avenir Next" w:cs="Arial"/>
          <w:color w:val="808080" w:themeColor="background1" w:themeShade="80"/>
          <w:sz w:val="22"/>
          <w:szCs w:val="22"/>
          <w:lang w:val="en-GB"/>
        </w:rPr>
        <w:t xml:space="preserve">ment </w:t>
      </w:r>
      <w:r w:rsidR="00B0020D" w:rsidRPr="0069635E">
        <w:rPr>
          <w:rFonts w:ascii="Avenir Next" w:hAnsi="Avenir Next" w:cs="Arial"/>
          <w:color w:val="808080" w:themeColor="background1" w:themeShade="80"/>
          <w:sz w:val="22"/>
          <w:szCs w:val="22"/>
          <w:lang w:val="en-GB"/>
        </w:rPr>
        <w:t xml:space="preserve">was made. </w:t>
      </w:r>
    </w:p>
    <w:p w14:paraId="284C30BF" w14:textId="77777777" w:rsidR="00B0020D" w:rsidRPr="0069635E" w:rsidRDefault="00B0020D" w:rsidP="00B0020D">
      <w:pPr>
        <w:jc w:val="both"/>
        <w:rPr>
          <w:rFonts w:ascii="Avenir Next" w:hAnsi="Avenir Next" w:cs="Arial"/>
          <w:color w:val="808080" w:themeColor="background1" w:themeShade="80"/>
          <w:sz w:val="22"/>
          <w:szCs w:val="22"/>
          <w:lang w:val="en-GB"/>
        </w:rPr>
      </w:pPr>
    </w:p>
    <w:p w14:paraId="0DCFD5B9" w14:textId="0CAC1DE6" w:rsidR="00DD526C" w:rsidRDefault="00B0020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the above transactions, the law can either make them void or voidable, which is often left to the liquidator/insolvency practitioner to determine in relation to whether the same will or will not be beneficial to the estate. Some </w:t>
      </w:r>
      <w:r w:rsidR="00C373B3">
        <w:rPr>
          <w:rFonts w:ascii="Avenir Next" w:hAnsi="Avenir Next" w:cs="Arial"/>
          <w:color w:val="808080" w:themeColor="background1" w:themeShade="80"/>
          <w:sz w:val="22"/>
          <w:szCs w:val="22"/>
          <w:lang w:val="en-GB"/>
        </w:rPr>
        <w:t>jurisdictions</w:t>
      </w:r>
      <w:r>
        <w:rPr>
          <w:rFonts w:ascii="Avenir Next" w:hAnsi="Avenir Next" w:cs="Arial"/>
          <w:color w:val="808080" w:themeColor="background1" w:themeShade="80"/>
          <w:sz w:val="22"/>
          <w:szCs w:val="22"/>
          <w:lang w:val="en-GB"/>
        </w:rPr>
        <w:t xml:space="preserve"> also allow the creditors of an estate to make </w:t>
      </w:r>
      <w:r w:rsidR="00C373B3">
        <w:rPr>
          <w:rFonts w:ascii="Avenir Next" w:hAnsi="Avenir Next" w:cs="Arial"/>
          <w:color w:val="808080" w:themeColor="background1" w:themeShade="80"/>
          <w:sz w:val="22"/>
          <w:szCs w:val="22"/>
          <w:lang w:val="en-GB"/>
        </w:rPr>
        <w:t xml:space="preserve">an </w:t>
      </w:r>
      <w:r>
        <w:rPr>
          <w:rFonts w:ascii="Avenir Next" w:hAnsi="Avenir Next" w:cs="Arial"/>
          <w:color w:val="808080" w:themeColor="background1" w:themeShade="80"/>
          <w:sz w:val="22"/>
          <w:szCs w:val="22"/>
          <w:lang w:val="en-GB"/>
        </w:rPr>
        <w:t xml:space="preserve">application to </w:t>
      </w:r>
      <w:r w:rsidR="00C373B3">
        <w:rPr>
          <w:rFonts w:ascii="Avenir Next" w:hAnsi="Avenir Next" w:cs="Arial"/>
          <w:color w:val="808080" w:themeColor="background1" w:themeShade="80"/>
          <w:sz w:val="22"/>
          <w:szCs w:val="22"/>
          <w:lang w:val="en-GB"/>
        </w:rPr>
        <w:t>avoid</w:t>
      </w:r>
      <w:r>
        <w:rPr>
          <w:rFonts w:ascii="Avenir Next" w:hAnsi="Avenir Next" w:cs="Arial"/>
          <w:color w:val="808080" w:themeColor="background1" w:themeShade="80"/>
          <w:sz w:val="22"/>
          <w:szCs w:val="22"/>
          <w:lang w:val="en-GB"/>
        </w:rPr>
        <w:t xml:space="preserve"> such transactions before the insolvency court. One another question to be determined is that where will the benefit of such a set-aside, claw back </w:t>
      </w:r>
      <w:r w:rsidR="0069635E">
        <w:rPr>
          <w:rFonts w:ascii="Avenir Next" w:hAnsi="Avenir Next" w:cs="Arial"/>
          <w:color w:val="808080" w:themeColor="background1" w:themeShade="80"/>
          <w:sz w:val="22"/>
          <w:szCs w:val="22"/>
          <w:lang w:val="en-GB"/>
        </w:rPr>
        <w:t xml:space="preserve">order of a bankruptcy court flow? The same in many instances </w:t>
      </w:r>
      <w:r w:rsidR="00C373B3">
        <w:rPr>
          <w:rFonts w:ascii="Avenir Next" w:hAnsi="Avenir Next" w:cs="Arial"/>
          <w:color w:val="808080" w:themeColor="background1" w:themeShade="80"/>
          <w:sz w:val="22"/>
          <w:szCs w:val="22"/>
          <w:lang w:val="en-GB"/>
        </w:rPr>
        <w:t>could</w:t>
      </w:r>
      <w:r w:rsidR="0069635E">
        <w:rPr>
          <w:rFonts w:ascii="Avenir Next" w:hAnsi="Avenir Next" w:cs="Arial"/>
          <w:color w:val="808080" w:themeColor="background1" w:themeShade="80"/>
          <w:sz w:val="22"/>
          <w:szCs w:val="22"/>
          <w:lang w:val="en-GB"/>
        </w:rPr>
        <w:t xml:space="preserve"> be to the estate of the corporate, or the new incoming investor or also the creditors of the corporate. </w:t>
      </w:r>
    </w:p>
    <w:p w14:paraId="4FD16851" w14:textId="77777777" w:rsidR="00C373B3" w:rsidRPr="001F5204" w:rsidRDefault="00C373B3"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262F429A" w14:textId="0AC420AF" w:rsidR="00C952A2" w:rsidRDefault="0053374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 definition as well as the one provided by</w:t>
      </w:r>
      <w:r w:rsidR="0053234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Ian Fletcher</w:t>
      </w:r>
      <w:r w:rsidR="0053234D">
        <w:rPr>
          <w:rFonts w:ascii="Avenir Next" w:hAnsi="Avenir Next" w:cs="Arial"/>
          <w:color w:val="808080" w:themeColor="background1" w:themeShade="80"/>
          <w:sz w:val="22"/>
          <w:szCs w:val="22"/>
          <w:lang w:val="en-GB"/>
        </w:rPr>
        <w:t xml:space="preserve">, reveal the </w:t>
      </w:r>
      <w:r w:rsidR="00C373B3">
        <w:rPr>
          <w:rFonts w:ascii="Avenir Next" w:hAnsi="Avenir Next" w:cs="Arial"/>
          <w:color w:val="808080" w:themeColor="background1" w:themeShade="80"/>
          <w:sz w:val="22"/>
          <w:szCs w:val="22"/>
          <w:lang w:val="en-GB"/>
        </w:rPr>
        <w:t>limitations</w:t>
      </w:r>
      <w:r w:rsidR="0053234D">
        <w:rPr>
          <w:rFonts w:ascii="Avenir Next" w:hAnsi="Avenir Next" w:cs="Arial"/>
          <w:color w:val="808080" w:themeColor="background1" w:themeShade="80"/>
          <w:sz w:val="22"/>
          <w:szCs w:val="22"/>
          <w:lang w:val="en-GB"/>
        </w:rPr>
        <w:t xml:space="preserve"> with which the concept of international insolvency law and its scope is plagued. The </w:t>
      </w:r>
      <w:r w:rsidR="00C373B3">
        <w:rPr>
          <w:rFonts w:ascii="Avenir Next" w:hAnsi="Avenir Next" w:cs="Arial"/>
          <w:color w:val="808080" w:themeColor="background1" w:themeShade="80"/>
          <w:sz w:val="22"/>
          <w:szCs w:val="22"/>
          <w:lang w:val="en-GB"/>
        </w:rPr>
        <w:t>implementation</w:t>
      </w:r>
      <w:r w:rsidR="0053234D">
        <w:rPr>
          <w:rFonts w:ascii="Avenir Next" w:hAnsi="Avenir Next" w:cs="Arial"/>
          <w:color w:val="808080" w:themeColor="background1" w:themeShade="80"/>
          <w:sz w:val="22"/>
          <w:szCs w:val="22"/>
          <w:lang w:val="en-GB"/>
        </w:rPr>
        <w:t xml:space="preserve"> of harmonised insolvency laws </w:t>
      </w:r>
      <w:r w:rsidR="00C373B3">
        <w:rPr>
          <w:rFonts w:ascii="Avenir Next" w:hAnsi="Avenir Next" w:cs="Arial"/>
          <w:color w:val="808080" w:themeColor="background1" w:themeShade="80"/>
          <w:sz w:val="22"/>
          <w:szCs w:val="22"/>
          <w:lang w:val="en-GB"/>
        </w:rPr>
        <w:t>has</w:t>
      </w:r>
      <w:r w:rsidR="0053234D">
        <w:rPr>
          <w:rFonts w:ascii="Avenir Next" w:hAnsi="Avenir Next" w:cs="Arial"/>
          <w:color w:val="808080" w:themeColor="background1" w:themeShade="80"/>
          <w:sz w:val="22"/>
          <w:szCs w:val="22"/>
          <w:lang w:val="en-GB"/>
        </w:rPr>
        <w:t xml:space="preserve"> not been applied and adopted internationally at the pace at which globalisation has spread and instances of transnational asset holdings, business operations and just the international presence of corporates has set in. It is obvious </w:t>
      </w:r>
      <w:r w:rsidR="00C373B3">
        <w:rPr>
          <w:rFonts w:ascii="Avenir Next" w:hAnsi="Avenir Next" w:cs="Arial"/>
          <w:color w:val="808080" w:themeColor="background1" w:themeShade="80"/>
          <w:sz w:val="22"/>
          <w:szCs w:val="22"/>
          <w:lang w:val="en-GB"/>
        </w:rPr>
        <w:t xml:space="preserve">that </w:t>
      </w:r>
      <w:r w:rsidR="0053234D">
        <w:rPr>
          <w:rFonts w:ascii="Avenir Next" w:hAnsi="Avenir Next" w:cs="Arial"/>
          <w:color w:val="808080" w:themeColor="background1" w:themeShade="80"/>
          <w:sz w:val="22"/>
          <w:szCs w:val="22"/>
          <w:lang w:val="en-GB"/>
        </w:rPr>
        <w:t xml:space="preserve">such multinational asset and </w:t>
      </w:r>
      <w:r w:rsidR="00C373B3">
        <w:rPr>
          <w:rFonts w:ascii="Avenir Next" w:hAnsi="Avenir Next" w:cs="Arial"/>
          <w:color w:val="808080" w:themeColor="background1" w:themeShade="80"/>
          <w:sz w:val="22"/>
          <w:szCs w:val="22"/>
          <w:lang w:val="en-GB"/>
        </w:rPr>
        <w:t>business</w:t>
      </w:r>
      <w:r w:rsidR="0053234D">
        <w:rPr>
          <w:rFonts w:ascii="Avenir Next" w:hAnsi="Avenir Next" w:cs="Arial"/>
          <w:color w:val="808080" w:themeColor="background1" w:themeShade="80"/>
          <w:sz w:val="22"/>
          <w:szCs w:val="22"/>
          <w:lang w:val="en-GB"/>
        </w:rPr>
        <w:t xml:space="preserve"> portfolio</w:t>
      </w:r>
      <w:r w:rsidR="00C373B3">
        <w:rPr>
          <w:rFonts w:ascii="Avenir Next" w:hAnsi="Avenir Next" w:cs="Arial"/>
          <w:color w:val="808080" w:themeColor="background1" w:themeShade="80"/>
          <w:sz w:val="22"/>
          <w:szCs w:val="22"/>
          <w:lang w:val="en-GB"/>
        </w:rPr>
        <w:t xml:space="preserve">s </w:t>
      </w:r>
      <w:r w:rsidR="0053234D">
        <w:rPr>
          <w:rFonts w:ascii="Avenir Next" w:hAnsi="Avenir Next" w:cs="Arial"/>
          <w:color w:val="808080" w:themeColor="background1" w:themeShade="80"/>
          <w:sz w:val="22"/>
          <w:szCs w:val="22"/>
          <w:lang w:val="en-GB"/>
        </w:rPr>
        <w:t xml:space="preserve">have in the recent past </w:t>
      </w:r>
      <w:r w:rsidR="00C373B3">
        <w:rPr>
          <w:rFonts w:ascii="Avenir Next" w:hAnsi="Avenir Next" w:cs="Arial"/>
          <w:color w:val="808080" w:themeColor="background1" w:themeShade="80"/>
          <w:sz w:val="22"/>
          <w:szCs w:val="22"/>
          <w:lang w:val="en-GB"/>
        </w:rPr>
        <w:t>triggered</w:t>
      </w:r>
      <w:r w:rsidR="0053234D">
        <w:rPr>
          <w:rFonts w:ascii="Avenir Next" w:hAnsi="Avenir Next" w:cs="Arial"/>
          <w:color w:val="808080" w:themeColor="background1" w:themeShade="80"/>
          <w:sz w:val="22"/>
          <w:szCs w:val="22"/>
          <w:lang w:val="en-GB"/>
        </w:rPr>
        <w:t xml:space="preserve"> instances of cross</w:t>
      </w:r>
      <w:r w:rsidR="00C373B3">
        <w:rPr>
          <w:rFonts w:ascii="Avenir Next" w:hAnsi="Avenir Next" w:cs="Arial"/>
          <w:color w:val="808080" w:themeColor="background1" w:themeShade="80"/>
          <w:sz w:val="22"/>
          <w:szCs w:val="22"/>
          <w:lang w:val="en-GB"/>
        </w:rPr>
        <w:t>-border</w:t>
      </w:r>
      <w:r w:rsidR="0053234D">
        <w:rPr>
          <w:rFonts w:ascii="Avenir Next" w:hAnsi="Avenir Next" w:cs="Arial"/>
          <w:color w:val="808080" w:themeColor="background1" w:themeShade="80"/>
          <w:sz w:val="22"/>
          <w:szCs w:val="22"/>
          <w:lang w:val="en-GB"/>
        </w:rPr>
        <w:t xml:space="preserve"> insolvencies, which the domestic laws and insolvencies systems of states have proven very unprepared and redundant to handle. </w:t>
      </w:r>
    </w:p>
    <w:p w14:paraId="2ED7AD51" w14:textId="2320BF7D" w:rsidR="0053234D" w:rsidRDefault="0053234D" w:rsidP="00692852">
      <w:pPr>
        <w:jc w:val="both"/>
        <w:rPr>
          <w:rFonts w:ascii="Avenir Next" w:hAnsi="Avenir Next" w:cs="Arial"/>
          <w:sz w:val="22"/>
          <w:szCs w:val="22"/>
        </w:rPr>
      </w:pPr>
    </w:p>
    <w:p w14:paraId="3A5EE7B1" w14:textId="683BE71D" w:rsidR="0053234D" w:rsidRPr="00B0568C" w:rsidRDefault="0053234D" w:rsidP="00692852">
      <w:pPr>
        <w:jc w:val="both"/>
        <w:rPr>
          <w:rFonts w:ascii="Avenir Next" w:hAnsi="Avenir Next" w:cs="Arial"/>
          <w:color w:val="808080" w:themeColor="background1" w:themeShade="80"/>
          <w:sz w:val="22"/>
          <w:szCs w:val="22"/>
          <w:lang w:val="en-GB"/>
        </w:rPr>
      </w:pPr>
      <w:r w:rsidRPr="00B0568C">
        <w:rPr>
          <w:rFonts w:ascii="Avenir Next" w:hAnsi="Avenir Next" w:cs="Arial"/>
          <w:color w:val="808080" w:themeColor="background1" w:themeShade="80"/>
          <w:sz w:val="22"/>
          <w:szCs w:val="22"/>
          <w:lang w:val="en-GB"/>
        </w:rPr>
        <w:t>First off, there is a fundamental disparity between the</w:t>
      </w:r>
      <w:r w:rsidR="0048465E" w:rsidRPr="00B0568C">
        <w:rPr>
          <w:rFonts w:ascii="Avenir Next" w:hAnsi="Avenir Next" w:cs="Arial"/>
          <w:color w:val="808080" w:themeColor="background1" w:themeShade="80"/>
          <w:sz w:val="22"/>
          <w:szCs w:val="22"/>
          <w:lang w:val="en-GB"/>
        </w:rPr>
        <w:t xml:space="preserve"> meaning of the</w:t>
      </w:r>
      <w:r w:rsidRPr="00B0568C">
        <w:rPr>
          <w:rFonts w:ascii="Avenir Next" w:hAnsi="Avenir Next" w:cs="Arial"/>
          <w:color w:val="808080" w:themeColor="background1" w:themeShade="80"/>
          <w:sz w:val="22"/>
          <w:szCs w:val="22"/>
          <w:lang w:val="en-GB"/>
        </w:rPr>
        <w:t xml:space="preserve"> </w:t>
      </w:r>
      <w:r w:rsidR="007E663A" w:rsidRPr="00B0568C">
        <w:rPr>
          <w:rFonts w:ascii="Avenir Next" w:hAnsi="Avenir Next" w:cs="Arial"/>
          <w:color w:val="808080" w:themeColor="background1" w:themeShade="80"/>
          <w:sz w:val="22"/>
          <w:szCs w:val="22"/>
          <w:lang w:val="en-GB"/>
        </w:rPr>
        <w:t>term’s</w:t>
      </w:r>
      <w:r w:rsidRPr="00B0568C">
        <w:rPr>
          <w:rFonts w:ascii="Avenir Next" w:hAnsi="Avenir Next" w:cs="Arial"/>
          <w:color w:val="808080" w:themeColor="background1" w:themeShade="80"/>
          <w:sz w:val="22"/>
          <w:szCs w:val="22"/>
          <w:lang w:val="en-GB"/>
        </w:rPr>
        <w:t xml:space="preserve"> ‘</w:t>
      </w:r>
      <w:r w:rsidR="00C373B3" w:rsidRPr="00B0568C">
        <w:rPr>
          <w:rFonts w:ascii="Avenir Next" w:hAnsi="Avenir Next" w:cs="Arial"/>
          <w:color w:val="808080" w:themeColor="background1" w:themeShade="80"/>
          <w:sz w:val="22"/>
          <w:szCs w:val="22"/>
          <w:lang w:val="en-GB"/>
        </w:rPr>
        <w:t>insolvency</w:t>
      </w:r>
      <w:r w:rsidRPr="00B0568C">
        <w:rPr>
          <w:rFonts w:ascii="Avenir Next" w:hAnsi="Avenir Next" w:cs="Arial"/>
          <w:color w:val="808080" w:themeColor="background1" w:themeShade="80"/>
          <w:sz w:val="22"/>
          <w:szCs w:val="22"/>
          <w:lang w:val="en-GB"/>
        </w:rPr>
        <w:t xml:space="preserve">’, ‘liquidation’, ‘bankruptcy’ etc. The words are sometimes used </w:t>
      </w:r>
      <w:hyperlink r:id="rId12" w:history="1">
        <w:r w:rsidR="00C373B3" w:rsidRPr="00C373B3">
          <w:rPr>
            <w:rFonts w:ascii="Avenir Next" w:hAnsi="Avenir Next"/>
            <w:color w:val="808080" w:themeColor="background1" w:themeShade="80"/>
            <w:sz w:val="22"/>
            <w:szCs w:val="22"/>
            <w:lang w:val="en-GB"/>
          </w:rPr>
          <w:t>synonymously</w:t>
        </w:r>
      </w:hyperlink>
      <w:r w:rsidRPr="00B0568C">
        <w:rPr>
          <w:rFonts w:ascii="Avenir Next" w:hAnsi="Avenir Next" w:cs="Arial"/>
          <w:color w:val="808080" w:themeColor="background1" w:themeShade="80"/>
          <w:sz w:val="22"/>
          <w:szCs w:val="22"/>
          <w:lang w:val="en-GB"/>
        </w:rPr>
        <w:t xml:space="preserve">, while sometimes the </w:t>
      </w:r>
      <w:r w:rsidR="007E663A" w:rsidRPr="00B0568C">
        <w:rPr>
          <w:rFonts w:ascii="Avenir Next" w:hAnsi="Avenir Next" w:cs="Arial"/>
          <w:color w:val="808080" w:themeColor="background1" w:themeShade="80"/>
          <w:sz w:val="22"/>
          <w:szCs w:val="22"/>
          <w:lang w:val="en-GB"/>
        </w:rPr>
        <w:t>meaning</w:t>
      </w:r>
      <w:r w:rsidRPr="00B0568C">
        <w:rPr>
          <w:rFonts w:ascii="Avenir Next" w:hAnsi="Avenir Next" w:cs="Arial"/>
          <w:color w:val="808080" w:themeColor="background1" w:themeShade="80"/>
          <w:sz w:val="22"/>
          <w:szCs w:val="22"/>
          <w:lang w:val="en-GB"/>
        </w:rPr>
        <w:t xml:space="preserve"> attached to each is highly speci</w:t>
      </w:r>
      <w:r w:rsidR="007E663A">
        <w:rPr>
          <w:rFonts w:ascii="Avenir Next" w:hAnsi="Avenir Next" w:cs="Arial"/>
          <w:color w:val="808080" w:themeColor="background1" w:themeShade="80"/>
          <w:sz w:val="22"/>
          <w:szCs w:val="22"/>
          <w:lang w:val="en-GB"/>
        </w:rPr>
        <w:t>fic,</w:t>
      </w:r>
      <w:r w:rsidRPr="00B0568C">
        <w:rPr>
          <w:rFonts w:ascii="Avenir Next" w:hAnsi="Avenir Next" w:cs="Arial"/>
          <w:color w:val="808080" w:themeColor="background1" w:themeShade="80"/>
          <w:sz w:val="22"/>
          <w:szCs w:val="22"/>
          <w:lang w:val="en-GB"/>
        </w:rPr>
        <w:t xml:space="preserve"> which can mean the complete opposite in another state. In addition to the same, </w:t>
      </w:r>
      <w:r w:rsidR="0048465E" w:rsidRPr="00B0568C">
        <w:rPr>
          <w:rFonts w:ascii="Avenir Next" w:hAnsi="Avenir Next" w:cs="Arial"/>
          <w:color w:val="808080" w:themeColor="background1" w:themeShade="80"/>
          <w:sz w:val="22"/>
          <w:szCs w:val="22"/>
          <w:lang w:val="en-GB"/>
        </w:rPr>
        <w:t xml:space="preserve">the relevant domestic laws qua topics such as set-off, netting, voidable dispositions, </w:t>
      </w:r>
      <w:r w:rsidR="007E663A" w:rsidRPr="00B0568C">
        <w:rPr>
          <w:rFonts w:ascii="Avenir Next" w:hAnsi="Avenir Next" w:cs="Arial"/>
          <w:color w:val="808080" w:themeColor="background1" w:themeShade="80"/>
          <w:sz w:val="22"/>
          <w:szCs w:val="22"/>
          <w:lang w:val="en-GB"/>
        </w:rPr>
        <w:t>priorities</w:t>
      </w:r>
      <w:r w:rsidR="0048465E" w:rsidRPr="00B0568C">
        <w:rPr>
          <w:rFonts w:ascii="Avenir Next" w:hAnsi="Avenir Next" w:cs="Arial"/>
          <w:color w:val="808080" w:themeColor="background1" w:themeShade="80"/>
          <w:sz w:val="22"/>
          <w:szCs w:val="22"/>
          <w:lang w:val="en-GB"/>
        </w:rPr>
        <w:t xml:space="preserve">, treatment of secured transactions, executory contracts etc. is also varied and have varied </w:t>
      </w:r>
      <w:r w:rsidR="007E663A" w:rsidRPr="00B0568C">
        <w:rPr>
          <w:rFonts w:ascii="Avenir Next" w:hAnsi="Avenir Next" w:cs="Arial"/>
          <w:color w:val="808080" w:themeColor="background1" w:themeShade="80"/>
          <w:sz w:val="22"/>
          <w:szCs w:val="22"/>
          <w:lang w:val="en-GB"/>
        </w:rPr>
        <w:t>thresholds</w:t>
      </w:r>
      <w:r w:rsidR="0048465E" w:rsidRPr="00B0568C">
        <w:rPr>
          <w:rFonts w:ascii="Avenir Next" w:hAnsi="Avenir Next" w:cs="Arial"/>
          <w:color w:val="808080" w:themeColor="background1" w:themeShade="80"/>
          <w:sz w:val="22"/>
          <w:szCs w:val="22"/>
          <w:lang w:val="en-GB"/>
        </w:rPr>
        <w:t>. In addition to the above, many states also have the option</w:t>
      </w:r>
      <w:r w:rsidR="007E663A">
        <w:rPr>
          <w:rFonts w:ascii="Avenir Next" w:hAnsi="Avenir Next" w:cs="Arial"/>
          <w:color w:val="808080" w:themeColor="background1" w:themeShade="80"/>
          <w:sz w:val="22"/>
          <w:szCs w:val="22"/>
          <w:lang w:val="en-GB"/>
        </w:rPr>
        <w:t xml:space="preserve"> </w:t>
      </w:r>
      <w:r w:rsidR="0048465E" w:rsidRPr="00B0568C">
        <w:rPr>
          <w:rFonts w:ascii="Avenir Next" w:hAnsi="Avenir Next" w:cs="Arial"/>
          <w:color w:val="808080" w:themeColor="background1" w:themeShade="80"/>
          <w:sz w:val="22"/>
          <w:szCs w:val="22"/>
          <w:lang w:val="en-GB"/>
        </w:rPr>
        <w:t>of restructuring, out</w:t>
      </w:r>
      <w:r w:rsidR="007E663A">
        <w:rPr>
          <w:rFonts w:ascii="Avenir Next" w:hAnsi="Avenir Next" w:cs="Arial"/>
          <w:color w:val="808080" w:themeColor="background1" w:themeShade="80"/>
          <w:sz w:val="22"/>
          <w:szCs w:val="22"/>
          <w:lang w:val="en-GB"/>
        </w:rPr>
        <w:t>-</w:t>
      </w:r>
      <w:r w:rsidR="0048465E" w:rsidRPr="00B0568C">
        <w:rPr>
          <w:rFonts w:ascii="Avenir Next" w:hAnsi="Avenir Next" w:cs="Arial"/>
          <w:color w:val="808080" w:themeColor="background1" w:themeShade="80"/>
          <w:sz w:val="22"/>
          <w:szCs w:val="22"/>
          <w:lang w:val="en-GB"/>
        </w:rPr>
        <w:t>of</w:t>
      </w:r>
      <w:r w:rsidR="007E663A">
        <w:rPr>
          <w:rFonts w:ascii="Avenir Next" w:hAnsi="Avenir Next" w:cs="Arial"/>
          <w:color w:val="808080" w:themeColor="background1" w:themeShade="80"/>
          <w:sz w:val="22"/>
          <w:szCs w:val="22"/>
          <w:lang w:val="en-GB"/>
        </w:rPr>
        <w:t>-</w:t>
      </w:r>
      <w:r w:rsidR="0048465E" w:rsidRPr="00B0568C">
        <w:rPr>
          <w:rFonts w:ascii="Avenir Next" w:hAnsi="Avenir Next" w:cs="Arial"/>
          <w:color w:val="808080" w:themeColor="background1" w:themeShade="80"/>
          <w:sz w:val="22"/>
          <w:szCs w:val="22"/>
          <w:lang w:val="en-GB"/>
        </w:rPr>
        <w:t>court debt workouts</w:t>
      </w:r>
      <w:r w:rsidR="007E663A">
        <w:rPr>
          <w:rFonts w:ascii="Avenir Next" w:hAnsi="Avenir Next" w:cs="Arial"/>
          <w:color w:val="808080" w:themeColor="background1" w:themeShade="80"/>
          <w:sz w:val="22"/>
          <w:szCs w:val="22"/>
          <w:lang w:val="en-GB"/>
        </w:rPr>
        <w:t>,</w:t>
      </w:r>
      <w:r w:rsidR="0048465E" w:rsidRPr="00B0568C">
        <w:rPr>
          <w:rFonts w:ascii="Avenir Next" w:hAnsi="Avenir Next" w:cs="Arial"/>
          <w:color w:val="808080" w:themeColor="background1" w:themeShade="80"/>
          <w:sz w:val="22"/>
          <w:szCs w:val="22"/>
          <w:lang w:val="en-GB"/>
        </w:rPr>
        <w:t xml:space="preserve"> fresh start processes</w:t>
      </w:r>
      <w:r w:rsidR="007E663A">
        <w:rPr>
          <w:rFonts w:ascii="Avenir Next" w:hAnsi="Avenir Next" w:cs="Arial"/>
          <w:color w:val="808080" w:themeColor="background1" w:themeShade="80"/>
          <w:sz w:val="22"/>
          <w:szCs w:val="22"/>
          <w:lang w:val="en-GB"/>
        </w:rPr>
        <w:t xml:space="preserve"> etc., </w:t>
      </w:r>
      <w:r w:rsidR="007E663A" w:rsidRPr="00B0568C">
        <w:rPr>
          <w:rFonts w:ascii="Avenir Next" w:hAnsi="Avenir Next" w:cs="Arial"/>
          <w:color w:val="808080" w:themeColor="background1" w:themeShade="80"/>
          <w:sz w:val="22"/>
          <w:szCs w:val="22"/>
          <w:lang w:val="en-GB"/>
        </w:rPr>
        <w:t>before</w:t>
      </w:r>
      <w:r w:rsidR="0048465E" w:rsidRPr="00B0568C">
        <w:rPr>
          <w:rFonts w:ascii="Avenir Next" w:hAnsi="Avenir Next" w:cs="Arial"/>
          <w:color w:val="808080" w:themeColor="background1" w:themeShade="80"/>
          <w:sz w:val="22"/>
          <w:szCs w:val="22"/>
          <w:lang w:val="en-GB"/>
        </w:rPr>
        <w:t xml:space="preserve"> any formal insolvency process can be initiated. There can also a more fundamental difference </w:t>
      </w:r>
      <w:proofErr w:type="gramStart"/>
      <w:r w:rsidR="0048465E" w:rsidRPr="00B0568C">
        <w:rPr>
          <w:rFonts w:ascii="Avenir Next" w:hAnsi="Avenir Next" w:cs="Arial"/>
          <w:color w:val="808080" w:themeColor="background1" w:themeShade="80"/>
          <w:sz w:val="22"/>
          <w:szCs w:val="22"/>
          <w:lang w:val="en-GB"/>
        </w:rPr>
        <w:t>in the nature of the</w:t>
      </w:r>
      <w:proofErr w:type="gramEnd"/>
      <w:r w:rsidR="0048465E" w:rsidRPr="00B0568C">
        <w:rPr>
          <w:rFonts w:ascii="Avenir Next" w:hAnsi="Avenir Next" w:cs="Arial"/>
          <w:color w:val="808080" w:themeColor="background1" w:themeShade="80"/>
          <w:sz w:val="22"/>
          <w:szCs w:val="22"/>
          <w:lang w:val="en-GB"/>
        </w:rPr>
        <w:t xml:space="preserve"> insolvency systems, the same being debtor-in-possession </w:t>
      </w:r>
      <w:r w:rsidR="007E663A">
        <w:rPr>
          <w:rFonts w:ascii="Avenir Next" w:hAnsi="Avenir Next" w:cs="Arial"/>
          <w:color w:val="808080" w:themeColor="background1" w:themeShade="80"/>
          <w:sz w:val="22"/>
          <w:szCs w:val="22"/>
          <w:lang w:val="en-GB"/>
        </w:rPr>
        <w:t xml:space="preserve">or </w:t>
      </w:r>
      <w:r w:rsidR="0048465E" w:rsidRPr="00B0568C">
        <w:rPr>
          <w:rFonts w:ascii="Avenir Next" w:hAnsi="Avenir Next" w:cs="Arial"/>
          <w:color w:val="808080" w:themeColor="background1" w:themeShade="80"/>
          <w:sz w:val="22"/>
          <w:szCs w:val="22"/>
          <w:lang w:val="en-GB"/>
        </w:rPr>
        <w:t>creditor-in-possession. In addition to the above, the influence of the customary laws or laws relation to property, labour, contracts</w:t>
      </w:r>
      <w:r w:rsidR="007E663A">
        <w:rPr>
          <w:rFonts w:ascii="Avenir Next" w:hAnsi="Avenir Next" w:cs="Arial"/>
          <w:color w:val="808080" w:themeColor="background1" w:themeShade="80"/>
          <w:sz w:val="22"/>
          <w:szCs w:val="22"/>
          <w:lang w:val="en-GB"/>
        </w:rPr>
        <w:t xml:space="preserve"> etc.</w:t>
      </w:r>
      <w:r w:rsidR="0048465E" w:rsidRPr="00B0568C">
        <w:rPr>
          <w:rFonts w:ascii="Avenir Next" w:hAnsi="Avenir Next" w:cs="Arial"/>
          <w:color w:val="808080" w:themeColor="background1" w:themeShade="80"/>
          <w:sz w:val="22"/>
          <w:szCs w:val="22"/>
          <w:lang w:val="en-GB"/>
        </w:rPr>
        <w:t xml:space="preserve"> which are very </w:t>
      </w:r>
      <w:r w:rsidR="007E663A" w:rsidRPr="00B0568C">
        <w:rPr>
          <w:rFonts w:ascii="Avenir Next" w:hAnsi="Avenir Next" w:cs="Arial"/>
          <w:color w:val="808080" w:themeColor="background1" w:themeShade="80"/>
          <w:sz w:val="22"/>
          <w:szCs w:val="22"/>
          <w:lang w:val="en-GB"/>
        </w:rPr>
        <w:t>intrinsically</w:t>
      </w:r>
      <w:r w:rsidR="0048465E" w:rsidRPr="00B0568C">
        <w:rPr>
          <w:rFonts w:ascii="Avenir Next" w:hAnsi="Avenir Next" w:cs="Arial"/>
          <w:color w:val="808080" w:themeColor="background1" w:themeShade="80"/>
          <w:sz w:val="22"/>
          <w:szCs w:val="22"/>
          <w:lang w:val="en-GB"/>
        </w:rPr>
        <w:t xml:space="preserve"> woven in the fabric of insolvency law also greatly differ </w:t>
      </w:r>
      <w:r w:rsidR="007E663A" w:rsidRPr="00B0568C">
        <w:rPr>
          <w:rFonts w:ascii="Avenir Next" w:hAnsi="Avenir Next" w:cs="Arial"/>
          <w:color w:val="808080" w:themeColor="background1" w:themeShade="80"/>
          <w:sz w:val="22"/>
          <w:szCs w:val="22"/>
          <w:lang w:val="en-GB"/>
        </w:rPr>
        <w:t>from</w:t>
      </w:r>
      <w:r w:rsidR="0048465E" w:rsidRPr="00B0568C">
        <w:rPr>
          <w:rFonts w:ascii="Avenir Next" w:hAnsi="Avenir Next" w:cs="Arial"/>
          <w:color w:val="808080" w:themeColor="background1" w:themeShade="80"/>
          <w:sz w:val="22"/>
          <w:szCs w:val="22"/>
          <w:lang w:val="en-GB"/>
        </w:rPr>
        <w:t xml:space="preserve"> state to state. </w:t>
      </w:r>
    </w:p>
    <w:p w14:paraId="064754BC" w14:textId="773EF425" w:rsidR="00B0568C" w:rsidRDefault="00B0568C" w:rsidP="00692852">
      <w:pPr>
        <w:jc w:val="both"/>
        <w:rPr>
          <w:rFonts w:ascii="Avenir Next" w:hAnsi="Avenir Next" w:cs="Arial"/>
          <w:sz w:val="22"/>
          <w:szCs w:val="22"/>
        </w:rPr>
      </w:pPr>
    </w:p>
    <w:p w14:paraId="4F56F01F" w14:textId="33ABA692" w:rsidR="00B0568C" w:rsidRPr="00B0568C" w:rsidRDefault="007E663A" w:rsidP="00B0568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B0568C">
        <w:rPr>
          <w:rFonts w:ascii="Avenir Next" w:hAnsi="Avenir Next" w:cs="Arial"/>
          <w:color w:val="808080" w:themeColor="background1" w:themeShade="80"/>
          <w:sz w:val="22"/>
          <w:szCs w:val="22"/>
          <w:lang w:val="en-GB"/>
        </w:rPr>
        <w:t>absence of a harmonized international insolvency law system</w:t>
      </w:r>
      <w:r>
        <w:rPr>
          <w:rFonts w:ascii="Avenir Next" w:hAnsi="Avenir Next" w:cs="Arial"/>
          <w:color w:val="808080" w:themeColor="background1" w:themeShade="80"/>
          <w:sz w:val="22"/>
          <w:szCs w:val="22"/>
          <w:lang w:val="en-GB"/>
        </w:rPr>
        <w:t xml:space="preserve"> leads </w:t>
      </w:r>
      <w:r w:rsidR="00B0568C" w:rsidRPr="00B0568C">
        <w:rPr>
          <w:rFonts w:ascii="Avenir Next" w:hAnsi="Avenir Next" w:cs="Arial"/>
          <w:color w:val="808080" w:themeColor="background1" w:themeShade="80"/>
          <w:sz w:val="22"/>
          <w:szCs w:val="22"/>
          <w:lang w:val="en-GB"/>
        </w:rPr>
        <w:t xml:space="preserve">to a situation where are multiple concurrent proceedings in various states which are all are following their own set of domestic laws which </w:t>
      </w:r>
      <w:r w:rsidRPr="00B0568C">
        <w:rPr>
          <w:rFonts w:ascii="Avenir Next" w:hAnsi="Avenir Next" w:cs="Arial"/>
          <w:color w:val="808080" w:themeColor="background1" w:themeShade="80"/>
          <w:sz w:val="22"/>
          <w:szCs w:val="22"/>
          <w:lang w:val="en-GB"/>
        </w:rPr>
        <w:t>hugely</w:t>
      </w:r>
      <w:r w:rsidR="00B0568C" w:rsidRPr="00B0568C">
        <w:rPr>
          <w:rFonts w:ascii="Avenir Next" w:hAnsi="Avenir Next" w:cs="Arial"/>
          <w:color w:val="808080" w:themeColor="background1" w:themeShade="80"/>
          <w:sz w:val="22"/>
          <w:szCs w:val="22"/>
          <w:lang w:val="en-GB"/>
        </w:rPr>
        <w:t xml:space="preserve"> vary</w:t>
      </w:r>
      <w:r>
        <w:rPr>
          <w:rFonts w:ascii="Avenir Next" w:hAnsi="Avenir Next" w:cs="Arial"/>
          <w:color w:val="808080" w:themeColor="background1" w:themeShade="80"/>
          <w:sz w:val="22"/>
          <w:szCs w:val="22"/>
          <w:lang w:val="en-GB"/>
        </w:rPr>
        <w:t xml:space="preserve">. </w:t>
      </w:r>
      <w:r w:rsidR="00B0568C" w:rsidRPr="00B0568C">
        <w:rPr>
          <w:rFonts w:ascii="Avenir Next" w:hAnsi="Avenir Next" w:cs="Arial"/>
          <w:color w:val="808080" w:themeColor="background1" w:themeShade="80"/>
          <w:sz w:val="22"/>
          <w:szCs w:val="22"/>
          <w:lang w:val="en-GB"/>
        </w:rPr>
        <w:t xml:space="preserve">Furthermore, there have been different recommendations on how international insolvency </w:t>
      </w:r>
      <w:r w:rsidRPr="00B0568C">
        <w:rPr>
          <w:rFonts w:ascii="Avenir Next" w:hAnsi="Avenir Next" w:cs="Arial"/>
          <w:color w:val="808080" w:themeColor="background1" w:themeShade="80"/>
          <w:sz w:val="22"/>
          <w:szCs w:val="22"/>
          <w:lang w:val="en-GB"/>
        </w:rPr>
        <w:t>provisions</w:t>
      </w:r>
      <w:r w:rsidR="00B0568C" w:rsidRPr="00B0568C">
        <w:rPr>
          <w:rFonts w:ascii="Avenir Next" w:hAnsi="Avenir Next" w:cs="Arial"/>
          <w:color w:val="808080" w:themeColor="background1" w:themeShade="80"/>
          <w:sz w:val="22"/>
          <w:szCs w:val="22"/>
          <w:lang w:val="en-GB"/>
        </w:rPr>
        <w:t xml:space="preserve"> </w:t>
      </w:r>
      <w:r w:rsidRPr="00B0568C">
        <w:rPr>
          <w:rFonts w:ascii="Avenir Next" w:hAnsi="Avenir Next" w:cs="Arial"/>
          <w:color w:val="808080" w:themeColor="background1" w:themeShade="80"/>
          <w:sz w:val="22"/>
          <w:szCs w:val="22"/>
          <w:lang w:val="en-GB"/>
        </w:rPr>
        <w:t>should</w:t>
      </w:r>
      <w:r w:rsidR="00B0568C" w:rsidRPr="00B0568C">
        <w:rPr>
          <w:rFonts w:ascii="Avenir Next" w:hAnsi="Avenir Next" w:cs="Arial"/>
          <w:color w:val="808080" w:themeColor="background1" w:themeShade="80"/>
          <w:sz w:val="22"/>
          <w:szCs w:val="22"/>
          <w:lang w:val="en-GB"/>
        </w:rPr>
        <w:t xml:space="preserve"> be adopted by various nation states:</w:t>
      </w:r>
    </w:p>
    <w:p w14:paraId="78BC3423" w14:textId="7DF2BCAF" w:rsidR="00B0568C" w:rsidRPr="00B0568C" w:rsidRDefault="00B0568C" w:rsidP="00B0568C">
      <w:pPr>
        <w:pStyle w:val="ListParagraph"/>
        <w:numPr>
          <w:ilvl w:val="0"/>
          <w:numId w:val="32"/>
        </w:numPr>
        <w:jc w:val="both"/>
        <w:rPr>
          <w:rFonts w:ascii="Avenir Next" w:hAnsi="Avenir Next" w:cs="Arial"/>
          <w:color w:val="808080" w:themeColor="background1" w:themeShade="80"/>
          <w:sz w:val="22"/>
          <w:szCs w:val="22"/>
          <w:lang w:val="en-GB"/>
        </w:rPr>
      </w:pPr>
      <w:r w:rsidRPr="00B0568C">
        <w:rPr>
          <w:rFonts w:ascii="Avenir Next" w:hAnsi="Avenir Next" w:cs="Arial"/>
          <w:color w:val="808080" w:themeColor="background1" w:themeShade="80"/>
          <w:sz w:val="22"/>
          <w:szCs w:val="22"/>
          <w:lang w:val="en-GB"/>
        </w:rPr>
        <w:t>If the states should adopt the same insolvency law?</w:t>
      </w:r>
    </w:p>
    <w:p w14:paraId="643D6E52" w14:textId="74BE0077" w:rsidR="00B0568C" w:rsidRPr="00B0568C" w:rsidRDefault="00B0568C" w:rsidP="00B0568C">
      <w:pPr>
        <w:pStyle w:val="ListParagraph"/>
        <w:numPr>
          <w:ilvl w:val="0"/>
          <w:numId w:val="32"/>
        </w:numPr>
        <w:jc w:val="both"/>
        <w:rPr>
          <w:rFonts w:ascii="Avenir Next" w:hAnsi="Avenir Next" w:cs="Arial"/>
          <w:color w:val="808080" w:themeColor="background1" w:themeShade="80"/>
          <w:sz w:val="22"/>
          <w:szCs w:val="22"/>
          <w:lang w:val="en-GB"/>
        </w:rPr>
      </w:pPr>
      <w:r w:rsidRPr="00B0568C">
        <w:rPr>
          <w:rFonts w:ascii="Avenir Next" w:hAnsi="Avenir Next" w:cs="Arial"/>
          <w:color w:val="808080" w:themeColor="background1" w:themeShade="80"/>
          <w:sz w:val="22"/>
          <w:szCs w:val="22"/>
          <w:lang w:val="en-GB"/>
        </w:rPr>
        <w:lastRenderedPageBreak/>
        <w:t>If the states should adopt the same insolvency law principles?</w:t>
      </w:r>
    </w:p>
    <w:p w14:paraId="5D668130" w14:textId="0C0D8201" w:rsidR="00B0568C" w:rsidRPr="00B0568C" w:rsidRDefault="00B0568C" w:rsidP="00B0568C">
      <w:pPr>
        <w:pStyle w:val="ListParagraph"/>
        <w:numPr>
          <w:ilvl w:val="0"/>
          <w:numId w:val="32"/>
        </w:numPr>
        <w:jc w:val="both"/>
        <w:rPr>
          <w:rFonts w:ascii="Avenir Next" w:hAnsi="Avenir Next" w:cs="Arial"/>
          <w:color w:val="808080" w:themeColor="background1" w:themeShade="80"/>
          <w:sz w:val="22"/>
          <w:szCs w:val="22"/>
          <w:lang w:val="en-GB"/>
        </w:rPr>
      </w:pPr>
      <w:r w:rsidRPr="00B0568C">
        <w:rPr>
          <w:rFonts w:ascii="Avenir Next" w:hAnsi="Avenir Next" w:cs="Arial"/>
          <w:color w:val="808080" w:themeColor="background1" w:themeShade="80"/>
          <w:sz w:val="22"/>
          <w:szCs w:val="22"/>
          <w:lang w:val="en-GB"/>
        </w:rPr>
        <w:t xml:space="preserve">If the states </w:t>
      </w:r>
      <w:r w:rsidR="007E663A">
        <w:rPr>
          <w:rFonts w:ascii="Avenir Next" w:hAnsi="Avenir Next" w:cs="Arial"/>
          <w:color w:val="808080" w:themeColor="background1" w:themeShade="80"/>
          <w:sz w:val="22"/>
          <w:szCs w:val="22"/>
          <w:lang w:val="en-GB"/>
        </w:rPr>
        <w:t xml:space="preserve">should </w:t>
      </w:r>
      <w:r w:rsidRPr="00B0568C">
        <w:rPr>
          <w:rFonts w:ascii="Avenir Next" w:hAnsi="Avenir Next" w:cs="Arial"/>
          <w:color w:val="808080" w:themeColor="background1" w:themeShade="80"/>
          <w:sz w:val="22"/>
          <w:szCs w:val="22"/>
          <w:lang w:val="en-GB"/>
        </w:rPr>
        <w:t>adopt the same recognition laws?</w:t>
      </w:r>
    </w:p>
    <w:p w14:paraId="75BA526E" w14:textId="64ED163D" w:rsidR="00B0568C" w:rsidRPr="00B0568C" w:rsidRDefault="00B0568C" w:rsidP="00B0568C">
      <w:pPr>
        <w:jc w:val="both"/>
        <w:rPr>
          <w:rFonts w:ascii="Avenir Next" w:hAnsi="Avenir Next" w:cs="Arial"/>
          <w:color w:val="7B7B7B" w:themeColor="accent3" w:themeShade="BF"/>
          <w:sz w:val="22"/>
          <w:szCs w:val="22"/>
          <w:lang w:val="en-GB"/>
        </w:rPr>
      </w:pPr>
    </w:p>
    <w:p w14:paraId="767B201D" w14:textId="46E4B6C8" w:rsidR="00B0568C" w:rsidRPr="00B0568C" w:rsidRDefault="00B0568C" w:rsidP="00B0568C">
      <w:pPr>
        <w:jc w:val="both"/>
        <w:rPr>
          <w:rFonts w:ascii="Avenir Next" w:hAnsi="Avenir Next" w:cs="Arial"/>
          <w:color w:val="7B7B7B" w:themeColor="accent3" w:themeShade="BF"/>
          <w:sz w:val="22"/>
          <w:szCs w:val="22"/>
          <w:lang w:val="en-GB"/>
        </w:rPr>
      </w:pPr>
      <w:proofErr w:type="gramStart"/>
      <w:r w:rsidRPr="00B0568C">
        <w:rPr>
          <w:rFonts w:ascii="Avenir Next" w:hAnsi="Avenir Next" w:cs="Arial"/>
          <w:color w:val="7B7B7B" w:themeColor="accent3" w:themeShade="BF"/>
          <w:sz w:val="22"/>
          <w:szCs w:val="22"/>
          <w:lang w:val="en-GB"/>
        </w:rPr>
        <w:t>All of</w:t>
      </w:r>
      <w:proofErr w:type="gramEnd"/>
      <w:r w:rsidRPr="00B0568C">
        <w:rPr>
          <w:rFonts w:ascii="Avenir Next" w:hAnsi="Avenir Next" w:cs="Arial"/>
          <w:color w:val="7B7B7B" w:themeColor="accent3" w:themeShade="BF"/>
          <w:sz w:val="22"/>
          <w:szCs w:val="22"/>
          <w:lang w:val="en-GB"/>
        </w:rPr>
        <w:t xml:space="preserve"> the above </w:t>
      </w:r>
      <w:r w:rsidR="007E663A" w:rsidRPr="00B0568C">
        <w:rPr>
          <w:rFonts w:ascii="Avenir Next" w:hAnsi="Avenir Next" w:cs="Arial"/>
          <w:color w:val="7B7B7B" w:themeColor="accent3" w:themeShade="BF"/>
          <w:sz w:val="22"/>
          <w:szCs w:val="22"/>
          <w:lang w:val="en-GB"/>
        </w:rPr>
        <w:t>propositions</w:t>
      </w:r>
      <w:r w:rsidRPr="00B0568C">
        <w:rPr>
          <w:rFonts w:ascii="Avenir Next" w:hAnsi="Avenir Next" w:cs="Arial"/>
          <w:color w:val="7B7B7B" w:themeColor="accent3" w:themeShade="BF"/>
          <w:sz w:val="22"/>
          <w:szCs w:val="22"/>
          <w:lang w:val="en-GB"/>
        </w:rPr>
        <w:t xml:space="preserve"> should go on to answer the following questions raised by Fletche</w:t>
      </w:r>
      <w:r>
        <w:rPr>
          <w:rFonts w:ascii="Avenir Next" w:hAnsi="Avenir Next" w:cs="Arial"/>
          <w:color w:val="7B7B7B" w:themeColor="accent3" w:themeShade="BF"/>
          <w:sz w:val="22"/>
          <w:szCs w:val="22"/>
          <w:lang w:val="en-GB"/>
        </w:rPr>
        <w:t>r</w:t>
      </w:r>
      <w:r>
        <w:rPr>
          <w:rStyle w:val="FootnoteReference"/>
          <w:rFonts w:ascii="Avenir Next" w:hAnsi="Avenir Next" w:cs="Arial"/>
          <w:color w:val="7B7B7B" w:themeColor="accent3" w:themeShade="BF"/>
          <w:sz w:val="22"/>
          <w:szCs w:val="22"/>
          <w:lang w:val="en-GB"/>
        </w:rPr>
        <w:footnoteReference w:id="12"/>
      </w:r>
      <w:r w:rsidRPr="00B0568C">
        <w:rPr>
          <w:rFonts w:ascii="Avenir Next" w:hAnsi="Avenir Next" w:cs="Arial"/>
          <w:color w:val="7B7B7B" w:themeColor="accent3" w:themeShade="BF"/>
          <w:sz w:val="22"/>
          <w:szCs w:val="22"/>
          <w:lang w:val="en-GB"/>
        </w:rPr>
        <w:t>:</w:t>
      </w:r>
    </w:p>
    <w:p w14:paraId="13902E88" w14:textId="77777777" w:rsidR="00B0568C" w:rsidRPr="00B0568C" w:rsidRDefault="00B0568C" w:rsidP="00B0568C">
      <w:pPr>
        <w:pStyle w:val="ListParagraph"/>
        <w:numPr>
          <w:ilvl w:val="0"/>
          <w:numId w:val="33"/>
        </w:numPr>
        <w:jc w:val="both"/>
        <w:rPr>
          <w:rFonts w:ascii="Avenir Next" w:hAnsi="Avenir Next" w:cs="Arial"/>
          <w:color w:val="7B7B7B" w:themeColor="accent3" w:themeShade="BF"/>
          <w:sz w:val="22"/>
          <w:szCs w:val="22"/>
          <w:lang w:val="en-GB"/>
        </w:rPr>
      </w:pPr>
      <w:r w:rsidRPr="00B0568C">
        <w:rPr>
          <w:rFonts w:ascii="Avenir Next" w:hAnsi="Avenir Next" w:cs="Arial"/>
          <w:color w:val="7B7B7B" w:themeColor="accent3" w:themeShade="BF"/>
          <w:sz w:val="22"/>
          <w:szCs w:val="22"/>
          <w:lang w:val="en-GB"/>
        </w:rPr>
        <w:t xml:space="preserve">In which jurisdictions may insolvency proceedings be opened? </w:t>
      </w:r>
    </w:p>
    <w:p w14:paraId="1CDFBF18" w14:textId="77777777" w:rsidR="00B0568C" w:rsidRPr="00B0568C" w:rsidRDefault="00B0568C" w:rsidP="00B0568C">
      <w:pPr>
        <w:pStyle w:val="ListParagraph"/>
        <w:numPr>
          <w:ilvl w:val="0"/>
          <w:numId w:val="33"/>
        </w:numPr>
        <w:jc w:val="both"/>
        <w:rPr>
          <w:rFonts w:ascii="Avenir Next" w:hAnsi="Avenir Next" w:cs="Arial"/>
          <w:color w:val="7B7B7B" w:themeColor="accent3" w:themeShade="BF"/>
          <w:sz w:val="22"/>
          <w:szCs w:val="22"/>
          <w:lang w:val="en-GB"/>
        </w:rPr>
      </w:pPr>
      <w:r w:rsidRPr="00B0568C">
        <w:rPr>
          <w:rFonts w:ascii="Avenir Next" w:hAnsi="Avenir Next" w:cs="Arial"/>
          <w:color w:val="7B7B7B" w:themeColor="accent3" w:themeShade="BF"/>
          <w:sz w:val="22"/>
          <w:szCs w:val="22"/>
          <w:lang w:val="en-GB"/>
        </w:rPr>
        <w:t>What country’s law should be applied in respect of different aspects of the case?</w:t>
      </w:r>
    </w:p>
    <w:p w14:paraId="0A9680B3" w14:textId="4EB2AA8D" w:rsidR="00B0568C" w:rsidRPr="00B0568C" w:rsidRDefault="00B0568C" w:rsidP="00B0568C">
      <w:pPr>
        <w:pStyle w:val="ListParagraph"/>
        <w:numPr>
          <w:ilvl w:val="0"/>
          <w:numId w:val="33"/>
        </w:numPr>
        <w:jc w:val="both"/>
        <w:rPr>
          <w:rFonts w:ascii="Avenir Next" w:hAnsi="Avenir Next" w:cs="Arial"/>
          <w:color w:val="7B7B7B" w:themeColor="accent3" w:themeShade="BF"/>
          <w:sz w:val="22"/>
          <w:szCs w:val="22"/>
          <w:lang w:val="en-GB"/>
        </w:rPr>
      </w:pPr>
      <w:r w:rsidRPr="00B0568C">
        <w:rPr>
          <w:rFonts w:ascii="Avenir Next" w:hAnsi="Avenir Next" w:cs="Arial"/>
          <w:color w:val="7B7B7B" w:themeColor="accent3" w:themeShade="BF"/>
          <w:sz w:val="22"/>
          <w:szCs w:val="22"/>
          <w:lang w:val="en-GB"/>
        </w:rPr>
        <w:t xml:space="preserve">What international effects will be accorded to proceedings conducted at a </w:t>
      </w:r>
      <w:proofErr w:type="gramStart"/>
      <w:r w:rsidRPr="00B0568C">
        <w:rPr>
          <w:rFonts w:ascii="Avenir Next" w:hAnsi="Avenir Next" w:cs="Arial"/>
          <w:color w:val="7B7B7B" w:themeColor="accent3" w:themeShade="BF"/>
          <w:sz w:val="22"/>
          <w:szCs w:val="22"/>
          <w:lang w:val="en-GB"/>
        </w:rPr>
        <w:t>particular forum</w:t>
      </w:r>
      <w:proofErr w:type="gramEnd"/>
      <w:r w:rsidRPr="00B0568C">
        <w:rPr>
          <w:rFonts w:ascii="Avenir Next" w:hAnsi="Avenir Next" w:cs="Arial"/>
          <w:color w:val="7B7B7B" w:themeColor="accent3" w:themeShade="BF"/>
          <w:sz w:val="22"/>
          <w:szCs w:val="22"/>
          <w:lang w:val="en-GB"/>
        </w:rPr>
        <w:t xml:space="preserve"> (including issues of enforcement)?</w:t>
      </w:r>
    </w:p>
    <w:p w14:paraId="7A0D2263" w14:textId="77777777" w:rsidR="00B0568C" w:rsidRPr="00B0568C" w:rsidRDefault="00B0568C" w:rsidP="00B0568C">
      <w:pPr>
        <w:jc w:val="both"/>
        <w:rPr>
          <w:rFonts w:ascii="Avenir Next" w:hAnsi="Avenir Next" w:cs="Arial"/>
          <w:sz w:val="22"/>
          <w:szCs w:val="22"/>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29603556" w14:textId="2C9F12E3" w:rsidR="0063550A" w:rsidRDefault="0037313D" w:rsidP="006355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absence of a</w:t>
      </w:r>
      <w:r w:rsidR="007E663A">
        <w:rPr>
          <w:rFonts w:ascii="Avenir Next" w:hAnsi="Avenir Next" w:cs="Arial"/>
          <w:color w:val="808080" w:themeColor="background1" w:themeShade="80"/>
          <w:sz w:val="22"/>
          <w:szCs w:val="22"/>
          <w:lang w:val="en-GB"/>
        </w:rPr>
        <w:t xml:space="preserve"> uniform </w:t>
      </w:r>
      <w:r>
        <w:rPr>
          <w:rFonts w:ascii="Avenir Next" w:hAnsi="Avenir Next" w:cs="Arial"/>
          <w:color w:val="808080" w:themeColor="background1" w:themeShade="80"/>
          <w:sz w:val="22"/>
          <w:szCs w:val="22"/>
          <w:lang w:val="en-GB"/>
        </w:rPr>
        <w:t xml:space="preserve">international insolvency law, many states and nations have </w:t>
      </w:r>
      <w:proofErr w:type="gramStart"/>
      <w:r>
        <w:rPr>
          <w:rFonts w:ascii="Avenir Next" w:hAnsi="Avenir Next" w:cs="Arial"/>
          <w:color w:val="808080" w:themeColor="background1" w:themeShade="80"/>
          <w:sz w:val="22"/>
          <w:szCs w:val="22"/>
          <w:lang w:val="en-GB"/>
        </w:rPr>
        <w:t>entered into</w:t>
      </w:r>
      <w:proofErr w:type="gramEnd"/>
      <w:r>
        <w:rPr>
          <w:rFonts w:ascii="Avenir Next" w:hAnsi="Avenir Next" w:cs="Arial"/>
          <w:color w:val="808080" w:themeColor="background1" w:themeShade="80"/>
          <w:sz w:val="22"/>
          <w:szCs w:val="22"/>
          <w:lang w:val="en-GB"/>
        </w:rPr>
        <w:t xml:space="preserve"> t</w:t>
      </w:r>
      <w:r w:rsidR="00CB3C8C" w:rsidRPr="00CB3C8C">
        <w:rPr>
          <w:rFonts w:ascii="Avenir Next" w:hAnsi="Avenir Next" w:cs="Arial"/>
          <w:color w:val="808080" w:themeColor="background1" w:themeShade="80"/>
          <w:sz w:val="22"/>
          <w:szCs w:val="22"/>
          <w:lang w:val="en-GB"/>
        </w:rPr>
        <w:t>reaties and conventions</w:t>
      </w:r>
      <w:r>
        <w:rPr>
          <w:rFonts w:ascii="Avenir Next" w:hAnsi="Avenir Next" w:cs="Arial"/>
          <w:color w:val="808080" w:themeColor="background1" w:themeShade="80"/>
          <w:sz w:val="22"/>
          <w:szCs w:val="22"/>
          <w:lang w:val="en-GB"/>
        </w:rPr>
        <w:t xml:space="preserve"> w</w:t>
      </w:r>
      <w:r w:rsidR="007E663A">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 xml:space="preserve">ich are then </w:t>
      </w:r>
      <w:r w:rsidR="0063550A">
        <w:rPr>
          <w:rFonts w:ascii="Avenir Next" w:hAnsi="Avenir Next" w:cs="Arial"/>
          <w:color w:val="808080" w:themeColor="background1" w:themeShade="80"/>
          <w:sz w:val="22"/>
          <w:szCs w:val="22"/>
          <w:lang w:val="en-GB"/>
        </w:rPr>
        <w:t>imported into their domestic laws and have a binding effect on them. Treaties and conventions are a type of ‘hard law’ which have enforceable qualities and can be met with punitive measures</w:t>
      </w:r>
      <w:r w:rsidR="0063550A">
        <w:rPr>
          <w:rStyle w:val="FootnoteReference"/>
          <w:rFonts w:ascii="Avenir Next" w:hAnsi="Avenir Next" w:cs="Arial"/>
          <w:color w:val="808080" w:themeColor="background1" w:themeShade="80"/>
          <w:sz w:val="22"/>
          <w:szCs w:val="22"/>
          <w:lang w:val="en-GB"/>
        </w:rPr>
        <w:footnoteReference w:id="13"/>
      </w:r>
      <w:r w:rsidR="0063550A">
        <w:rPr>
          <w:rFonts w:ascii="Avenir Next" w:hAnsi="Avenir Next" w:cs="Arial"/>
          <w:color w:val="808080" w:themeColor="background1" w:themeShade="80"/>
          <w:sz w:val="22"/>
          <w:szCs w:val="22"/>
          <w:lang w:val="en-GB"/>
        </w:rPr>
        <w:t>, which is the point of diversion from ‘soft law’.</w:t>
      </w:r>
      <w:r w:rsidR="007E663A">
        <w:rPr>
          <w:rFonts w:ascii="Avenir Next" w:hAnsi="Avenir Next" w:cs="Arial"/>
          <w:color w:val="808080" w:themeColor="background1" w:themeShade="80"/>
          <w:sz w:val="22"/>
          <w:szCs w:val="22"/>
          <w:lang w:val="en-GB"/>
        </w:rPr>
        <w:t xml:space="preserve"> T</w:t>
      </w:r>
      <w:r w:rsidR="0063550A">
        <w:rPr>
          <w:rFonts w:ascii="Avenir Next" w:hAnsi="Avenir Next" w:cs="Arial"/>
          <w:color w:val="808080" w:themeColor="background1" w:themeShade="80"/>
          <w:sz w:val="22"/>
          <w:szCs w:val="22"/>
          <w:lang w:val="en-GB"/>
        </w:rPr>
        <w:t xml:space="preserve">reaties and conventions are </w:t>
      </w:r>
      <w:r w:rsidR="007E663A">
        <w:rPr>
          <w:rFonts w:ascii="Avenir Next" w:hAnsi="Avenir Next" w:cs="Arial"/>
          <w:color w:val="808080" w:themeColor="background1" w:themeShade="80"/>
          <w:sz w:val="22"/>
          <w:szCs w:val="22"/>
          <w:lang w:val="en-GB"/>
        </w:rPr>
        <w:t>governmental</w:t>
      </w:r>
      <w:r w:rsidR="0063550A">
        <w:rPr>
          <w:rFonts w:ascii="Avenir Next" w:hAnsi="Avenir Next" w:cs="Arial"/>
          <w:color w:val="808080" w:themeColor="background1" w:themeShade="80"/>
          <w:sz w:val="22"/>
          <w:szCs w:val="22"/>
          <w:lang w:val="en-GB"/>
        </w:rPr>
        <w:t xml:space="preserve"> actions. The same falls in the category of addressing the drawbacks of international insolvency laws by adopting the approach of ‘</w:t>
      </w:r>
      <w:r w:rsidR="0063550A" w:rsidRPr="007E663A">
        <w:rPr>
          <w:rFonts w:ascii="Avenir Next" w:hAnsi="Avenir Next" w:cs="Arial"/>
          <w:i/>
          <w:color w:val="808080" w:themeColor="background1" w:themeShade="80"/>
          <w:sz w:val="22"/>
          <w:szCs w:val="22"/>
          <w:lang w:val="en-GB"/>
        </w:rPr>
        <w:t xml:space="preserve">if all member states follow the same set of rules qua </w:t>
      </w:r>
      <w:r w:rsidR="007E663A" w:rsidRPr="007E663A">
        <w:rPr>
          <w:rFonts w:ascii="Avenir Next" w:hAnsi="Avenir Next" w:cs="Arial"/>
          <w:i/>
          <w:color w:val="808080" w:themeColor="background1" w:themeShade="80"/>
          <w:sz w:val="22"/>
          <w:szCs w:val="22"/>
          <w:lang w:val="en-GB"/>
        </w:rPr>
        <w:t>insolvency</w:t>
      </w:r>
      <w:r w:rsidR="007E663A">
        <w:rPr>
          <w:rFonts w:ascii="Avenir Next" w:hAnsi="Avenir Next" w:cs="Arial"/>
          <w:color w:val="808080" w:themeColor="background1" w:themeShade="80"/>
          <w:sz w:val="22"/>
          <w:szCs w:val="22"/>
          <w:lang w:val="en-GB"/>
        </w:rPr>
        <w:t>’. The</w:t>
      </w:r>
      <w:r w:rsidR="0063550A">
        <w:rPr>
          <w:rFonts w:ascii="Avenir Next" w:hAnsi="Avenir Next" w:cs="Arial"/>
          <w:color w:val="808080" w:themeColor="background1" w:themeShade="80"/>
          <w:sz w:val="22"/>
          <w:szCs w:val="22"/>
          <w:lang w:val="en-GB"/>
        </w:rPr>
        <w:t xml:space="preserve"> following are the examples of successful treaties and conventions in the space of international insolvency laws:</w:t>
      </w:r>
    </w:p>
    <w:p w14:paraId="4ED219CB" w14:textId="411A7108" w:rsidR="0037313D" w:rsidRDefault="0063550A" w:rsidP="0063550A">
      <w:pPr>
        <w:pStyle w:val="ListParagraph"/>
        <w:numPr>
          <w:ilvl w:val="0"/>
          <w:numId w:val="35"/>
        </w:numPr>
        <w:jc w:val="both"/>
        <w:rPr>
          <w:rFonts w:ascii="Avenir Next" w:hAnsi="Avenir Next" w:cs="Arial"/>
          <w:color w:val="808080" w:themeColor="background1" w:themeShade="80"/>
          <w:sz w:val="22"/>
          <w:szCs w:val="22"/>
          <w:lang w:val="en-GB"/>
        </w:rPr>
      </w:pPr>
      <w:r w:rsidRPr="00C649E0">
        <w:rPr>
          <w:rFonts w:ascii="Avenir Next" w:hAnsi="Avenir Next" w:cs="Arial"/>
          <w:color w:val="808080" w:themeColor="background1" w:themeShade="80"/>
          <w:sz w:val="22"/>
          <w:szCs w:val="22"/>
          <w:u w:val="single"/>
          <w:lang w:val="en-GB"/>
        </w:rPr>
        <w:t>Nordic Convention</w:t>
      </w:r>
      <w:r>
        <w:rPr>
          <w:rFonts w:ascii="Avenir Next" w:hAnsi="Avenir Next" w:cs="Arial"/>
          <w:color w:val="808080" w:themeColor="background1" w:themeShade="80"/>
          <w:sz w:val="22"/>
          <w:szCs w:val="22"/>
          <w:lang w:val="en-GB"/>
        </w:rPr>
        <w:t xml:space="preserve">: </w:t>
      </w:r>
      <w:r w:rsidRPr="0063550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Entered into on November 7, 1933, between the states of Denmark (which included Greenland), Finland, Iceland, Norway and Sweden. </w:t>
      </w:r>
      <w:r w:rsidRPr="00C649E0">
        <w:rPr>
          <w:rFonts w:ascii="Avenir Next" w:hAnsi="Avenir Next" w:cs="Arial"/>
          <w:color w:val="808080" w:themeColor="background1" w:themeShade="80"/>
          <w:sz w:val="22"/>
          <w:szCs w:val="22"/>
          <w:lang w:val="en-GB"/>
        </w:rPr>
        <w:t>According to the convention, a bankruptcy declared in one Nordic country is recognised in other Nordic countries as automatically applying to the bankrupt's property in those countries</w:t>
      </w:r>
      <w:r w:rsidR="00C649E0">
        <w:rPr>
          <w:rFonts w:ascii="Avenir Next" w:hAnsi="Avenir Next" w:cs="Arial"/>
          <w:color w:val="808080" w:themeColor="background1" w:themeShade="80"/>
          <w:sz w:val="22"/>
          <w:szCs w:val="22"/>
          <w:lang w:val="en-GB"/>
        </w:rPr>
        <w:t xml:space="preserve"> (b</w:t>
      </w:r>
      <w:r w:rsidRPr="00C649E0">
        <w:rPr>
          <w:rFonts w:ascii="Avenir Next" w:hAnsi="Avenir Next" w:cs="Arial"/>
          <w:color w:val="808080" w:themeColor="background1" w:themeShade="80"/>
          <w:sz w:val="22"/>
          <w:szCs w:val="22"/>
          <w:lang w:val="en-GB"/>
        </w:rPr>
        <w:t>ankruptcy here refers to both individuals and corporates)</w:t>
      </w:r>
      <w:r w:rsidR="00C649E0">
        <w:rPr>
          <w:rStyle w:val="FootnoteReference"/>
          <w:rFonts w:ascii="Avenir Next" w:hAnsi="Avenir Next" w:cs="Arial"/>
          <w:color w:val="808080" w:themeColor="background1" w:themeShade="80"/>
          <w:sz w:val="22"/>
          <w:szCs w:val="22"/>
          <w:lang w:val="en-GB"/>
        </w:rPr>
        <w:footnoteReference w:id="14"/>
      </w:r>
    </w:p>
    <w:p w14:paraId="7F913D46" w14:textId="3064F8E4" w:rsidR="00086948" w:rsidRDefault="007E663A" w:rsidP="0063550A">
      <w:pPr>
        <w:pStyle w:val="ListParagraph"/>
        <w:numPr>
          <w:ilvl w:val="0"/>
          <w:numId w:val="35"/>
        </w:numPr>
        <w:jc w:val="both"/>
        <w:rPr>
          <w:rFonts w:ascii="Avenir Next" w:hAnsi="Avenir Next" w:cs="Arial"/>
          <w:color w:val="808080" w:themeColor="background1" w:themeShade="80"/>
          <w:sz w:val="22"/>
          <w:szCs w:val="22"/>
          <w:lang w:val="en-GB"/>
        </w:rPr>
      </w:pPr>
      <w:r w:rsidRPr="007E663A">
        <w:rPr>
          <w:rFonts w:ascii="Avenir Next" w:hAnsi="Avenir Next" w:cs="Arial"/>
          <w:color w:val="808080" w:themeColor="background1" w:themeShade="80"/>
          <w:sz w:val="22"/>
          <w:szCs w:val="22"/>
          <w:u w:val="single"/>
          <w:lang w:val="en-GB"/>
        </w:rPr>
        <w:t>Istanbul</w:t>
      </w:r>
      <w:r w:rsidR="00C649E0" w:rsidRPr="007E663A">
        <w:rPr>
          <w:rFonts w:ascii="Avenir Next" w:hAnsi="Avenir Next" w:cs="Arial"/>
          <w:color w:val="808080" w:themeColor="background1" w:themeShade="80"/>
          <w:sz w:val="22"/>
          <w:szCs w:val="22"/>
          <w:u w:val="single"/>
          <w:lang w:val="en-GB"/>
        </w:rPr>
        <w:t xml:space="preserve"> Convention/ European Convention on Certain </w:t>
      </w:r>
      <w:r w:rsidR="00086948" w:rsidRPr="007E663A">
        <w:rPr>
          <w:rFonts w:ascii="Avenir Next" w:hAnsi="Avenir Next" w:cs="Arial"/>
          <w:color w:val="808080" w:themeColor="background1" w:themeShade="80"/>
          <w:sz w:val="22"/>
          <w:szCs w:val="22"/>
          <w:u w:val="single"/>
          <w:lang w:val="en-GB"/>
        </w:rPr>
        <w:t>Aspects of Bankruptcy (ETS No. 136</w:t>
      </w:r>
      <w:r w:rsidRPr="007E663A">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lang w:val="en-GB"/>
        </w:rPr>
        <w:t>: The</w:t>
      </w:r>
      <w:r w:rsidR="00086948">
        <w:rPr>
          <w:rFonts w:ascii="Avenir Next" w:hAnsi="Avenir Next" w:cs="Arial"/>
          <w:color w:val="808080" w:themeColor="background1" w:themeShade="80"/>
          <w:sz w:val="22"/>
          <w:szCs w:val="22"/>
          <w:lang w:val="en-GB"/>
        </w:rPr>
        <w:t xml:space="preserve"> same is an example of the efforts of the European Union </w:t>
      </w:r>
      <w:r>
        <w:rPr>
          <w:rFonts w:ascii="Avenir Next" w:hAnsi="Avenir Next" w:cs="Arial"/>
          <w:color w:val="808080" w:themeColor="background1" w:themeShade="80"/>
          <w:sz w:val="22"/>
          <w:szCs w:val="22"/>
          <w:lang w:val="en-GB"/>
        </w:rPr>
        <w:t xml:space="preserve">(EU) </w:t>
      </w:r>
      <w:r w:rsidR="00086948">
        <w:rPr>
          <w:rFonts w:ascii="Avenir Next" w:hAnsi="Avenir Next" w:cs="Arial"/>
          <w:color w:val="808080" w:themeColor="background1" w:themeShade="80"/>
          <w:sz w:val="22"/>
          <w:szCs w:val="22"/>
          <w:lang w:val="en-GB"/>
        </w:rPr>
        <w:t xml:space="preserve">to implement a standard set of cross-border insolvency rules. The Convention allows for liquidators appointed in one EU state in which bankruptcy is opened to exercise some powers in other states where the assets are located, however in doing so the </w:t>
      </w:r>
      <w:r>
        <w:rPr>
          <w:rFonts w:ascii="Avenir Next" w:hAnsi="Avenir Next" w:cs="Arial"/>
          <w:color w:val="808080" w:themeColor="background1" w:themeShade="80"/>
          <w:sz w:val="22"/>
          <w:szCs w:val="22"/>
          <w:lang w:val="en-GB"/>
        </w:rPr>
        <w:t>liquidators</w:t>
      </w:r>
      <w:r w:rsidR="00086948">
        <w:rPr>
          <w:rFonts w:ascii="Avenir Next" w:hAnsi="Avenir Next" w:cs="Arial"/>
          <w:color w:val="808080" w:themeColor="background1" w:themeShade="80"/>
          <w:sz w:val="22"/>
          <w:szCs w:val="22"/>
          <w:lang w:val="en-GB"/>
        </w:rPr>
        <w:t xml:space="preserve"> are required to adhere to the domestic laws of that state. It also allows for opening of secondary </w:t>
      </w:r>
      <w:r>
        <w:rPr>
          <w:rFonts w:ascii="Avenir Next" w:hAnsi="Avenir Next" w:cs="Arial"/>
          <w:color w:val="808080" w:themeColor="background1" w:themeShade="80"/>
          <w:sz w:val="22"/>
          <w:szCs w:val="22"/>
          <w:lang w:val="en-GB"/>
        </w:rPr>
        <w:t>bankruptcies</w:t>
      </w:r>
      <w:r w:rsidR="00086948">
        <w:rPr>
          <w:rFonts w:ascii="Avenir Next" w:hAnsi="Avenir Next" w:cs="Arial"/>
          <w:color w:val="808080" w:themeColor="background1" w:themeShade="80"/>
          <w:sz w:val="22"/>
          <w:szCs w:val="22"/>
          <w:lang w:val="en-GB"/>
        </w:rPr>
        <w:t>. Though the same was not rat</w:t>
      </w:r>
      <w:r>
        <w:rPr>
          <w:rFonts w:ascii="Avenir Next" w:hAnsi="Avenir Next" w:cs="Arial"/>
          <w:color w:val="808080" w:themeColor="background1" w:themeShade="80"/>
          <w:sz w:val="22"/>
          <w:szCs w:val="22"/>
          <w:lang w:val="en-GB"/>
        </w:rPr>
        <w:t>ified</w:t>
      </w:r>
      <w:r w:rsidR="00086948">
        <w:rPr>
          <w:rFonts w:ascii="Avenir Next" w:hAnsi="Avenir Next" w:cs="Arial"/>
          <w:color w:val="808080" w:themeColor="background1" w:themeShade="80"/>
          <w:sz w:val="22"/>
          <w:szCs w:val="22"/>
          <w:lang w:val="en-GB"/>
        </w:rPr>
        <w:t xml:space="preserve"> by many member nations.</w:t>
      </w:r>
    </w:p>
    <w:p w14:paraId="337A4250" w14:textId="4C91259D" w:rsidR="00C952A2" w:rsidRDefault="00086948" w:rsidP="00331BE3">
      <w:pPr>
        <w:pStyle w:val="ListParagraph"/>
        <w:numPr>
          <w:ilvl w:val="0"/>
          <w:numId w:val="35"/>
        </w:numPr>
        <w:jc w:val="both"/>
        <w:rPr>
          <w:rFonts w:ascii="Avenir Next" w:hAnsi="Avenir Next" w:cs="Arial"/>
          <w:color w:val="808080" w:themeColor="background1" w:themeShade="80"/>
          <w:sz w:val="22"/>
          <w:szCs w:val="22"/>
          <w:lang w:val="en-GB"/>
        </w:rPr>
      </w:pPr>
      <w:r w:rsidRPr="00086948">
        <w:rPr>
          <w:rFonts w:ascii="Avenir Next" w:hAnsi="Avenir Next" w:cs="Arial"/>
          <w:color w:val="808080" w:themeColor="background1" w:themeShade="80"/>
          <w:sz w:val="22"/>
          <w:szCs w:val="22"/>
          <w:lang w:val="en-GB"/>
        </w:rPr>
        <w:t xml:space="preserve"> </w:t>
      </w:r>
      <w:r w:rsidRPr="00086948">
        <w:rPr>
          <w:rFonts w:ascii="Avenir Next" w:hAnsi="Avenir Next" w:cs="Arial"/>
          <w:color w:val="808080" w:themeColor="background1" w:themeShade="80"/>
          <w:sz w:val="22"/>
          <w:szCs w:val="22"/>
          <w:u w:val="single"/>
          <w:lang w:val="en-GB"/>
        </w:rPr>
        <w:t>ALI NAFTA Principles</w:t>
      </w:r>
      <w:r w:rsidRPr="00086948">
        <w:rPr>
          <w:rFonts w:ascii="Avenir Next" w:hAnsi="Avenir Next" w:cs="Arial"/>
          <w:color w:val="808080" w:themeColor="background1" w:themeShade="80"/>
          <w:sz w:val="22"/>
          <w:szCs w:val="22"/>
          <w:lang w:val="en-GB"/>
        </w:rPr>
        <w:t>: American Law Institute’s (“ALI”) Principles of Cooperation among the member-states of the North American Free Trade Association (being the United States, Canada and Mexico) (the “ALI NAFTA Principles”)</w:t>
      </w:r>
      <w:r w:rsidR="007E663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provided </w:t>
      </w:r>
      <w:r w:rsidRPr="006867F5">
        <w:rPr>
          <w:rFonts w:ascii="Avenir Next" w:hAnsi="Avenir Next" w:cs="Arial"/>
          <w:color w:val="808080" w:themeColor="background1" w:themeShade="80"/>
          <w:sz w:val="22"/>
          <w:szCs w:val="22"/>
          <w:lang w:val="en-GB"/>
        </w:rPr>
        <w:t>a non-statutory basis for cooperation in international insolvency cases</w:t>
      </w:r>
      <w:r>
        <w:rPr>
          <w:rFonts w:ascii="Avenir Next" w:hAnsi="Avenir Next" w:cs="Arial"/>
          <w:color w:val="808080" w:themeColor="background1" w:themeShade="80"/>
          <w:sz w:val="22"/>
          <w:szCs w:val="22"/>
          <w:lang w:val="en-GB"/>
        </w:rPr>
        <w:t>.</w:t>
      </w:r>
    </w:p>
    <w:p w14:paraId="37FFFDC1" w14:textId="338245B8" w:rsidR="0032735C" w:rsidRDefault="00086948" w:rsidP="00331BE3">
      <w:pPr>
        <w:pStyle w:val="ListParagraph"/>
        <w:numPr>
          <w:ilvl w:val="0"/>
          <w:numId w:val="35"/>
        </w:numPr>
        <w:jc w:val="both"/>
        <w:rPr>
          <w:rFonts w:ascii="Avenir Next" w:hAnsi="Avenir Next" w:cs="Arial"/>
          <w:color w:val="808080" w:themeColor="background1" w:themeShade="80"/>
          <w:sz w:val="22"/>
          <w:szCs w:val="22"/>
          <w:lang w:val="en-GB"/>
        </w:rPr>
      </w:pPr>
      <w:r w:rsidRPr="007E663A">
        <w:rPr>
          <w:rFonts w:ascii="Avenir Next" w:hAnsi="Avenir Next" w:cs="Arial"/>
          <w:color w:val="808080" w:themeColor="background1" w:themeShade="80"/>
          <w:sz w:val="22"/>
          <w:szCs w:val="22"/>
          <w:u w:val="single"/>
          <w:lang w:val="en-GB"/>
        </w:rPr>
        <w:t>The Montevideo Treaties of 1889 and 1940</w:t>
      </w:r>
      <w:r>
        <w:rPr>
          <w:rFonts w:ascii="Avenir Next" w:hAnsi="Avenir Next" w:cs="Arial"/>
          <w:color w:val="808080" w:themeColor="background1" w:themeShade="80"/>
          <w:sz w:val="22"/>
          <w:szCs w:val="22"/>
          <w:lang w:val="en-GB"/>
        </w:rPr>
        <w:t xml:space="preserve">: </w:t>
      </w:r>
      <w:r w:rsidR="007E663A">
        <w:rPr>
          <w:rFonts w:ascii="Avenir Next" w:hAnsi="Avenir Next" w:cs="Arial"/>
          <w:color w:val="808080" w:themeColor="background1" w:themeShade="80"/>
          <w:sz w:val="22"/>
          <w:szCs w:val="22"/>
          <w:lang w:val="en-GB"/>
        </w:rPr>
        <w:t>Entered</w:t>
      </w:r>
      <w:r>
        <w:rPr>
          <w:rFonts w:ascii="Avenir Next" w:hAnsi="Avenir Next" w:cs="Arial"/>
          <w:color w:val="808080" w:themeColor="background1" w:themeShade="80"/>
          <w:sz w:val="22"/>
          <w:szCs w:val="22"/>
          <w:lang w:val="en-GB"/>
        </w:rPr>
        <w:t xml:space="preserve"> between the </w:t>
      </w:r>
      <w:r w:rsidR="0032735C">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atin American counties</w:t>
      </w:r>
      <w:r w:rsidR="007E663A">
        <w:rPr>
          <w:rFonts w:ascii="Avenir Next" w:hAnsi="Avenir Next" w:cs="Arial"/>
          <w:color w:val="808080" w:themeColor="background1" w:themeShade="80"/>
          <w:sz w:val="22"/>
          <w:szCs w:val="22"/>
          <w:lang w:val="en-GB"/>
        </w:rPr>
        <w:t>, the same</w:t>
      </w:r>
      <w:r w:rsidR="0032735C">
        <w:rPr>
          <w:rFonts w:ascii="Avenir Next" w:hAnsi="Avenir Next" w:cs="Arial"/>
          <w:color w:val="808080" w:themeColor="background1" w:themeShade="80"/>
          <w:sz w:val="22"/>
          <w:szCs w:val="22"/>
          <w:lang w:val="en-GB"/>
        </w:rPr>
        <w:t xml:space="preserve"> is one of the foremost instances of multilateral treaties in the space of international </w:t>
      </w:r>
      <w:r w:rsidR="0032735C">
        <w:rPr>
          <w:rFonts w:ascii="Avenir Next" w:hAnsi="Avenir Next" w:cs="Arial"/>
          <w:color w:val="808080" w:themeColor="background1" w:themeShade="80"/>
          <w:sz w:val="22"/>
          <w:szCs w:val="22"/>
          <w:lang w:val="en-GB"/>
        </w:rPr>
        <w:lastRenderedPageBreak/>
        <w:t>insolvency. The 1889 treaty provided for the concept of concurrent proceedings as well as one main proceeding in the domiciled state.</w:t>
      </w:r>
    </w:p>
    <w:p w14:paraId="68CE6D46" w14:textId="135A85F3" w:rsidR="00086948" w:rsidRDefault="0032735C" w:rsidP="00331BE3">
      <w:pPr>
        <w:pStyle w:val="ListParagraph"/>
        <w:numPr>
          <w:ilvl w:val="0"/>
          <w:numId w:val="35"/>
        </w:numPr>
        <w:jc w:val="both"/>
        <w:rPr>
          <w:rFonts w:ascii="Avenir Next" w:hAnsi="Avenir Next" w:cs="Arial"/>
          <w:color w:val="808080" w:themeColor="background1" w:themeShade="80"/>
          <w:sz w:val="22"/>
          <w:szCs w:val="22"/>
          <w:lang w:val="en-GB"/>
        </w:rPr>
      </w:pPr>
      <w:r w:rsidRPr="007E663A">
        <w:rPr>
          <w:rFonts w:ascii="Avenir Next" w:hAnsi="Avenir Next" w:cs="Arial"/>
          <w:color w:val="808080" w:themeColor="background1" w:themeShade="80"/>
          <w:sz w:val="22"/>
          <w:szCs w:val="22"/>
          <w:u w:val="single"/>
          <w:lang w:val="en-GB"/>
        </w:rPr>
        <w:t>The Havana Convention on Private International Law 1928</w:t>
      </w:r>
      <w:r>
        <w:rPr>
          <w:rFonts w:ascii="Avenir Next" w:hAnsi="Avenir Next" w:cs="Arial"/>
          <w:color w:val="808080" w:themeColor="background1" w:themeShade="80"/>
          <w:sz w:val="22"/>
          <w:szCs w:val="22"/>
          <w:lang w:val="en-GB"/>
        </w:rPr>
        <w:t xml:space="preserve">: </w:t>
      </w:r>
      <w:r w:rsidR="007E663A">
        <w:rPr>
          <w:rFonts w:ascii="Avenir Next" w:hAnsi="Avenir Next" w:cs="Arial"/>
          <w:color w:val="808080" w:themeColor="background1" w:themeShade="80"/>
          <w:sz w:val="22"/>
          <w:szCs w:val="22"/>
          <w:lang w:val="en-GB"/>
        </w:rPr>
        <w:t xml:space="preserve">the </w:t>
      </w:r>
      <w:r w:rsidRPr="0032735C">
        <w:rPr>
          <w:rFonts w:ascii="Avenir Next" w:hAnsi="Avenir Next" w:cs="Arial"/>
          <w:color w:val="808080" w:themeColor="background1" w:themeShade="80"/>
          <w:sz w:val="22"/>
          <w:szCs w:val="22"/>
          <w:lang w:val="en-GB"/>
        </w:rPr>
        <w:t>Bustamante Code</w:t>
      </w:r>
      <w:r w:rsidR="007E663A">
        <w:rPr>
          <w:rFonts w:ascii="Avenir Next" w:hAnsi="Avenir Next" w:cs="Arial"/>
          <w:color w:val="808080" w:themeColor="background1" w:themeShade="80"/>
          <w:sz w:val="22"/>
          <w:szCs w:val="22"/>
          <w:lang w:val="en-GB"/>
        </w:rPr>
        <w:t xml:space="preserve"> </w:t>
      </w:r>
      <w:r w:rsidRPr="0032735C">
        <w:rPr>
          <w:rFonts w:ascii="Avenir Next" w:hAnsi="Avenir Next" w:cs="Arial"/>
          <w:color w:val="808080" w:themeColor="background1" w:themeShade="80"/>
          <w:sz w:val="22"/>
          <w:szCs w:val="22"/>
          <w:lang w:val="en-GB"/>
        </w:rPr>
        <w:t xml:space="preserve">was adopted on 20 February 1928 by 15 Latin American States. The Code provides that the debtor’s domicile, whether determined on a civil or commercial basis, is the required link to establish jurisdiction to open insolvency </w:t>
      </w:r>
      <w:r w:rsidR="007E663A" w:rsidRPr="0032735C">
        <w:rPr>
          <w:rFonts w:ascii="Avenir Next" w:hAnsi="Avenir Next" w:cs="Arial"/>
          <w:color w:val="808080" w:themeColor="background1" w:themeShade="80"/>
          <w:sz w:val="22"/>
          <w:szCs w:val="22"/>
          <w:lang w:val="en-GB"/>
        </w:rPr>
        <w:t>proceedings. The</w:t>
      </w:r>
      <w:r w:rsidRPr="0032735C">
        <w:rPr>
          <w:rFonts w:ascii="Avenir Next" w:hAnsi="Avenir Next" w:cs="Arial"/>
          <w:color w:val="808080" w:themeColor="background1" w:themeShade="80"/>
          <w:sz w:val="22"/>
          <w:szCs w:val="22"/>
          <w:lang w:val="en-GB"/>
        </w:rPr>
        <w:t xml:space="preserve"> principle of unity is respected where the debtor has only one domicile, insolvency proceedings are only to be opened in that state</w:t>
      </w:r>
      <w:r>
        <w:rPr>
          <w:rStyle w:val="FootnoteReference"/>
          <w:rFonts w:ascii="Avenir Next" w:hAnsi="Avenir Next" w:cs="Arial"/>
          <w:color w:val="808080" w:themeColor="background1" w:themeShade="80"/>
          <w:sz w:val="22"/>
          <w:szCs w:val="22"/>
          <w:lang w:val="en-GB"/>
        </w:rPr>
        <w:footnoteReference w:id="15"/>
      </w:r>
      <w:r>
        <w:rPr>
          <w:rFonts w:ascii="Avenir Next" w:hAnsi="Avenir Next" w:cs="Arial"/>
          <w:color w:val="808080" w:themeColor="background1" w:themeShade="80"/>
          <w:sz w:val="22"/>
          <w:szCs w:val="22"/>
          <w:lang w:val="en-GB"/>
        </w:rPr>
        <w:t>.</w:t>
      </w:r>
    </w:p>
    <w:p w14:paraId="6B8A9BE7" w14:textId="27C34754" w:rsidR="0032735C" w:rsidRDefault="0032735C" w:rsidP="0032735C">
      <w:pPr>
        <w:jc w:val="both"/>
        <w:rPr>
          <w:rFonts w:ascii="Avenir Next" w:hAnsi="Avenir Next" w:cs="Arial"/>
          <w:color w:val="808080" w:themeColor="background1" w:themeShade="80"/>
          <w:sz w:val="22"/>
          <w:szCs w:val="22"/>
          <w:lang w:val="en-GB"/>
        </w:rPr>
      </w:pPr>
    </w:p>
    <w:p w14:paraId="09942D59" w14:textId="0BA65E7B" w:rsidR="0032735C" w:rsidRDefault="0032735C" w:rsidP="003273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treaties and conventions may be viewed as more binding and confirmative and resultantly being more transparent in their approach, there have been </w:t>
      </w:r>
      <w:r w:rsidR="007E663A">
        <w:rPr>
          <w:rFonts w:ascii="Avenir Next" w:hAnsi="Avenir Next" w:cs="Arial"/>
          <w:color w:val="808080" w:themeColor="background1" w:themeShade="80"/>
          <w:sz w:val="22"/>
          <w:szCs w:val="22"/>
          <w:lang w:val="en-GB"/>
        </w:rPr>
        <w:t>instances</w:t>
      </w:r>
      <w:r>
        <w:rPr>
          <w:rFonts w:ascii="Avenir Next" w:hAnsi="Avenir Next" w:cs="Arial"/>
          <w:color w:val="808080" w:themeColor="background1" w:themeShade="80"/>
          <w:sz w:val="22"/>
          <w:szCs w:val="22"/>
          <w:lang w:val="en-GB"/>
        </w:rPr>
        <w:t xml:space="preserve"> where a </w:t>
      </w:r>
      <w:r w:rsidR="007E663A">
        <w:rPr>
          <w:rFonts w:ascii="Avenir Next" w:hAnsi="Avenir Next" w:cs="Arial"/>
          <w:color w:val="808080" w:themeColor="background1" w:themeShade="80"/>
          <w:sz w:val="22"/>
          <w:szCs w:val="22"/>
          <w:lang w:val="en-GB"/>
        </w:rPr>
        <w:t>many states</w:t>
      </w:r>
      <w:r>
        <w:rPr>
          <w:rFonts w:ascii="Avenir Next" w:hAnsi="Avenir Next" w:cs="Arial"/>
          <w:color w:val="808080" w:themeColor="background1" w:themeShade="80"/>
          <w:sz w:val="22"/>
          <w:szCs w:val="22"/>
          <w:lang w:val="en-GB"/>
        </w:rPr>
        <w:t xml:space="preserve"> who have participated in these conventions, or for whom these treaties can be made applicable have not ratified the same. Furthermore, the same </w:t>
      </w:r>
      <w:r w:rsidR="007E663A">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always observed to be amongst countries and states that are geographically located closer to </w:t>
      </w:r>
      <w:r w:rsidR="007E663A">
        <w:rPr>
          <w:rFonts w:ascii="Avenir Next" w:hAnsi="Avenir Next" w:cs="Arial"/>
          <w:color w:val="808080" w:themeColor="background1" w:themeShade="80"/>
          <w:sz w:val="22"/>
          <w:szCs w:val="22"/>
          <w:lang w:val="en-GB"/>
        </w:rPr>
        <w:t>each other or</w:t>
      </w:r>
      <w:r>
        <w:rPr>
          <w:rFonts w:ascii="Avenir Next" w:hAnsi="Avenir Next" w:cs="Arial"/>
          <w:color w:val="808080" w:themeColor="background1" w:themeShade="80"/>
          <w:sz w:val="22"/>
          <w:szCs w:val="22"/>
          <w:lang w:val="en-GB"/>
        </w:rPr>
        <w:t xml:space="preserve"> are considered a part of the same region and have had a </w:t>
      </w:r>
      <w:r w:rsidR="00523309">
        <w:rPr>
          <w:rFonts w:ascii="Avenir Next" w:hAnsi="Avenir Next" w:cs="Arial"/>
          <w:color w:val="808080" w:themeColor="background1" w:themeShade="80"/>
          <w:sz w:val="22"/>
          <w:szCs w:val="22"/>
          <w:lang w:val="en-GB"/>
        </w:rPr>
        <w:t>long-standing</w:t>
      </w:r>
      <w:r>
        <w:rPr>
          <w:rFonts w:ascii="Avenir Next" w:hAnsi="Avenir Next" w:cs="Arial"/>
          <w:color w:val="808080" w:themeColor="background1" w:themeShade="80"/>
          <w:sz w:val="22"/>
          <w:szCs w:val="22"/>
          <w:lang w:val="en-GB"/>
        </w:rPr>
        <w:t xml:space="preserve"> </w:t>
      </w:r>
      <w:r w:rsidR="00A0788F">
        <w:rPr>
          <w:rFonts w:ascii="Avenir Next" w:hAnsi="Avenir Next" w:cs="Arial"/>
          <w:color w:val="808080" w:themeColor="background1" w:themeShade="80"/>
          <w:sz w:val="22"/>
          <w:szCs w:val="22"/>
          <w:lang w:val="en-GB"/>
        </w:rPr>
        <w:t xml:space="preserve">trade </w:t>
      </w:r>
      <w:r w:rsidR="007E663A">
        <w:rPr>
          <w:rFonts w:ascii="Avenir Next" w:hAnsi="Avenir Next" w:cs="Arial"/>
          <w:color w:val="808080" w:themeColor="background1" w:themeShade="80"/>
          <w:sz w:val="22"/>
          <w:szCs w:val="22"/>
          <w:lang w:val="en-GB"/>
        </w:rPr>
        <w:t xml:space="preserve">cooperation </w:t>
      </w:r>
      <w:r w:rsidR="00A0788F">
        <w:rPr>
          <w:rFonts w:ascii="Avenir Next" w:hAnsi="Avenir Next" w:cs="Arial"/>
          <w:color w:val="808080" w:themeColor="background1" w:themeShade="80"/>
          <w:sz w:val="22"/>
          <w:szCs w:val="22"/>
          <w:lang w:val="en-GB"/>
        </w:rPr>
        <w:t xml:space="preserve">and moreover have the same historical roots of legal system. For example the Nordic Convention is only between the Nordic Countries, while the Havana Convention addressed the Latin American States. Such treaties and conventions will be difficult to implement across all jurisdictions worldwide. </w:t>
      </w:r>
    </w:p>
    <w:p w14:paraId="685881AB" w14:textId="77777777" w:rsidR="0032735C" w:rsidRPr="0032735C" w:rsidRDefault="0032735C" w:rsidP="0032735C">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61971FFB" w14:textId="4F3722B1" w:rsidR="009D294C" w:rsidRPr="00331BE3" w:rsidRDefault="00797A77" w:rsidP="00692852">
      <w:pPr>
        <w:jc w:val="both"/>
        <w:rPr>
          <w:rFonts w:ascii="Avenir Next" w:hAnsi="Avenir Next" w:cs="Arial"/>
          <w:color w:val="808080" w:themeColor="background1" w:themeShade="80"/>
          <w:sz w:val="22"/>
          <w:szCs w:val="22"/>
          <w:lang w:val="en-GB"/>
        </w:rPr>
      </w:pPr>
      <w:r w:rsidRPr="00331BE3">
        <w:rPr>
          <w:rFonts w:ascii="Avenir Next" w:hAnsi="Avenir Next" w:cs="Arial"/>
          <w:color w:val="808080" w:themeColor="background1" w:themeShade="80"/>
          <w:sz w:val="22"/>
          <w:szCs w:val="22"/>
          <w:lang w:val="en-GB"/>
        </w:rPr>
        <w:t>The main difference between ‘formal’ and ‘inf</w:t>
      </w:r>
      <w:r w:rsidR="009D294C" w:rsidRPr="00331BE3">
        <w:rPr>
          <w:rFonts w:ascii="Avenir Next" w:hAnsi="Avenir Next" w:cs="Arial"/>
          <w:color w:val="808080" w:themeColor="background1" w:themeShade="80"/>
          <w:sz w:val="22"/>
          <w:szCs w:val="22"/>
          <w:lang w:val="en-GB"/>
        </w:rPr>
        <w:t xml:space="preserve">ormal’ insolvency arrangement is that ‘formal’ </w:t>
      </w:r>
      <w:r w:rsidR="00523309" w:rsidRPr="00331BE3">
        <w:rPr>
          <w:rFonts w:ascii="Avenir Next" w:hAnsi="Avenir Next" w:cs="Arial"/>
          <w:color w:val="808080" w:themeColor="background1" w:themeShade="80"/>
          <w:sz w:val="22"/>
          <w:szCs w:val="22"/>
          <w:lang w:val="en-GB"/>
        </w:rPr>
        <w:t>processes</w:t>
      </w:r>
      <w:r w:rsidR="009D294C" w:rsidRPr="00331BE3">
        <w:rPr>
          <w:rFonts w:ascii="Avenir Next" w:hAnsi="Avenir Next" w:cs="Arial"/>
          <w:color w:val="808080" w:themeColor="background1" w:themeShade="80"/>
          <w:sz w:val="22"/>
          <w:szCs w:val="22"/>
          <w:lang w:val="en-GB"/>
        </w:rPr>
        <w:t xml:space="preserve"> are bases on the insolvency law of the state, while the ‘informal’ </w:t>
      </w:r>
      <w:r w:rsidR="00523309" w:rsidRPr="00331BE3">
        <w:rPr>
          <w:rFonts w:ascii="Avenir Next" w:hAnsi="Avenir Next" w:cs="Arial"/>
          <w:color w:val="808080" w:themeColor="background1" w:themeShade="80"/>
          <w:sz w:val="22"/>
          <w:szCs w:val="22"/>
          <w:lang w:val="en-GB"/>
        </w:rPr>
        <w:t>arrangements</w:t>
      </w:r>
      <w:r w:rsidR="009D294C" w:rsidRPr="00331BE3">
        <w:rPr>
          <w:rFonts w:ascii="Avenir Next" w:hAnsi="Avenir Next" w:cs="Arial"/>
          <w:color w:val="808080" w:themeColor="background1" w:themeShade="80"/>
          <w:sz w:val="22"/>
          <w:szCs w:val="22"/>
          <w:lang w:val="en-GB"/>
        </w:rPr>
        <w:t xml:space="preserve"> are not</w:t>
      </w:r>
      <w:r w:rsidR="00572FD6">
        <w:rPr>
          <w:rFonts w:ascii="Avenir Next" w:hAnsi="Avenir Next" w:cs="Arial"/>
          <w:color w:val="808080" w:themeColor="background1" w:themeShade="80"/>
          <w:sz w:val="22"/>
          <w:szCs w:val="22"/>
          <w:lang w:val="en-GB"/>
        </w:rPr>
        <w:t xml:space="preserve"> and are </w:t>
      </w:r>
      <w:r w:rsidR="00F97335">
        <w:rPr>
          <w:rFonts w:ascii="Avenir Next" w:hAnsi="Avenir Next" w:cs="Arial"/>
          <w:color w:val="808080" w:themeColor="background1" w:themeShade="80"/>
          <w:sz w:val="22"/>
          <w:szCs w:val="22"/>
          <w:lang w:val="en-GB"/>
        </w:rPr>
        <w:t>basis the voluntary negotiations between the debtors and the creditors. ’Informal’ procedures can though be</w:t>
      </w:r>
      <w:r w:rsidR="009D294C" w:rsidRPr="00331BE3">
        <w:rPr>
          <w:rFonts w:ascii="Avenir Next" w:hAnsi="Avenir Next" w:cs="Arial"/>
          <w:color w:val="808080" w:themeColor="background1" w:themeShade="80"/>
          <w:sz w:val="22"/>
          <w:szCs w:val="22"/>
          <w:lang w:val="en-GB"/>
        </w:rPr>
        <w:t xml:space="preserve"> influenced by the principles of the domestic insolvency law. Further, ‘formal’ procedures will allow a codified procedure qua the insolvency process or liquidation of a corporate, while ‘informal’ procedures mostly provide restructuring procedures which can be moved around. While ‘formal’ arrangements are prescribed by the legislature, ‘informal’ workouts are often </w:t>
      </w:r>
      <w:r w:rsidR="00523309" w:rsidRPr="00331BE3">
        <w:rPr>
          <w:rFonts w:ascii="Avenir Next" w:hAnsi="Avenir Next" w:cs="Arial"/>
          <w:color w:val="808080" w:themeColor="background1" w:themeShade="80"/>
          <w:sz w:val="22"/>
          <w:szCs w:val="22"/>
          <w:lang w:val="en-GB"/>
        </w:rPr>
        <w:t>prescribed</w:t>
      </w:r>
      <w:r w:rsidR="009D294C" w:rsidRPr="00331BE3">
        <w:rPr>
          <w:rFonts w:ascii="Avenir Next" w:hAnsi="Avenir Next" w:cs="Arial"/>
          <w:color w:val="808080" w:themeColor="background1" w:themeShade="80"/>
          <w:sz w:val="22"/>
          <w:szCs w:val="22"/>
          <w:lang w:val="en-GB"/>
        </w:rPr>
        <w:t xml:space="preserve"> by a sector specific regulatory bod</w:t>
      </w:r>
      <w:r w:rsidR="00F97335">
        <w:rPr>
          <w:rFonts w:ascii="Avenir Next" w:hAnsi="Avenir Next" w:cs="Arial"/>
          <w:color w:val="808080" w:themeColor="background1" w:themeShade="80"/>
          <w:sz w:val="22"/>
          <w:szCs w:val="22"/>
          <w:lang w:val="en-GB"/>
        </w:rPr>
        <w:t>ies</w:t>
      </w:r>
      <w:r w:rsidR="009D294C" w:rsidRPr="00331BE3">
        <w:rPr>
          <w:rFonts w:ascii="Avenir Next" w:hAnsi="Avenir Next" w:cs="Arial"/>
          <w:color w:val="808080" w:themeColor="background1" w:themeShade="80"/>
          <w:sz w:val="22"/>
          <w:szCs w:val="22"/>
          <w:lang w:val="en-GB"/>
        </w:rPr>
        <w:t xml:space="preserve"> which </w:t>
      </w:r>
      <w:r w:rsidR="00F97335">
        <w:rPr>
          <w:rFonts w:ascii="Avenir Next" w:hAnsi="Avenir Next" w:cs="Arial"/>
          <w:color w:val="808080" w:themeColor="background1" w:themeShade="80"/>
          <w:sz w:val="22"/>
          <w:szCs w:val="22"/>
          <w:lang w:val="en-GB"/>
        </w:rPr>
        <w:t>are</w:t>
      </w:r>
      <w:r w:rsidR="009D294C" w:rsidRPr="00331BE3">
        <w:rPr>
          <w:rFonts w:ascii="Avenir Next" w:hAnsi="Avenir Next" w:cs="Arial"/>
          <w:color w:val="808080" w:themeColor="background1" w:themeShade="80"/>
          <w:sz w:val="22"/>
          <w:szCs w:val="22"/>
          <w:lang w:val="en-GB"/>
        </w:rPr>
        <w:t xml:space="preserve"> often quasi-judicial in nature. There are also instances of a hybrid </w:t>
      </w:r>
      <w:r w:rsidR="009D294C" w:rsidRPr="00331BE3">
        <w:rPr>
          <w:rFonts w:ascii="Avenir Next" w:hAnsi="Avenir Next" w:cs="Arial"/>
          <w:color w:val="808080" w:themeColor="background1" w:themeShade="80"/>
          <w:sz w:val="22"/>
          <w:szCs w:val="22"/>
          <w:lang w:val="en-GB"/>
        </w:rPr>
        <w:lastRenderedPageBreak/>
        <w:t xml:space="preserve">model in many states which prescribe formal affirmation of an ‘informal’ arrangement by a formal insolvency court. </w:t>
      </w:r>
    </w:p>
    <w:p w14:paraId="0F71399C" w14:textId="77777777" w:rsidR="009D294C" w:rsidRPr="00331BE3" w:rsidRDefault="009D294C" w:rsidP="009D294C">
      <w:pPr>
        <w:autoSpaceDE w:val="0"/>
        <w:autoSpaceDN w:val="0"/>
        <w:adjustRightInd w:val="0"/>
        <w:jc w:val="both"/>
        <w:rPr>
          <w:rFonts w:ascii="Avenir Next" w:hAnsi="Avenir Next" w:cs="Arial"/>
          <w:color w:val="808080" w:themeColor="background1" w:themeShade="80"/>
          <w:sz w:val="22"/>
          <w:szCs w:val="22"/>
          <w:lang w:val="en-GB"/>
        </w:rPr>
      </w:pPr>
    </w:p>
    <w:p w14:paraId="279288E8" w14:textId="6CA6C96E" w:rsidR="009D294C" w:rsidRDefault="009D294C" w:rsidP="009D294C">
      <w:pPr>
        <w:autoSpaceDE w:val="0"/>
        <w:autoSpaceDN w:val="0"/>
        <w:adjustRightInd w:val="0"/>
        <w:jc w:val="both"/>
        <w:rPr>
          <w:rFonts w:ascii="Avenir Next" w:hAnsi="Avenir Next" w:cs="Arial"/>
          <w:color w:val="808080" w:themeColor="background1" w:themeShade="80"/>
          <w:sz w:val="22"/>
          <w:szCs w:val="22"/>
          <w:lang w:val="en-GB"/>
        </w:rPr>
      </w:pPr>
      <w:r w:rsidRPr="00331BE3">
        <w:rPr>
          <w:rFonts w:ascii="Avenir Next" w:hAnsi="Avenir Next" w:cs="Arial"/>
          <w:color w:val="808080" w:themeColor="background1" w:themeShade="80"/>
          <w:sz w:val="22"/>
          <w:szCs w:val="22"/>
          <w:lang w:val="en-GB"/>
        </w:rPr>
        <w:t xml:space="preserve">Lobo </w:t>
      </w:r>
      <w:r w:rsidR="00523309" w:rsidRPr="00331BE3">
        <w:rPr>
          <w:rFonts w:ascii="Avenir Next" w:hAnsi="Avenir Next" w:cs="Arial"/>
          <w:color w:val="808080" w:themeColor="background1" w:themeShade="80"/>
          <w:sz w:val="22"/>
          <w:szCs w:val="22"/>
          <w:lang w:val="en-GB"/>
        </w:rPr>
        <w:t>must</w:t>
      </w:r>
      <w:r w:rsidRPr="00331BE3">
        <w:rPr>
          <w:rFonts w:ascii="Avenir Next" w:hAnsi="Avenir Next" w:cs="Arial"/>
          <w:color w:val="808080" w:themeColor="background1" w:themeShade="80"/>
          <w:sz w:val="22"/>
          <w:szCs w:val="22"/>
          <w:lang w:val="en-GB"/>
        </w:rPr>
        <w:t xml:space="preserve"> keep in mind that the typical factors that premise an ‘informal’ </w:t>
      </w:r>
      <w:r w:rsidR="00523309">
        <w:rPr>
          <w:rFonts w:ascii="Avenir Next" w:hAnsi="Avenir Next" w:cs="Arial"/>
          <w:color w:val="808080" w:themeColor="background1" w:themeShade="80"/>
          <w:sz w:val="22"/>
          <w:szCs w:val="22"/>
          <w:lang w:val="en-GB"/>
        </w:rPr>
        <w:t xml:space="preserve">process </w:t>
      </w:r>
      <w:r w:rsidRPr="00331BE3">
        <w:rPr>
          <w:rFonts w:ascii="Avenir Next" w:hAnsi="Avenir Next" w:cs="Arial"/>
          <w:color w:val="808080" w:themeColor="background1" w:themeShade="80"/>
          <w:sz w:val="22"/>
          <w:szCs w:val="22"/>
          <w:lang w:val="en-GB"/>
        </w:rPr>
        <w:t xml:space="preserve">include, inadequacy of normal cash flows, uncertain extraneous factors, whether the current working capital is intact or expected to be eroded beyond any meaningful correction in the future, adequacy for resolution measures, any alternative resolution to resolve liquidity issues, group company support etc. A vanilla out of court restructuring could involve interest rate reduction, extension of repayment tenure </w:t>
      </w:r>
      <w:r w:rsidR="00CC54DC">
        <w:rPr>
          <w:rFonts w:ascii="Avenir Next" w:hAnsi="Avenir Next" w:cs="Arial"/>
          <w:color w:val="808080" w:themeColor="background1" w:themeShade="80"/>
          <w:sz w:val="22"/>
          <w:szCs w:val="22"/>
          <w:lang w:val="en-GB"/>
        </w:rPr>
        <w:t xml:space="preserve">etc. </w:t>
      </w:r>
      <w:r w:rsidRPr="00331BE3">
        <w:rPr>
          <w:rFonts w:ascii="Avenir Next" w:hAnsi="Avenir Next" w:cs="Arial"/>
          <w:color w:val="808080" w:themeColor="background1" w:themeShade="80"/>
          <w:sz w:val="22"/>
          <w:szCs w:val="22"/>
          <w:lang w:val="en-GB"/>
        </w:rPr>
        <w:t xml:space="preserve">A common trend in such situations is also to take a high degree of promotor support, </w:t>
      </w:r>
      <w:r w:rsidR="00CC54DC">
        <w:rPr>
          <w:rFonts w:ascii="Avenir Next" w:hAnsi="Avenir Next" w:cs="Arial"/>
          <w:color w:val="808080" w:themeColor="background1" w:themeShade="80"/>
          <w:sz w:val="22"/>
          <w:szCs w:val="22"/>
          <w:lang w:val="en-GB"/>
        </w:rPr>
        <w:t xml:space="preserve">in the nature of </w:t>
      </w:r>
      <w:r w:rsidR="00CC54DC" w:rsidRPr="00331BE3">
        <w:rPr>
          <w:rFonts w:ascii="Avenir Next" w:hAnsi="Avenir Next" w:cs="Arial"/>
          <w:color w:val="808080" w:themeColor="background1" w:themeShade="80"/>
          <w:sz w:val="22"/>
          <w:szCs w:val="22"/>
          <w:lang w:val="en-GB"/>
        </w:rPr>
        <w:t>pledge</w:t>
      </w:r>
      <w:r w:rsidRPr="00331BE3">
        <w:rPr>
          <w:rFonts w:ascii="Avenir Next" w:hAnsi="Avenir Next" w:cs="Arial"/>
          <w:color w:val="808080" w:themeColor="background1" w:themeShade="80"/>
          <w:sz w:val="22"/>
          <w:szCs w:val="22"/>
          <w:lang w:val="en-GB"/>
        </w:rPr>
        <w:t>, personal guarantee and/or additional collateral. Standstill clauses may be included in all informal and consensual restructurings along with clauses pertaining to a workable and credible treatment of dissenting creditors.</w:t>
      </w:r>
      <w:r w:rsidR="00331BE3" w:rsidRPr="00331BE3">
        <w:rPr>
          <w:rFonts w:ascii="Avenir Next" w:hAnsi="Avenir Next" w:cs="Arial"/>
          <w:color w:val="808080" w:themeColor="background1" w:themeShade="80"/>
          <w:sz w:val="22"/>
          <w:szCs w:val="22"/>
          <w:lang w:val="en-GB"/>
        </w:rPr>
        <w:t xml:space="preserve"> </w:t>
      </w:r>
      <w:r w:rsidR="003E230D">
        <w:rPr>
          <w:rFonts w:ascii="Avenir Next" w:hAnsi="Avenir Next" w:cs="Arial"/>
          <w:color w:val="808080" w:themeColor="background1" w:themeShade="80"/>
          <w:sz w:val="22"/>
          <w:szCs w:val="22"/>
          <w:lang w:val="en-GB"/>
        </w:rPr>
        <w:t xml:space="preserve">Assuming that Lobo is the only creditor to FPPL in </w:t>
      </w:r>
      <w:proofErr w:type="spellStart"/>
      <w:r w:rsidR="003E230D">
        <w:rPr>
          <w:rFonts w:ascii="Avenir Next" w:hAnsi="Avenir Next" w:cs="Arial"/>
          <w:color w:val="808080" w:themeColor="background1" w:themeShade="80"/>
          <w:sz w:val="22"/>
          <w:szCs w:val="22"/>
          <w:lang w:val="en-GB"/>
        </w:rPr>
        <w:t>Asgard</w:t>
      </w:r>
      <w:proofErr w:type="spellEnd"/>
      <w:r w:rsidR="003E230D">
        <w:rPr>
          <w:rFonts w:ascii="Avenir Next" w:hAnsi="Avenir Next" w:cs="Arial"/>
          <w:color w:val="808080" w:themeColor="background1" w:themeShade="80"/>
          <w:sz w:val="22"/>
          <w:szCs w:val="22"/>
          <w:lang w:val="en-GB"/>
        </w:rPr>
        <w:t>, Lobo can explore the option of entering into a bilateral settlement agreement with FPPL</w:t>
      </w:r>
      <w:r w:rsidR="00A5564A">
        <w:rPr>
          <w:rFonts w:ascii="Avenir Next" w:hAnsi="Avenir Next" w:cs="Arial"/>
          <w:color w:val="808080" w:themeColor="background1" w:themeShade="80"/>
          <w:sz w:val="22"/>
          <w:szCs w:val="22"/>
          <w:lang w:val="en-GB"/>
        </w:rPr>
        <w:t>, where the terms of settlement can be explored one</w:t>
      </w:r>
      <w:r w:rsidR="00FE68C8">
        <w:rPr>
          <w:rFonts w:ascii="Avenir Next" w:hAnsi="Avenir Next" w:cs="Arial"/>
          <w:color w:val="808080" w:themeColor="background1" w:themeShade="80"/>
          <w:sz w:val="22"/>
          <w:szCs w:val="22"/>
          <w:lang w:val="en-GB"/>
        </w:rPr>
        <w:t>-</w:t>
      </w:r>
      <w:r w:rsidR="00A5564A">
        <w:rPr>
          <w:rFonts w:ascii="Avenir Next" w:hAnsi="Avenir Next" w:cs="Arial"/>
          <w:color w:val="808080" w:themeColor="background1" w:themeShade="80"/>
          <w:sz w:val="22"/>
          <w:szCs w:val="22"/>
          <w:lang w:val="en-GB"/>
        </w:rPr>
        <w:t>on</w:t>
      </w:r>
      <w:r w:rsidR="00FE68C8">
        <w:rPr>
          <w:rFonts w:ascii="Avenir Next" w:hAnsi="Avenir Next" w:cs="Arial"/>
          <w:color w:val="808080" w:themeColor="background1" w:themeShade="80"/>
          <w:sz w:val="22"/>
          <w:szCs w:val="22"/>
          <w:lang w:val="en-GB"/>
        </w:rPr>
        <w:t>-</w:t>
      </w:r>
      <w:r w:rsidR="00A5564A">
        <w:rPr>
          <w:rFonts w:ascii="Avenir Next" w:hAnsi="Avenir Next" w:cs="Arial"/>
          <w:color w:val="808080" w:themeColor="background1" w:themeShade="80"/>
          <w:sz w:val="22"/>
          <w:szCs w:val="22"/>
          <w:lang w:val="en-GB"/>
        </w:rPr>
        <w:t xml:space="preserve">one, without having to involve any other parties. If we are assuming that Lobo is not the only creditor of FPPL in </w:t>
      </w:r>
      <w:proofErr w:type="spellStart"/>
      <w:r w:rsidR="00A5564A">
        <w:rPr>
          <w:rFonts w:ascii="Avenir Next" w:hAnsi="Avenir Next" w:cs="Arial"/>
          <w:color w:val="808080" w:themeColor="background1" w:themeShade="80"/>
          <w:sz w:val="22"/>
          <w:szCs w:val="22"/>
          <w:lang w:val="en-GB"/>
        </w:rPr>
        <w:t>Asgard</w:t>
      </w:r>
      <w:proofErr w:type="spellEnd"/>
      <w:r w:rsidR="00A5564A">
        <w:rPr>
          <w:rFonts w:ascii="Avenir Next" w:hAnsi="Avenir Next" w:cs="Arial"/>
          <w:color w:val="808080" w:themeColor="background1" w:themeShade="80"/>
          <w:sz w:val="22"/>
          <w:szCs w:val="22"/>
          <w:lang w:val="en-GB"/>
        </w:rPr>
        <w:t xml:space="preserve">, then the same may involve certain restructuring guidelines </w:t>
      </w:r>
      <w:r w:rsidR="00FE68C8">
        <w:rPr>
          <w:rFonts w:ascii="Avenir Next" w:hAnsi="Avenir Next" w:cs="Arial"/>
          <w:color w:val="808080" w:themeColor="background1" w:themeShade="80"/>
          <w:sz w:val="22"/>
          <w:szCs w:val="22"/>
          <w:lang w:val="en-GB"/>
        </w:rPr>
        <w:t>(</w:t>
      </w:r>
      <w:r w:rsidR="00A5564A">
        <w:rPr>
          <w:rFonts w:ascii="Avenir Next" w:hAnsi="Avenir Next" w:cs="Arial"/>
          <w:color w:val="808080" w:themeColor="background1" w:themeShade="80"/>
          <w:sz w:val="22"/>
          <w:szCs w:val="22"/>
          <w:lang w:val="en-GB"/>
        </w:rPr>
        <w:t>which are state/authority prescribed</w:t>
      </w:r>
      <w:r w:rsidR="00FE68C8">
        <w:rPr>
          <w:rFonts w:ascii="Avenir Next" w:hAnsi="Avenir Next" w:cs="Arial"/>
          <w:color w:val="808080" w:themeColor="background1" w:themeShade="80"/>
          <w:sz w:val="22"/>
          <w:szCs w:val="22"/>
          <w:lang w:val="en-GB"/>
        </w:rPr>
        <w:t>)</w:t>
      </w:r>
      <w:r w:rsidR="00A5564A">
        <w:rPr>
          <w:rFonts w:ascii="Avenir Next" w:hAnsi="Avenir Next" w:cs="Arial"/>
          <w:color w:val="808080" w:themeColor="background1" w:themeShade="80"/>
          <w:sz w:val="22"/>
          <w:szCs w:val="22"/>
          <w:lang w:val="en-GB"/>
        </w:rPr>
        <w:t xml:space="preserve"> kick in, wherein the procedure may be a lot more complex and may involve a majority voting system amongst the creditors before accepting any settlement/restructuring proposal. </w:t>
      </w:r>
    </w:p>
    <w:p w14:paraId="03E54AC4" w14:textId="0E71FEDF" w:rsidR="00331BE3" w:rsidRDefault="00331BE3" w:rsidP="009D294C">
      <w:pPr>
        <w:autoSpaceDE w:val="0"/>
        <w:autoSpaceDN w:val="0"/>
        <w:adjustRightInd w:val="0"/>
        <w:jc w:val="both"/>
        <w:rPr>
          <w:rFonts w:ascii="Avenir Next" w:hAnsi="Avenir Next" w:cs="Arial"/>
          <w:color w:val="808080" w:themeColor="background1" w:themeShade="80"/>
          <w:sz w:val="22"/>
          <w:szCs w:val="22"/>
          <w:lang w:val="en-GB"/>
        </w:rPr>
      </w:pPr>
    </w:p>
    <w:p w14:paraId="464B774B" w14:textId="752214DB" w:rsidR="00331BE3" w:rsidRDefault="00331BE3" w:rsidP="009D294C">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Apart from the </w:t>
      </w:r>
      <w:r w:rsidR="00523309">
        <w:rPr>
          <w:rFonts w:ascii="Avenir Next" w:hAnsi="Avenir Next" w:cs="Arial"/>
          <w:color w:val="808080" w:themeColor="background1" w:themeShade="80"/>
          <w:sz w:val="22"/>
          <w:szCs w:val="22"/>
          <w:lang w:val="en-GB"/>
        </w:rPr>
        <w:t>characteristics</w:t>
      </w:r>
      <w:r>
        <w:rPr>
          <w:rFonts w:ascii="Avenir Next" w:hAnsi="Avenir Next" w:cs="Arial"/>
          <w:color w:val="808080" w:themeColor="background1" w:themeShade="80"/>
          <w:sz w:val="22"/>
          <w:szCs w:val="22"/>
          <w:lang w:val="en-GB"/>
        </w:rPr>
        <w:t xml:space="preserve"> of an ‘informal’ procedure as pointed out above, Lobo should note the more advantageous aspects of the same such as:</w:t>
      </w:r>
    </w:p>
    <w:p w14:paraId="72417A20" w14:textId="65FCA7B5" w:rsidR="00331BE3" w:rsidRDefault="00C72BE6" w:rsidP="00331BE3">
      <w:pPr>
        <w:pStyle w:val="ListParagraph"/>
        <w:numPr>
          <w:ilvl w:val="0"/>
          <w:numId w:val="37"/>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cost effective;</w:t>
      </w:r>
    </w:p>
    <w:p w14:paraId="34DF55E4" w14:textId="211D39AB" w:rsidR="00C72BE6" w:rsidRDefault="00C72BE6" w:rsidP="00C72BE6">
      <w:pPr>
        <w:pStyle w:val="ListParagraph"/>
        <w:numPr>
          <w:ilvl w:val="0"/>
          <w:numId w:val="37"/>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time efficient;</w:t>
      </w:r>
    </w:p>
    <w:p w14:paraId="51E412A5" w14:textId="54F304A8" w:rsidR="00C72BE6" w:rsidRDefault="00523309" w:rsidP="00C72BE6">
      <w:pPr>
        <w:pStyle w:val="ListParagraph"/>
        <w:numPr>
          <w:ilvl w:val="0"/>
          <w:numId w:val="37"/>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often</w:t>
      </w:r>
      <w:r w:rsidR="00C72BE6">
        <w:rPr>
          <w:rFonts w:ascii="Avenir Next" w:hAnsi="Avenir Next" w:cs="Arial"/>
          <w:color w:val="808080" w:themeColor="background1" w:themeShade="80"/>
          <w:sz w:val="22"/>
          <w:szCs w:val="22"/>
          <w:lang w:val="en-GB"/>
        </w:rPr>
        <w:t>, confidential in nature;</w:t>
      </w:r>
    </w:p>
    <w:p w14:paraId="47C388B7" w14:textId="58ABEE3C" w:rsidR="00C72BE6" w:rsidRDefault="00E17F43" w:rsidP="00C72BE6">
      <w:pPr>
        <w:pStyle w:val="ListParagraph"/>
        <w:numPr>
          <w:ilvl w:val="0"/>
          <w:numId w:val="37"/>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participation of certain types of creditors only</w:t>
      </w:r>
      <w:r w:rsidR="00A5564A">
        <w:rPr>
          <w:rFonts w:ascii="Avenir Next" w:hAnsi="Avenir Next" w:cs="Arial"/>
          <w:color w:val="808080" w:themeColor="background1" w:themeShade="80"/>
          <w:sz w:val="22"/>
          <w:szCs w:val="22"/>
          <w:lang w:val="en-GB"/>
        </w:rPr>
        <w:t xml:space="preserve"> (if there are other creditors)</w:t>
      </w:r>
      <w:r>
        <w:rPr>
          <w:rFonts w:ascii="Avenir Next" w:hAnsi="Avenir Next" w:cs="Arial"/>
          <w:color w:val="808080" w:themeColor="background1" w:themeShade="80"/>
          <w:sz w:val="22"/>
          <w:szCs w:val="22"/>
          <w:lang w:val="en-GB"/>
        </w:rPr>
        <w:t>;</w:t>
      </w:r>
    </w:p>
    <w:p w14:paraId="295CD5E3" w14:textId="56DF4B16" w:rsidR="00E17F43" w:rsidRDefault="00E17F43" w:rsidP="00C72BE6">
      <w:pPr>
        <w:pStyle w:val="ListParagraph"/>
        <w:numPr>
          <w:ilvl w:val="0"/>
          <w:numId w:val="37"/>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negotiation power with the creditor and hence more commercially viable;</w:t>
      </w:r>
    </w:p>
    <w:p w14:paraId="633BC990" w14:textId="1B9FE46E" w:rsidR="00E17F43" w:rsidRDefault="00E17F43" w:rsidP="00C72BE6">
      <w:pPr>
        <w:pStyle w:val="ListParagraph"/>
        <w:numPr>
          <w:ilvl w:val="0"/>
          <w:numId w:val="37"/>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flexibility in terms of the procedure to be enforced</w:t>
      </w:r>
      <w:r w:rsidR="00A5564A">
        <w:rPr>
          <w:rFonts w:ascii="Avenir Next" w:hAnsi="Avenir Next" w:cs="Arial"/>
          <w:color w:val="808080" w:themeColor="background1" w:themeShade="80"/>
          <w:sz w:val="22"/>
          <w:szCs w:val="22"/>
          <w:lang w:val="en-GB"/>
        </w:rPr>
        <w:t>, as often the contracts can be bilateral</w:t>
      </w:r>
      <w:r>
        <w:rPr>
          <w:rFonts w:ascii="Avenir Next" w:hAnsi="Avenir Next" w:cs="Arial"/>
          <w:color w:val="808080" w:themeColor="background1" w:themeShade="80"/>
          <w:sz w:val="22"/>
          <w:szCs w:val="22"/>
          <w:lang w:val="en-GB"/>
        </w:rPr>
        <w:t>;</w:t>
      </w:r>
    </w:p>
    <w:p w14:paraId="3DB9D5CB" w14:textId="108B1E75" w:rsidR="00E17F43" w:rsidRDefault="00E17F43" w:rsidP="00E17F43">
      <w:pPr>
        <w:pStyle w:val="ListParagraph"/>
        <w:numPr>
          <w:ilvl w:val="0"/>
          <w:numId w:val="37"/>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hybrid cases, the same can have the approval of the formal bankruptcy court as well</w:t>
      </w:r>
      <w:r w:rsidR="00523309">
        <w:rPr>
          <w:rFonts w:ascii="Avenir Next" w:hAnsi="Avenir Next" w:cs="Arial"/>
          <w:color w:val="808080" w:themeColor="background1" w:themeShade="80"/>
          <w:sz w:val="22"/>
          <w:szCs w:val="22"/>
          <w:lang w:val="en-GB"/>
        </w:rPr>
        <w:t>.</w:t>
      </w:r>
    </w:p>
    <w:p w14:paraId="3E653724" w14:textId="77777777" w:rsidR="00E17F43" w:rsidRDefault="00E17F43" w:rsidP="00E17F43">
      <w:pPr>
        <w:autoSpaceDE w:val="0"/>
        <w:autoSpaceDN w:val="0"/>
        <w:adjustRightInd w:val="0"/>
        <w:jc w:val="both"/>
        <w:rPr>
          <w:rFonts w:ascii="Avenir Next" w:hAnsi="Avenir Next" w:cs="Arial"/>
          <w:color w:val="808080" w:themeColor="background1" w:themeShade="80"/>
          <w:sz w:val="22"/>
          <w:szCs w:val="22"/>
          <w:lang w:val="en-GB"/>
        </w:rPr>
      </w:pPr>
    </w:p>
    <w:p w14:paraId="12674915" w14:textId="22F8D08B" w:rsidR="00E17F43" w:rsidRDefault="00E17F43" w:rsidP="00E17F43">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Lobo should also note the following disadvantages:</w:t>
      </w:r>
    </w:p>
    <w:p w14:paraId="2A0DD893" w14:textId="0E52BE48" w:rsidR="00E17F43" w:rsidRPr="00F97335" w:rsidRDefault="00E17F43" w:rsidP="00E17F43">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sidRPr="00F97335">
        <w:rPr>
          <w:rFonts w:ascii="Avenir Next" w:hAnsi="Avenir Next" w:cs="Arial"/>
          <w:color w:val="808080" w:themeColor="background1" w:themeShade="80"/>
          <w:sz w:val="22"/>
          <w:szCs w:val="22"/>
          <w:lang w:val="en-GB"/>
        </w:rPr>
        <w:t>treatment of dissenting creditors can be tricky</w:t>
      </w:r>
      <w:r w:rsidR="00A5564A">
        <w:rPr>
          <w:rFonts w:ascii="Avenir Next" w:hAnsi="Avenir Next" w:cs="Arial"/>
          <w:color w:val="808080" w:themeColor="background1" w:themeShade="80"/>
          <w:sz w:val="22"/>
          <w:szCs w:val="22"/>
          <w:lang w:val="en-GB"/>
        </w:rPr>
        <w:t xml:space="preserve"> (if there are other creditors)</w:t>
      </w:r>
      <w:r w:rsidRPr="00F97335">
        <w:rPr>
          <w:rFonts w:ascii="Avenir Next" w:hAnsi="Avenir Next" w:cs="Arial"/>
          <w:color w:val="808080" w:themeColor="background1" w:themeShade="80"/>
          <w:sz w:val="22"/>
          <w:szCs w:val="22"/>
          <w:lang w:val="en-GB"/>
        </w:rPr>
        <w:t>;</w:t>
      </w:r>
    </w:p>
    <w:p w14:paraId="0793F461" w14:textId="0DF02A45" w:rsidR="00E17F43" w:rsidRDefault="00E17F43" w:rsidP="00E17F43">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sidRPr="00F97335">
        <w:rPr>
          <w:rFonts w:ascii="Avenir Next" w:hAnsi="Avenir Next" w:cs="Arial"/>
          <w:color w:val="808080" w:themeColor="background1" w:themeShade="80"/>
          <w:sz w:val="22"/>
          <w:szCs w:val="22"/>
          <w:lang w:val="en-GB"/>
        </w:rPr>
        <w:t>challenge can be faced from the sects</w:t>
      </w:r>
      <w:r w:rsidR="00523309" w:rsidRPr="00F97335">
        <w:rPr>
          <w:rFonts w:ascii="Avenir Next" w:hAnsi="Avenir Next" w:cs="Arial"/>
          <w:color w:val="808080" w:themeColor="background1" w:themeShade="80"/>
          <w:sz w:val="22"/>
          <w:szCs w:val="22"/>
          <w:lang w:val="en-GB"/>
        </w:rPr>
        <w:t>/classes</w:t>
      </w:r>
      <w:r w:rsidRPr="00F97335">
        <w:rPr>
          <w:rFonts w:ascii="Avenir Next" w:hAnsi="Avenir Next" w:cs="Arial"/>
          <w:color w:val="808080" w:themeColor="background1" w:themeShade="80"/>
          <w:sz w:val="22"/>
          <w:szCs w:val="22"/>
          <w:lang w:val="en-GB"/>
        </w:rPr>
        <w:t xml:space="preserve"> of claimants and creditors who did not participate in the out of court workout</w:t>
      </w:r>
      <w:r w:rsidR="00F97335" w:rsidRPr="00F97335">
        <w:rPr>
          <w:rFonts w:ascii="Avenir Next" w:hAnsi="Avenir Next" w:cs="Arial"/>
          <w:color w:val="808080" w:themeColor="background1" w:themeShade="80"/>
          <w:sz w:val="22"/>
          <w:szCs w:val="22"/>
          <w:lang w:val="en-GB"/>
        </w:rPr>
        <w:t>, specially the claims of the cross</w:t>
      </w:r>
      <w:r w:rsidR="00A5564A">
        <w:rPr>
          <w:rFonts w:ascii="Avenir Next" w:hAnsi="Avenir Next" w:cs="Arial"/>
          <w:color w:val="808080" w:themeColor="background1" w:themeShade="80"/>
          <w:sz w:val="22"/>
          <w:szCs w:val="22"/>
          <w:lang w:val="en-GB"/>
        </w:rPr>
        <w:t>-</w:t>
      </w:r>
      <w:r w:rsidR="00F97335" w:rsidRPr="00F97335">
        <w:rPr>
          <w:rFonts w:ascii="Avenir Next" w:hAnsi="Avenir Next" w:cs="Arial"/>
          <w:color w:val="808080" w:themeColor="background1" w:themeShade="80"/>
          <w:sz w:val="22"/>
          <w:szCs w:val="22"/>
          <w:lang w:val="en-GB"/>
        </w:rPr>
        <w:t>border creditors</w:t>
      </w:r>
      <w:r w:rsidRPr="00F97335">
        <w:rPr>
          <w:rFonts w:ascii="Avenir Next" w:hAnsi="Avenir Next" w:cs="Arial"/>
          <w:color w:val="808080" w:themeColor="background1" w:themeShade="80"/>
          <w:sz w:val="22"/>
          <w:szCs w:val="22"/>
          <w:lang w:val="en-GB"/>
        </w:rPr>
        <w:t>;</w:t>
      </w:r>
    </w:p>
    <w:p w14:paraId="51926245" w14:textId="7BB16171" w:rsidR="00A5564A" w:rsidRPr="00F97335" w:rsidRDefault="00A5564A" w:rsidP="00E17F43">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Risk of the same being scrutinized as ‘preferential’ </w:t>
      </w:r>
      <w:r w:rsidR="00985DA1">
        <w:rPr>
          <w:rFonts w:ascii="Avenir Next" w:hAnsi="Avenir Next" w:cs="Arial"/>
          <w:color w:val="808080" w:themeColor="background1" w:themeShade="80"/>
          <w:sz w:val="22"/>
          <w:szCs w:val="22"/>
          <w:lang w:val="en-GB"/>
        </w:rPr>
        <w:t xml:space="preserve">transaction and sought to be set aside, in the event a formal insolvency action is initiated against FPPL </w:t>
      </w:r>
      <w:r w:rsidR="00434783">
        <w:rPr>
          <w:rFonts w:ascii="Avenir Next" w:hAnsi="Avenir Next" w:cs="Arial"/>
          <w:color w:val="808080" w:themeColor="background1" w:themeShade="80"/>
          <w:sz w:val="22"/>
          <w:szCs w:val="22"/>
          <w:lang w:val="en-GB"/>
        </w:rPr>
        <w:t>soon</w:t>
      </w:r>
      <w:r w:rsidR="00985DA1">
        <w:rPr>
          <w:rFonts w:ascii="Avenir Next" w:hAnsi="Avenir Next" w:cs="Arial"/>
          <w:color w:val="808080" w:themeColor="background1" w:themeShade="80"/>
          <w:sz w:val="22"/>
          <w:szCs w:val="22"/>
          <w:lang w:val="en-GB"/>
        </w:rPr>
        <w:t>;</w:t>
      </w:r>
    </w:p>
    <w:p w14:paraId="40D676C9" w14:textId="617E646E" w:rsidR="00E17F43" w:rsidRPr="00F97335" w:rsidRDefault="00E17F43" w:rsidP="00E17F43">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sidRPr="00F97335">
        <w:rPr>
          <w:rFonts w:ascii="Avenir Next" w:hAnsi="Avenir Next" w:cs="Arial"/>
          <w:color w:val="808080" w:themeColor="background1" w:themeShade="80"/>
          <w:sz w:val="22"/>
          <w:szCs w:val="22"/>
          <w:lang w:val="en-GB"/>
        </w:rPr>
        <w:t>may or may not prescribe any moratorium;</w:t>
      </w:r>
    </w:p>
    <w:p w14:paraId="48DFAEAC" w14:textId="35FFDAFE" w:rsidR="00E17F43" w:rsidRPr="00F97335" w:rsidRDefault="00E17F43" w:rsidP="00E17F43">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sidRPr="00F97335">
        <w:rPr>
          <w:rFonts w:ascii="Avenir Next" w:hAnsi="Avenir Next" w:cs="Arial"/>
          <w:color w:val="808080" w:themeColor="background1" w:themeShade="80"/>
          <w:sz w:val="22"/>
          <w:szCs w:val="22"/>
          <w:lang w:val="en-GB"/>
        </w:rPr>
        <w:t>no or less punitive measures in case of a breach;</w:t>
      </w:r>
    </w:p>
    <w:p w14:paraId="33810749" w14:textId="1F117386" w:rsidR="00E17F43" w:rsidRPr="00F97335" w:rsidRDefault="00E17F43" w:rsidP="00E17F43">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sidRPr="00F97335">
        <w:rPr>
          <w:rFonts w:ascii="Avenir Next" w:hAnsi="Avenir Next" w:cs="Arial"/>
          <w:color w:val="808080" w:themeColor="background1" w:themeShade="80"/>
          <w:sz w:val="22"/>
          <w:szCs w:val="22"/>
          <w:lang w:val="en-GB"/>
        </w:rPr>
        <w:t>the failure of an informal workout may lead to initiation of a formal process</w:t>
      </w:r>
      <w:r w:rsidR="00523309" w:rsidRPr="00F97335">
        <w:rPr>
          <w:rFonts w:ascii="Avenir Next" w:hAnsi="Avenir Next" w:cs="Arial"/>
          <w:color w:val="808080" w:themeColor="background1" w:themeShade="80"/>
          <w:sz w:val="22"/>
          <w:szCs w:val="22"/>
          <w:lang w:val="en-GB"/>
        </w:rPr>
        <w:t xml:space="preserve"> anyways</w:t>
      </w:r>
      <w:r w:rsidR="00F97335">
        <w:rPr>
          <w:rFonts w:ascii="Avenir Next" w:hAnsi="Avenir Next" w:cs="Arial"/>
          <w:color w:val="808080" w:themeColor="background1" w:themeShade="80"/>
          <w:sz w:val="22"/>
          <w:szCs w:val="22"/>
          <w:lang w:val="en-GB"/>
        </w:rPr>
        <w:t>, which leads to a loss in respect to the time value of money</w:t>
      </w:r>
      <w:r w:rsidRPr="00F97335">
        <w:rPr>
          <w:rFonts w:ascii="Avenir Next" w:hAnsi="Avenir Next" w:cs="Arial"/>
          <w:color w:val="808080" w:themeColor="background1" w:themeShade="80"/>
          <w:sz w:val="22"/>
          <w:szCs w:val="22"/>
          <w:lang w:val="en-GB"/>
        </w:rPr>
        <w:t>;</w:t>
      </w:r>
    </w:p>
    <w:p w14:paraId="546DE241" w14:textId="6CCD67A5" w:rsidR="00E17F43" w:rsidRPr="00F97335" w:rsidRDefault="00E17F43" w:rsidP="00E17F43">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sidRPr="00F97335">
        <w:rPr>
          <w:rFonts w:ascii="Avenir Next" w:hAnsi="Avenir Next" w:cs="Arial"/>
          <w:color w:val="808080" w:themeColor="background1" w:themeShade="80"/>
          <w:sz w:val="22"/>
          <w:szCs w:val="22"/>
          <w:lang w:val="en-GB"/>
        </w:rPr>
        <w:t>incumbent on the performance or promise of the very management which dragged the corporate into insolvency;</w:t>
      </w:r>
    </w:p>
    <w:p w14:paraId="3494CB95" w14:textId="7BCDD888" w:rsidR="00E17F43" w:rsidRPr="00F97335" w:rsidRDefault="00E17F43" w:rsidP="00E17F43">
      <w:pPr>
        <w:pStyle w:val="ListParagraph"/>
        <w:numPr>
          <w:ilvl w:val="0"/>
          <w:numId w:val="38"/>
        </w:numPr>
        <w:autoSpaceDE w:val="0"/>
        <w:autoSpaceDN w:val="0"/>
        <w:adjustRightInd w:val="0"/>
        <w:jc w:val="both"/>
        <w:rPr>
          <w:rFonts w:ascii="Avenir Next" w:hAnsi="Avenir Next" w:cs="Arial"/>
          <w:color w:val="808080" w:themeColor="background1" w:themeShade="80"/>
          <w:sz w:val="22"/>
          <w:szCs w:val="22"/>
          <w:lang w:val="en-GB"/>
        </w:rPr>
      </w:pPr>
      <w:r w:rsidRPr="00F97335">
        <w:rPr>
          <w:rFonts w:ascii="Avenir Next" w:hAnsi="Avenir Next" w:cs="Arial"/>
          <w:color w:val="808080" w:themeColor="background1" w:themeShade="80"/>
          <w:sz w:val="22"/>
          <w:szCs w:val="22"/>
          <w:lang w:val="en-GB"/>
        </w:rPr>
        <w:t>higher haircuts leading from extensive negotiations.</w:t>
      </w:r>
    </w:p>
    <w:p w14:paraId="3B9AF51D" w14:textId="77777777" w:rsidR="009D294C" w:rsidRDefault="009D294C" w:rsidP="009D294C">
      <w:pPr>
        <w:pStyle w:val="ListParagraph"/>
        <w:autoSpaceDE w:val="0"/>
        <w:autoSpaceDN w:val="0"/>
        <w:adjustRightInd w:val="0"/>
        <w:ind w:left="360"/>
        <w:jc w:val="both"/>
        <w:rPr>
          <w:rFonts w:ascii="VAG Rounded Std Thin" w:hAnsi="VAG Rounded Std Thin" w:cs="OpenSans-Regular"/>
        </w:rPr>
      </w:pPr>
    </w:p>
    <w:p w14:paraId="6F04FE19" w14:textId="69262020" w:rsidR="009D294C" w:rsidRPr="004216EA" w:rsidRDefault="009D294C"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w:t>
      </w:r>
      <w:r w:rsidR="00586968" w:rsidRPr="004216EA">
        <w:rPr>
          <w:rFonts w:ascii="Avenir Next" w:hAnsi="Avenir Next" w:cs="Arial"/>
          <w:sz w:val="22"/>
          <w:szCs w:val="22"/>
        </w:rPr>
        <w:lastRenderedPageBreak/>
        <w:t xml:space="preserve">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4C80B305" w14:textId="77777777" w:rsidR="00160F0F" w:rsidRDefault="00C07B3A" w:rsidP="00702E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of the</w:t>
      </w:r>
      <w:r w:rsidR="00702ECD">
        <w:rPr>
          <w:rFonts w:ascii="Avenir Next" w:hAnsi="Avenir Next" w:cs="Arial"/>
          <w:color w:val="808080" w:themeColor="background1" w:themeShade="80"/>
          <w:sz w:val="22"/>
          <w:szCs w:val="22"/>
          <w:lang w:val="en-GB"/>
        </w:rPr>
        <w:t xml:space="preserve"> many approaches which have been recommended to resolve the issues involved in cross border or international insolvencies is that states should adopt the same set of recognition laws.</w:t>
      </w:r>
    </w:p>
    <w:p w14:paraId="43A390B9" w14:textId="77777777" w:rsidR="0039357B" w:rsidRDefault="0039357B" w:rsidP="00702ECD">
      <w:pPr>
        <w:jc w:val="both"/>
        <w:rPr>
          <w:rFonts w:ascii="Avenir Next" w:hAnsi="Avenir Next" w:cs="Arial"/>
          <w:color w:val="808080" w:themeColor="background1" w:themeShade="80"/>
          <w:sz w:val="22"/>
          <w:szCs w:val="22"/>
          <w:lang w:val="en-GB"/>
        </w:rPr>
      </w:pPr>
    </w:p>
    <w:p w14:paraId="16C41B21" w14:textId="767A0F22" w:rsidR="001E1C34" w:rsidRDefault="00702ECD" w:rsidP="00702EC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above fact set, the Asgardian insolvency representative </w:t>
      </w:r>
      <w:r w:rsidR="00157369">
        <w:rPr>
          <w:rFonts w:ascii="Avenir Next" w:hAnsi="Avenir Next" w:cs="Arial"/>
          <w:color w:val="808080" w:themeColor="background1" w:themeShade="80"/>
          <w:sz w:val="22"/>
          <w:szCs w:val="22"/>
          <w:lang w:val="en-GB"/>
        </w:rPr>
        <w:t xml:space="preserve">can possibly </w:t>
      </w:r>
      <w:r w:rsidR="00160F0F">
        <w:rPr>
          <w:rFonts w:ascii="Avenir Next" w:hAnsi="Avenir Next" w:cs="Arial"/>
          <w:color w:val="808080" w:themeColor="background1" w:themeShade="80"/>
          <w:sz w:val="22"/>
          <w:szCs w:val="22"/>
          <w:lang w:val="en-GB"/>
        </w:rPr>
        <w:t>face the following challenges</w:t>
      </w:r>
      <w:r w:rsidR="000A3547">
        <w:rPr>
          <w:rStyle w:val="FootnoteReference"/>
          <w:rFonts w:ascii="Avenir Next" w:hAnsi="Avenir Next" w:cs="Arial"/>
          <w:color w:val="808080" w:themeColor="background1" w:themeShade="80"/>
          <w:sz w:val="22"/>
          <w:szCs w:val="22"/>
          <w:lang w:val="en-GB"/>
        </w:rPr>
        <w:footnoteReference w:id="16"/>
      </w:r>
      <w:r w:rsidR="00160F0F">
        <w:rPr>
          <w:rFonts w:ascii="Avenir Next" w:hAnsi="Avenir Next" w:cs="Arial"/>
          <w:color w:val="808080" w:themeColor="background1" w:themeShade="80"/>
          <w:sz w:val="22"/>
          <w:szCs w:val="22"/>
          <w:lang w:val="en-GB"/>
        </w:rPr>
        <w:t>:</w:t>
      </w:r>
    </w:p>
    <w:p w14:paraId="4A94E56E" w14:textId="7824E6FF" w:rsidR="00160F0F" w:rsidRDefault="00160F0F" w:rsidP="00160F0F">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Asgardian formal court order against FFPL would be recognised in Encanto or not </w:t>
      </w:r>
      <w:r w:rsidR="00523309">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vice a versa whether the Encanto court order would be recognised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or not;</w:t>
      </w:r>
    </w:p>
    <w:p w14:paraId="08615F93" w14:textId="00434BBF" w:rsidR="00160F0F" w:rsidRDefault="00160F0F" w:rsidP="00160F0F">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yes, then what would be the extent of the recognition</w:t>
      </w:r>
      <w:r w:rsidR="002E438E">
        <w:rPr>
          <w:rFonts w:ascii="Avenir Next" w:hAnsi="Avenir Next" w:cs="Arial"/>
          <w:color w:val="808080" w:themeColor="background1" w:themeShade="80"/>
          <w:sz w:val="22"/>
          <w:szCs w:val="22"/>
          <w:lang w:val="en-GB"/>
        </w:rPr>
        <w:t>, would they be able to apply for injunctions and stays</w:t>
      </w:r>
      <w:r>
        <w:rPr>
          <w:rFonts w:ascii="Avenir Next" w:hAnsi="Avenir Next" w:cs="Arial"/>
          <w:color w:val="808080" w:themeColor="background1" w:themeShade="80"/>
          <w:sz w:val="22"/>
          <w:szCs w:val="22"/>
          <w:lang w:val="en-GB"/>
        </w:rPr>
        <w:t>;</w:t>
      </w:r>
    </w:p>
    <w:p w14:paraId="716AF4C4" w14:textId="43C8DB78" w:rsidR="00160F0F" w:rsidRDefault="00160F0F" w:rsidP="00160F0F">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Which would be the main </w:t>
      </w:r>
      <w:r w:rsidR="00523309">
        <w:rPr>
          <w:rFonts w:ascii="Avenir Next" w:hAnsi="Avenir Next" w:cs="Arial"/>
          <w:color w:val="808080" w:themeColor="background1" w:themeShade="80"/>
          <w:sz w:val="22"/>
          <w:szCs w:val="22"/>
          <w:lang w:val="en-GB"/>
        </w:rPr>
        <w:t>centre</w:t>
      </w:r>
      <w:r>
        <w:rPr>
          <w:rFonts w:ascii="Avenir Next" w:hAnsi="Avenir Next" w:cs="Arial"/>
          <w:color w:val="808080" w:themeColor="background1" w:themeShade="80"/>
          <w:sz w:val="22"/>
          <w:szCs w:val="22"/>
          <w:lang w:val="en-GB"/>
        </w:rPr>
        <w:t xml:space="preserve"> of proceedings;</w:t>
      </w:r>
    </w:p>
    <w:p w14:paraId="2C88BB03" w14:textId="6E8B0D26" w:rsidR="00160F0F" w:rsidRDefault="00160F0F" w:rsidP="00160F0F">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domestic court would be able to exercise jurisdiction at all or not;</w:t>
      </w:r>
    </w:p>
    <w:p w14:paraId="67847066" w14:textId="7A9329C8" w:rsidR="00160F0F" w:rsidRDefault="00160F0F" w:rsidP="00160F0F">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Which country’s law </w:t>
      </w:r>
      <w:r w:rsidR="002E438E">
        <w:rPr>
          <w:rFonts w:ascii="Avenir Next" w:hAnsi="Avenir Next" w:cs="Arial"/>
          <w:color w:val="808080" w:themeColor="background1" w:themeShade="80"/>
          <w:sz w:val="22"/>
          <w:szCs w:val="22"/>
          <w:lang w:val="en-GB"/>
        </w:rPr>
        <w:t xml:space="preserve">and procedure </w:t>
      </w:r>
      <w:r>
        <w:rPr>
          <w:rFonts w:ascii="Avenir Next" w:hAnsi="Avenir Next" w:cs="Arial"/>
          <w:color w:val="808080" w:themeColor="background1" w:themeShade="80"/>
          <w:sz w:val="22"/>
          <w:szCs w:val="22"/>
          <w:lang w:val="en-GB"/>
        </w:rPr>
        <w:t>will be applicable;</w:t>
      </w:r>
    </w:p>
    <w:p w14:paraId="1DF4E4AE" w14:textId="63205373" w:rsidR="00160F0F" w:rsidRDefault="00160F0F" w:rsidP="00160F0F">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Which set of creditors would have priority </w:t>
      </w:r>
      <w:r w:rsidR="000A3547">
        <w:rPr>
          <w:rFonts w:ascii="Avenir Next" w:hAnsi="Avenir Next" w:cs="Arial"/>
          <w:color w:val="808080" w:themeColor="background1" w:themeShade="80"/>
          <w:sz w:val="22"/>
          <w:szCs w:val="22"/>
          <w:lang w:val="en-GB"/>
        </w:rPr>
        <w:t xml:space="preserve">and preference </w:t>
      </w:r>
      <w:r>
        <w:rPr>
          <w:rFonts w:ascii="Avenir Next" w:hAnsi="Avenir Next" w:cs="Arial"/>
          <w:color w:val="808080" w:themeColor="background1" w:themeShade="80"/>
          <w:sz w:val="22"/>
          <w:szCs w:val="22"/>
          <w:lang w:val="en-GB"/>
        </w:rPr>
        <w:t>over the estate of FPPL;</w:t>
      </w:r>
    </w:p>
    <w:p w14:paraId="34BCC99E" w14:textId="44CBFD18" w:rsidR="00160F0F" w:rsidRDefault="002E438E" w:rsidP="00160F0F">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would be the treatment of assets located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w:t>
      </w:r>
    </w:p>
    <w:p w14:paraId="6046BD69" w14:textId="32B4B034" w:rsidR="002E438E" w:rsidRDefault="00523309" w:rsidP="002E438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would be the t</w:t>
      </w:r>
      <w:r w:rsidR="002E438E">
        <w:rPr>
          <w:rFonts w:ascii="Avenir Next" w:hAnsi="Avenir Next" w:cs="Arial"/>
          <w:color w:val="808080" w:themeColor="background1" w:themeShade="80"/>
          <w:sz w:val="22"/>
          <w:szCs w:val="22"/>
          <w:lang w:val="en-GB"/>
        </w:rPr>
        <w:t>reatment of insolvency related topics such as netting, set-off, voidable transactions, executory contracts etc.;</w:t>
      </w:r>
    </w:p>
    <w:p w14:paraId="309DFE39" w14:textId="35F90DE0" w:rsidR="002E438E" w:rsidRDefault="002E438E" w:rsidP="002E438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Status of moratorium;</w:t>
      </w:r>
    </w:p>
    <w:p w14:paraId="2E962471" w14:textId="7C3F17AD" w:rsidR="000A3547" w:rsidRDefault="000A3547" w:rsidP="002E438E">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 will the various classes of creditors participate in the proceedings;</w:t>
      </w:r>
    </w:p>
    <w:p w14:paraId="10F24F1E" w14:textId="69DAEBEF" w:rsidR="000A3547" w:rsidRDefault="000A3547" w:rsidP="000A3547">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will the qual</w:t>
      </w:r>
      <w:r w:rsidR="00523309">
        <w:rPr>
          <w:rFonts w:ascii="Avenir Next" w:hAnsi="Avenir Next" w:cs="Arial"/>
          <w:color w:val="808080" w:themeColor="background1" w:themeShade="80"/>
          <w:sz w:val="22"/>
          <w:szCs w:val="22"/>
          <w:lang w:val="en-GB"/>
        </w:rPr>
        <w:t xml:space="preserve">ification </w:t>
      </w:r>
      <w:r>
        <w:rPr>
          <w:rFonts w:ascii="Avenir Next" w:hAnsi="Avenir Next" w:cs="Arial"/>
          <w:color w:val="808080" w:themeColor="background1" w:themeShade="80"/>
          <w:sz w:val="22"/>
          <w:szCs w:val="22"/>
          <w:lang w:val="en-GB"/>
        </w:rPr>
        <w:t>and threshold of the discharge mechanism</w:t>
      </w:r>
      <w:r w:rsidR="00523309">
        <w:rPr>
          <w:rFonts w:ascii="Avenir Next" w:hAnsi="Avenir Next" w:cs="Arial"/>
          <w:color w:val="808080" w:themeColor="background1" w:themeShade="80"/>
          <w:sz w:val="22"/>
          <w:szCs w:val="22"/>
          <w:lang w:val="en-GB"/>
        </w:rPr>
        <w:t xml:space="preserve"> be.</w:t>
      </w:r>
    </w:p>
    <w:p w14:paraId="7F1EFB47" w14:textId="77777777" w:rsidR="00523309" w:rsidRPr="00523309" w:rsidRDefault="00523309" w:rsidP="00523309">
      <w:pPr>
        <w:pStyle w:val="ListParagraph"/>
        <w:jc w:val="both"/>
        <w:rPr>
          <w:rFonts w:ascii="Avenir Next" w:hAnsi="Avenir Next" w:cs="Arial"/>
          <w:color w:val="808080" w:themeColor="background1" w:themeShade="80"/>
          <w:sz w:val="22"/>
          <w:szCs w:val="22"/>
          <w:lang w:val="en-GB"/>
        </w:rPr>
      </w:pPr>
    </w:p>
    <w:p w14:paraId="34A32236" w14:textId="4DC87420" w:rsidR="000A3547" w:rsidRPr="00523309" w:rsidRDefault="000A3547" w:rsidP="000A3547">
      <w:pPr>
        <w:jc w:val="both"/>
        <w:rPr>
          <w:rFonts w:ascii="Avenir Next" w:hAnsi="Avenir Next" w:cs="Arial"/>
          <w:color w:val="808080" w:themeColor="background1" w:themeShade="80"/>
          <w:sz w:val="22"/>
          <w:szCs w:val="22"/>
          <w:lang w:val="en-GB"/>
        </w:rPr>
      </w:pPr>
      <w:r w:rsidRPr="00523309">
        <w:rPr>
          <w:rFonts w:ascii="Avenir Next" w:hAnsi="Avenir Next" w:cs="Arial"/>
          <w:color w:val="808080" w:themeColor="background1" w:themeShade="80"/>
          <w:sz w:val="22"/>
          <w:szCs w:val="22"/>
          <w:lang w:val="en-GB"/>
        </w:rPr>
        <w:t xml:space="preserve">The international insolvency instruments that have been developed to assist with respect to </w:t>
      </w:r>
      <w:r w:rsidR="00523309">
        <w:rPr>
          <w:rFonts w:ascii="Avenir Next" w:hAnsi="Avenir Next" w:cs="Arial"/>
          <w:color w:val="808080" w:themeColor="background1" w:themeShade="80"/>
          <w:sz w:val="22"/>
          <w:szCs w:val="22"/>
          <w:lang w:val="en-GB"/>
        </w:rPr>
        <w:t xml:space="preserve">the above </w:t>
      </w:r>
      <w:r w:rsidR="00523309" w:rsidRPr="00523309">
        <w:rPr>
          <w:rFonts w:ascii="Avenir Next" w:hAnsi="Avenir Next" w:cs="Arial"/>
          <w:color w:val="808080" w:themeColor="background1" w:themeShade="80"/>
          <w:sz w:val="22"/>
          <w:szCs w:val="22"/>
          <w:lang w:val="en-GB"/>
        </w:rPr>
        <w:t>difficulties</w:t>
      </w:r>
      <w:r w:rsidRPr="00523309">
        <w:rPr>
          <w:rFonts w:ascii="Avenir Next" w:hAnsi="Avenir Next" w:cs="Arial"/>
          <w:color w:val="808080" w:themeColor="background1" w:themeShade="80"/>
          <w:sz w:val="22"/>
          <w:szCs w:val="22"/>
          <w:lang w:val="en-GB"/>
        </w:rPr>
        <w:t xml:space="preserve"> are:</w:t>
      </w:r>
    </w:p>
    <w:p w14:paraId="0925036E" w14:textId="5F46BDDC" w:rsidR="000A3547" w:rsidRDefault="000A3547" w:rsidP="000A3547">
      <w:pPr>
        <w:pStyle w:val="ListParagraph"/>
        <w:numPr>
          <w:ilvl w:val="0"/>
          <w:numId w:val="40"/>
        </w:numPr>
        <w:jc w:val="both"/>
        <w:rPr>
          <w:rFonts w:ascii="Avenir Next" w:hAnsi="Avenir Next" w:cs="Arial"/>
          <w:color w:val="808080" w:themeColor="background1" w:themeShade="80"/>
          <w:sz w:val="22"/>
          <w:szCs w:val="22"/>
          <w:lang w:val="en-GB"/>
        </w:rPr>
      </w:pPr>
      <w:r w:rsidRPr="00523309">
        <w:rPr>
          <w:rFonts w:ascii="Avenir Next" w:hAnsi="Avenir Next" w:cs="Arial"/>
          <w:color w:val="808080" w:themeColor="background1" w:themeShade="80"/>
          <w:sz w:val="22"/>
          <w:szCs w:val="22"/>
          <w:u w:val="single"/>
          <w:lang w:val="en-GB"/>
        </w:rPr>
        <w:t>UNCITRAL Model Law on Cross-Border Insolvency (1997) (“Model Law”):</w:t>
      </w:r>
      <w:r>
        <w:rPr>
          <w:rFonts w:ascii="Avenir Next" w:hAnsi="Avenir Next" w:cs="Arial"/>
          <w:color w:val="808080" w:themeColor="background1" w:themeShade="80"/>
          <w:sz w:val="22"/>
          <w:szCs w:val="22"/>
          <w:lang w:val="en-GB"/>
        </w:rPr>
        <w:t xml:space="preserve"> The Model law has been formulated to assist states to equip their insolvency laws with a modern legal framework to more effectively address cross border insolvencies.</w:t>
      </w:r>
      <w:r>
        <w:rPr>
          <w:rStyle w:val="FootnoteReference"/>
          <w:rFonts w:ascii="Avenir Next" w:hAnsi="Avenir Next" w:cs="Arial"/>
          <w:color w:val="808080" w:themeColor="background1" w:themeShade="80"/>
          <w:sz w:val="22"/>
          <w:szCs w:val="22"/>
          <w:lang w:val="en-GB"/>
        </w:rPr>
        <w:footnoteReference w:id="17"/>
      </w:r>
      <w:r>
        <w:rPr>
          <w:rFonts w:ascii="Avenir Next" w:hAnsi="Avenir Next" w:cs="Arial"/>
          <w:color w:val="808080" w:themeColor="background1" w:themeShade="80"/>
          <w:sz w:val="22"/>
          <w:szCs w:val="22"/>
          <w:lang w:val="en-GB"/>
        </w:rPr>
        <w:t xml:space="preserve">. It focuses on authorising </w:t>
      </w:r>
      <w:r w:rsidR="00523309">
        <w:rPr>
          <w:rFonts w:ascii="Avenir Next" w:hAnsi="Avenir Next" w:cs="Arial"/>
          <w:color w:val="808080" w:themeColor="background1" w:themeShade="80"/>
          <w:sz w:val="22"/>
          <w:szCs w:val="22"/>
          <w:lang w:val="en-GB"/>
        </w:rPr>
        <w:t>coordination</w:t>
      </w:r>
      <w:r>
        <w:rPr>
          <w:rFonts w:ascii="Avenir Next" w:hAnsi="Avenir Next" w:cs="Arial"/>
          <w:color w:val="808080" w:themeColor="background1" w:themeShade="80"/>
          <w:sz w:val="22"/>
          <w:szCs w:val="22"/>
          <w:lang w:val="en-GB"/>
        </w:rPr>
        <w:t xml:space="preserve"> and </w:t>
      </w:r>
      <w:r w:rsidR="00523309">
        <w:rPr>
          <w:rFonts w:ascii="Avenir Next" w:hAnsi="Avenir Next" w:cs="Arial"/>
          <w:color w:val="808080" w:themeColor="background1" w:themeShade="80"/>
          <w:sz w:val="22"/>
          <w:szCs w:val="22"/>
          <w:lang w:val="en-GB"/>
        </w:rPr>
        <w:t>cooperation</w:t>
      </w:r>
      <w:r>
        <w:rPr>
          <w:rFonts w:ascii="Avenir Next" w:hAnsi="Avenir Next" w:cs="Arial"/>
          <w:color w:val="808080" w:themeColor="background1" w:themeShade="80"/>
          <w:sz w:val="22"/>
          <w:szCs w:val="22"/>
          <w:lang w:val="en-GB"/>
        </w:rPr>
        <w:t xml:space="preserve"> rather t</w:t>
      </w:r>
      <w:r w:rsidRPr="000A3547">
        <w:rPr>
          <w:rFonts w:ascii="Avenir Next" w:hAnsi="Avenir Next" w:cs="Arial"/>
          <w:color w:val="808080" w:themeColor="background1" w:themeShade="80"/>
          <w:sz w:val="22"/>
          <w:szCs w:val="22"/>
          <w:lang w:val="en-GB"/>
        </w:rPr>
        <w:t>han attempti</w:t>
      </w:r>
      <w:bookmarkStart w:id="0" w:name="_GoBack"/>
      <w:bookmarkEnd w:id="0"/>
      <w:r w:rsidRPr="000A3547">
        <w:rPr>
          <w:rFonts w:ascii="Avenir Next" w:hAnsi="Avenir Next" w:cs="Arial"/>
          <w:color w:val="808080" w:themeColor="background1" w:themeShade="80"/>
          <w:sz w:val="22"/>
          <w:szCs w:val="22"/>
          <w:lang w:val="en-GB"/>
        </w:rPr>
        <w:t xml:space="preserve">ng the unification of substantive insolvency </w:t>
      </w:r>
      <w:r w:rsidR="003E230D" w:rsidRPr="000A3547">
        <w:rPr>
          <w:rFonts w:ascii="Avenir Next" w:hAnsi="Avenir Next" w:cs="Arial"/>
          <w:color w:val="808080" w:themeColor="background1" w:themeShade="80"/>
          <w:sz w:val="22"/>
          <w:szCs w:val="22"/>
          <w:lang w:val="en-GB"/>
        </w:rPr>
        <w:t>law and</w:t>
      </w:r>
      <w:r w:rsidRPr="000A3547">
        <w:rPr>
          <w:rFonts w:ascii="Avenir Next" w:hAnsi="Avenir Next" w:cs="Arial"/>
          <w:color w:val="808080" w:themeColor="background1" w:themeShade="80"/>
          <w:sz w:val="22"/>
          <w:szCs w:val="22"/>
          <w:lang w:val="en-GB"/>
        </w:rPr>
        <w:t xml:space="preserve"> respects the differences among national procedural laws</w:t>
      </w:r>
      <w:r>
        <w:rPr>
          <w:rStyle w:val="FootnoteReference"/>
          <w:rFonts w:ascii="Avenir Next" w:hAnsi="Avenir Next" w:cs="Arial"/>
          <w:color w:val="808080" w:themeColor="background1" w:themeShade="80"/>
          <w:sz w:val="22"/>
          <w:szCs w:val="22"/>
          <w:lang w:val="en-GB"/>
        </w:rPr>
        <w:footnoteReference w:id="18"/>
      </w:r>
      <w:r w:rsidRPr="000A354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Model law is based on the following elements:</w:t>
      </w:r>
    </w:p>
    <w:p w14:paraId="3465F8A2" w14:textId="0A84E0C1" w:rsidR="000A3547" w:rsidRDefault="000A3547" w:rsidP="000A3547">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Access: give insolvency representatives right to access and assistance f</w:t>
      </w:r>
      <w:r w:rsidR="00D847F9">
        <w:rPr>
          <w:rFonts w:ascii="Avenir Next" w:hAnsi="Avenir Next" w:cs="Arial"/>
          <w:color w:val="808080" w:themeColor="background1" w:themeShade="80"/>
          <w:sz w:val="22"/>
          <w:szCs w:val="22"/>
          <w:lang w:val="en-GB"/>
        </w:rPr>
        <w:t>rom courts;</w:t>
      </w:r>
    </w:p>
    <w:p w14:paraId="26AF1279" w14:textId="7DE4B1C4" w:rsidR="00D847F9" w:rsidRDefault="00D847F9" w:rsidP="000A3547">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establishes simplified procedures for recognition of foreign proceedings;</w:t>
      </w:r>
    </w:p>
    <w:p w14:paraId="4984AE94" w14:textId="678251D8" w:rsidR="00D847F9" w:rsidRDefault="00D847F9" w:rsidP="000A3547">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Relief: relief is considered crucial for orderly and fair conduct of cross border events;</w:t>
      </w:r>
    </w:p>
    <w:p w14:paraId="43356F25" w14:textId="498C0A69" w:rsidR="00D847F9" w:rsidRDefault="00D847F9" w:rsidP="000A3547">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Cooperation and Coordination: between nations states where concurrent proceedings are on-going and the debtor’s assets are located</w:t>
      </w:r>
      <w:r>
        <w:rPr>
          <w:rStyle w:val="FootnoteReference"/>
          <w:rFonts w:ascii="Avenir Next" w:hAnsi="Avenir Next" w:cs="Arial"/>
          <w:color w:val="808080" w:themeColor="background1" w:themeShade="80"/>
          <w:sz w:val="22"/>
          <w:szCs w:val="22"/>
          <w:lang w:val="en-GB"/>
        </w:rPr>
        <w:footnoteReference w:id="19"/>
      </w:r>
      <w:r>
        <w:rPr>
          <w:rFonts w:ascii="Avenir Next" w:hAnsi="Avenir Next" w:cs="Arial"/>
          <w:color w:val="808080" w:themeColor="background1" w:themeShade="80"/>
          <w:sz w:val="22"/>
          <w:szCs w:val="22"/>
          <w:lang w:val="en-GB"/>
        </w:rPr>
        <w:t>.</w:t>
      </w:r>
    </w:p>
    <w:p w14:paraId="1C784D6A" w14:textId="77777777" w:rsidR="00D847F9" w:rsidRPr="00D847F9" w:rsidRDefault="00D847F9" w:rsidP="00D847F9">
      <w:pPr>
        <w:jc w:val="both"/>
        <w:rPr>
          <w:rFonts w:ascii="Avenir Next" w:hAnsi="Avenir Next" w:cs="Arial"/>
          <w:color w:val="808080" w:themeColor="background1" w:themeShade="80"/>
          <w:sz w:val="22"/>
          <w:szCs w:val="22"/>
          <w:lang w:val="en-GB"/>
        </w:rPr>
      </w:pPr>
    </w:p>
    <w:p w14:paraId="62ACA4F5" w14:textId="551022EC" w:rsidR="00D847F9" w:rsidRDefault="00D847F9" w:rsidP="00D847F9">
      <w:pPr>
        <w:pStyle w:val="ListParagraph"/>
        <w:numPr>
          <w:ilvl w:val="0"/>
          <w:numId w:val="40"/>
        </w:numPr>
        <w:jc w:val="both"/>
        <w:rPr>
          <w:rFonts w:ascii="Avenir Next" w:hAnsi="Avenir Next" w:cs="Arial"/>
          <w:color w:val="808080" w:themeColor="background1" w:themeShade="80"/>
          <w:sz w:val="22"/>
          <w:szCs w:val="22"/>
          <w:lang w:val="en-GB"/>
        </w:rPr>
      </w:pPr>
      <w:r w:rsidRPr="00523309">
        <w:rPr>
          <w:rFonts w:ascii="Avenir Next" w:hAnsi="Avenir Next" w:cs="Arial"/>
          <w:color w:val="808080" w:themeColor="background1" w:themeShade="80"/>
          <w:sz w:val="22"/>
          <w:szCs w:val="22"/>
          <w:u w:val="single"/>
          <w:lang w:val="en-GB"/>
        </w:rPr>
        <w:t>Judicial Insolvency Network (JIN):</w:t>
      </w:r>
      <w:r>
        <w:rPr>
          <w:rFonts w:ascii="Avenir Next" w:hAnsi="Avenir Next" w:cs="Arial"/>
          <w:color w:val="808080" w:themeColor="background1" w:themeShade="80"/>
          <w:sz w:val="22"/>
          <w:szCs w:val="22"/>
          <w:lang w:val="en-GB"/>
        </w:rPr>
        <w:t xml:space="preserve"> Formed in 2016, the JIN is a network of insolvency judges from across the world</w:t>
      </w:r>
      <w:r w:rsidR="002C2181">
        <w:rPr>
          <w:rStyle w:val="FootnoteReference"/>
          <w:rFonts w:ascii="Avenir Next" w:hAnsi="Avenir Next" w:cs="Arial"/>
          <w:color w:val="808080" w:themeColor="background1" w:themeShade="80"/>
          <w:sz w:val="22"/>
          <w:szCs w:val="22"/>
          <w:lang w:val="en-GB"/>
        </w:rPr>
        <w:footnoteReference w:id="20"/>
      </w:r>
      <w:r>
        <w:rPr>
          <w:rFonts w:ascii="Avenir Next" w:hAnsi="Avenir Next" w:cs="Arial"/>
          <w:color w:val="808080" w:themeColor="background1" w:themeShade="80"/>
          <w:sz w:val="22"/>
          <w:szCs w:val="22"/>
          <w:lang w:val="en-GB"/>
        </w:rPr>
        <w:t>, which in its inaugural conference in Singapore on 10</w:t>
      </w:r>
      <w:r w:rsidRPr="00D847F9">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and 11</w:t>
      </w:r>
      <w:r w:rsidRPr="00D847F9">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October 2016, concluded the issuance of a set of guidelines titled “</w:t>
      </w:r>
      <w:r w:rsidRPr="00523309">
        <w:rPr>
          <w:rFonts w:ascii="Avenir Next" w:hAnsi="Avenir Next" w:cs="Arial"/>
          <w:color w:val="808080" w:themeColor="background1" w:themeShade="80"/>
          <w:sz w:val="22"/>
          <w:szCs w:val="22"/>
          <w:u w:val="single"/>
          <w:lang w:val="en-GB"/>
        </w:rPr>
        <w:t xml:space="preserve">Guidelines or Communication and Cooperation between Courts in Cross-Border Insolvency Matters” (“JIN </w:t>
      </w:r>
      <w:r w:rsidRPr="00523309">
        <w:rPr>
          <w:rFonts w:ascii="Avenir Next" w:hAnsi="Avenir Next" w:cs="Arial"/>
          <w:color w:val="808080" w:themeColor="background1" w:themeShade="80"/>
          <w:sz w:val="22"/>
          <w:szCs w:val="22"/>
          <w:u w:val="single"/>
          <w:lang w:val="en-GB"/>
        </w:rPr>
        <w:lastRenderedPageBreak/>
        <w:t>Guidelines”</w:t>
      </w:r>
      <w:r w:rsidRPr="00D847F9">
        <w:rPr>
          <w:rFonts w:ascii="Avenir Next" w:hAnsi="Avenir Next" w:cs="Arial"/>
          <w:color w:val="808080" w:themeColor="background1" w:themeShade="80"/>
          <w:sz w:val="22"/>
          <w:szCs w:val="22"/>
          <w:lang w:val="en-GB"/>
        </w:rPr>
        <w:t>). The JIN Guidelines address key aspects of and the modalities for communication and cooperation amongst courts, insolvency representatives and other parties involved in cross-border insolvency proceedings, including the conduct of joint hearings. The overarching aim of the JIN Guidelines is the preservation of enterprise value and the reduction of legal costs.</w:t>
      </w:r>
      <w:r w:rsidR="002C2181">
        <w:rPr>
          <w:rStyle w:val="FootnoteReference"/>
          <w:rFonts w:ascii="Avenir Next" w:hAnsi="Avenir Next" w:cs="Arial"/>
          <w:color w:val="808080" w:themeColor="background1" w:themeShade="80"/>
          <w:sz w:val="22"/>
          <w:szCs w:val="22"/>
          <w:lang w:val="en-GB"/>
        </w:rPr>
        <w:footnoteReference w:id="21"/>
      </w:r>
      <w:r w:rsidR="002C2181">
        <w:rPr>
          <w:rFonts w:ascii="Avenir Next" w:hAnsi="Avenir Next" w:cs="Arial"/>
          <w:color w:val="808080" w:themeColor="background1" w:themeShade="80"/>
          <w:sz w:val="22"/>
          <w:szCs w:val="22"/>
          <w:lang w:val="en-GB"/>
        </w:rPr>
        <w:t xml:space="preserve">. Furthermore, </w:t>
      </w:r>
      <w:r w:rsidR="002C2181" w:rsidRPr="00523309">
        <w:rPr>
          <w:rFonts w:ascii="Avenir Next" w:hAnsi="Avenir Next" w:cs="Arial"/>
          <w:color w:val="808080" w:themeColor="background1" w:themeShade="80"/>
          <w:sz w:val="22"/>
          <w:szCs w:val="22"/>
          <w:u w:val="single"/>
          <w:lang w:val="en-GB"/>
        </w:rPr>
        <w:t>M</w:t>
      </w:r>
      <w:r w:rsidR="002C2181" w:rsidRPr="00523309">
        <w:rPr>
          <w:rFonts w:ascii="Avenir Next" w:hAnsi="Avenir Next"/>
          <w:iCs/>
          <w:color w:val="808080" w:themeColor="background1" w:themeShade="80"/>
          <w:sz w:val="22"/>
          <w:szCs w:val="22"/>
          <w:u w:val="single"/>
          <w:lang w:val="en-GB"/>
        </w:rPr>
        <w:t>odalities of Court-to-Court Communication</w:t>
      </w:r>
      <w:r w:rsidR="002C2181" w:rsidRPr="00523309">
        <w:rPr>
          <w:rFonts w:ascii="Avenir Next" w:hAnsi="Avenir Next" w:cs="Arial"/>
          <w:color w:val="808080" w:themeColor="background1" w:themeShade="80"/>
          <w:sz w:val="22"/>
          <w:szCs w:val="22"/>
          <w:u w:val="single"/>
          <w:lang w:val="en-GB"/>
        </w:rPr>
        <w:t> (the “</w:t>
      </w:r>
      <w:r w:rsidR="002C2181" w:rsidRPr="00523309">
        <w:rPr>
          <w:rFonts w:ascii="Avenir Next" w:hAnsi="Avenir Next"/>
          <w:bCs/>
          <w:color w:val="808080" w:themeColor="background1" w:themeShade="80"/>
          <w:sz w:val="22"/>
          <w:szCs w:val="22"/>
          <w:u w:val="single"/>
          <w:lang w:val="en-GB"/>
        </w:rPr>
        <w:t>Modalities</w:t>
      </w:r>
      <w:r w:rsidR="002C2181" w:rsidRPr="00523309">
        <w:rPr>
          <w:rFonts w:ascii="Avenir Next" w:hAnsi="Avenir Next" w:cs="Arial"/>
          <w:color w:val="808080" w:themeColor="background1" w:themeShade="80"/>
          <w:sz w:val="22"/>
          <w:szCs w:val="22"/>
          <w:u w:val="single"/>
          <w:lang w:val="en-GB"/>
        </w:rPr>
        <w:t>”)</w:t>
      </w:r>
      <w:r w:rsidR="00E01D35" w:rsidRPr="00523309">
        <w:rPr>
          <w:rFonts w:ascii="Avenir Next" w:hAnsi="Avenir Next" w:cs="Arial"/>
          <w:color w:val="808080" w:themeColor="background1" w:themeShade="80"/>
          <w:sz w:val="22"/>
          <w:szCs w:val="22"/>
          <w:u w:val="single"/>
          <w:lang w:val="en-GB"/>
        </w:rPr>
        <w:t>,</w:t>
      </w:r>
      <w:r w:rsidR="00E01D35">
        <w:rPr>
          <w:rFonts w:ascii="Avenir Next" w:hAnsi="Avenir Next" w:cs="Arial"/>
          <w:color w:val="808080" w:themeColor="background1" w:themeShade="80"/>
          <w:sz w:val="22"/>
          <w:szCs w:val="22"/>
          <w:lang w:val="en-GB"/>
        </w:rPr>
        <w:t xml:space="preserve"> which w</w:t>
      </w:r>
      <w:r w:rsidR="00523309">
        <w:rPr>
          <w:rFonts w:ascii="Avenir Next" w:hAnsi="Avenir Next" w:cs="Arial"/>
          <w:color w:val="808080" w:themeColor="background1" w:themeShade="80"/>
          <w:sz w:val="22"/>
          <w:szCs w:val="22"/>
          <w:lang w:val="en-GB"/>
        </w:rPr>
        <w:t>ere</w:t>
      </w:r>
      <w:r w:rsidR="00E01D35">
        <w:rPr>
          <w:rFonts w:ascii="Avenir Next" w:hAnsi="Avenir Next" w:cs="Arial"/>
          <w:color w:val="808080" w:themeColor="background1" w:themeShade="80"/>
          <w:sz w:val="22"/>
          <w:szCs w:val="22"/>
          <w:lang w:val="en-GB"/>
        </w:rPr>
        <w:t xml:space="preserve"> formulated in the second conference of JIN, </w:t>
      </w:r>
      <w:r w:rsidR="00E01D35" w:rsidRPr="00E01D35">
        <w:rPr>
          <w:rFonts w:ascii="Avenir Next" w:hAnsi="Avenir Next" w:cs="Arial"/>
          <w:color w:val="808080" w:themeColor="background1" w:themeShade="80"/>
          <w:sz w:val="22"/>
          <w:szCs w:val="22"/>
          <w:lang w:val="en-GB"/>
        </w:rPr>
        <w:t>prescribe the issues that need to be addressed to facilitate communication. These include arrangements as to the time, method and language of communication, the nature of the case (with due regard to confidentiality concerns) and whether the parties before the initiating court have consented to the communication taking place</w:t>
      </w:r>
      <w:r w:rsidR="00E01D35">
        <w:rPr>
          <w:rStyle w:val="FootnoteReference"/>
          <w:rFonts w:ascii="Avenir Next" w:hAnsi="Avenir Next" w:cs="Arial"/>
          <w:color w:val="808080" w:themeColor="background1" w:themeShade="80"/>
          <w:sz w:val="22"/>
          <w:szCs w:val="22"/>
          <w:lang w:val="en-GB"/>
        </w:rPr>
        <w:footnoteReference w:id="22"/>
      </w:r>
      <w:r w:rsidR="00E01D35" w:rsidRPr="00E01D35">
        <w:rPr>
          <w:rFonts w:ascii="Avenir Next" w:hAnsi="Avenir Next" w:cs="Arial"/>
          <w:color w:val="808080" w:themeColor="background1" w:themeShade="80"/>
          <w:sz w:val="22"/>
          <w:szCs w:val="22"/>
          <w:lang w:val="en-GB"/>
        </w:rPr>
        <w:t>.</w:t>
      </w:r>
    </w:p>
    <w:p w14:paraId="181FF5C9" w14:textId="46B5057B" w:rsidR="00E01D35" w:rsidRDefault="00E01D35" w:rsidP="00E01D35">
      <w:pPr>
        <w:ind w:left="360"/>
        <w:jc w:val="both"/>
        <w:rPr>
          <w:rFonts w:ascii="Avenir Next" w:hAnsi="Avenir Next" w:cs="Arial"/>
          <w:color w:val="808080" w:themeColor="background1" w:themeShade="80"/>
          <w:sz w:val="22"/>
          <w:szCs w:val="22"/>
          <w:lang w:val="en-GB"/>
        </w:rPr>
      </w:pPr>
    </w:p>
    <w:p w14:paraId="29A007D7" w14:textId="5EEC9416" w:rsidR="00E01D35" w:rsidRDefault="00E01D35" w:rsidP="00E01D35">
      <w:pPr>
        <w:pStyle w:val="ListParagraph"/>
        <w:numPr>
          <w:ilvl w:val="0"/>
          <w:numId w:val="40"/>
        </w:numPr>
        <w:jc w:val="both"/>
        <w:rPr>
          <w:rFonts w:ascii="Avenir Next" w:hAnsi="Avenir Next" w:cs="Arial"/>
          <w:color w:val="808080" w:themeColor="background1" w:themeShade="80"/>
          <w:sz w:val="22"/>
          <w:szCs w:val="22"/>
          <w:lang w:val="en-GB"/>
        </w:rPr>
      </w:pPr>
      <w:r w:rsidRPr="00523309">
        <w:rPr>
          <w:rFonts w:ascii="Avenir Next" w:hAnsi="Avenir Next" w:cs="Arial"/>
          <w:color w:val="808080" w:themeColor="background1" w:themeShade="80"/>
          <w:sz w:val="22"/>
          <w:szCs w:val="22"/>
          <w:u w:val="single"/>
          <w:lang w:val="en-GB"/>
        </w:rPr>
        <w:t>EU JudgeCo Guidelines</w:t>
      </w:r>
      <w:r>
        <w:rPr>
          <w:rFonts w:ascii="Avenir Next" w:hAnsi="Avenir Next" w:cs="Arial"/>
          <w:color w:val="808080" w:themeColor="background1" w:themeShade="80"/>
          <w:sz w:val="22"/>
          <w:szCs w:val="22"/>
          <w:lang w:val="en-GB"/>
        </w:rPr>
        <w:t xml:space="preserve">: The 2014, </w:t>
      </w:r>
      <w:r w:rsidRPr="00E01D35">
        <w:rPr>
          <w:rFonts w:ascii="Avenir Next" w:hAnsi="Avenir Next" w:cs="Arial"/>
          <w:color w:val="808080" w:themeColor="background1" w:themeShade="80"/>
          <w:sz w:val="22"/>
          <w:szCs w:val="22"/>
          <w:lang w:val="en-GB"/>
        </w:rPr>
        <w:t>8 EU Cross-Border Insolvency Court-to-Court Communications Guidelines</w:t>
      </w:r>
      <w:r w:rsidR="00523309">
        <w:rPr>
          <w:rFonts w:ascii="Avenir Next" w:hAnsi="Avenir Next" w:cs="Arial"/>
          <w:color w:val="808080" w:themeColor="background1" w:themeShade="80"/>
          <w:sz w:val="22"/>
          <w:szCs w:val="22"/>
          <w:lang w:val="en-GB"/>
        </w:rPr>
        <w:t xml:space="preserve"> were adopted with an</w:t>
      </w:r>
      <w:r w:rsidRPr="00E01D35">
        <w:rPr>
          <w:rFonts w:ascii="Avenir Next" w:hAnsi="Avenir Next" w:cs="Arial"/>
          <w:color w:val="808080" w:themeColor="background1" w:themeShade="80"/>
          <w:sz w:val="22"/>
          <w:szCs w:val="22"/>
          <w:lang w:val="en-GB"/>
        </w:rPr>
        <w:t> aim to strengthen efficient and effective communication between courts in the EU Member States. They promote international cooperation in the area of insolvency, achieving greater and timely co-ordination among countries in multinational business reorganisations or restructurings</w:t>
      </w:r>
      <w:r>
        <w:rPr>
          <w:rStyle w:val="FootnoteReference"/>
          <w:rFonts w:ascii="Georgia" w:hAnsi="Georgia"/>
          <w:color w:val="5C677D"/>
          <w:spacing w:val="-1"/>
          <w:sz w:val="26"/>
          <w:szCs w:val="26"/>
          <w:shd w:val="clear" w:color="auto" w:fill="FFFFFF"/>
        </w:rPr>
        <w:footnoteReference w:id="23"/>
      </w:r>
    </w:p>
    <w:p w14:paraId="53729C32" w14:textId="77777777" w:rsidR="00E01D35" w:rsidRPr="00E01D35" w:rsidRDefault="00E01D35" w:rsidP="00E01D35">
      <w:pPr>
        <w:pStyle w:val="ListParagraph"/>
        <w:rPr>
          <w:rFonts w:ascii="Avenir Next" w:hAnsi="Avenir Next" w:cs="Arial"/>
          <w:color w:val="808080" w:themeColor="background1" w:themeShade="80"/>
          <w:sz w:val="22"/>
          <w:szCs w:val="22"/>
          <w:lang w:val="en-GB"/>
        </w:rPr>
      </w:pPr>
    </w:p>
    <w:p w14:paraId="1171BD2A" w14:textId="4EDE637E" w:rsidR="00E01D35" w:rsidRPr="00E01D35" w:rsidRDefault="00E01D35" w:rsidP="00E01D3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UNCITRAL Model Law has been accepted as the gold standard for mature and developing </w:t>
      </w:r>
      <w:r w:rsidR="00720D75">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regimes in relation to governance of international and cross border insolvencies and more and more states are moving towards the adoption of the same. The legislation based on the Model Law has been adopted in 53 states in a total of 56 jurisdictions</w:t>
      </w:r>
      <w:r>
        <w:rPr>
          <w:rStyle w:val="FootnoteReference"/>
          <w:rFonts w:ascii="Avenir Next" w:hAnsi="Avenir Next" w:cs="Arial"/>
          <w:color w:val="808080" w:themeColor="background1" w:themeShade="80"/>
          <w:sz w:val="22"/>
          <w:szCs w:val="22"/>
          <w:lang w:val="en-GB"/>
        </w:rPr>
        <w:footnoteReference w:id="24"/>
      </w:r>
      <w:r>
        <w:rPr>
          <w:rFonts w:ascii="Avenir Next" w:hAnsi="Avenir Next" w:cs="Arial"/>
          <w:color w:val="808080" w:themeColor="background1" w:themeShade="80"/>
          <w:sz w:val="22"/>
          <w:szCs w:val="22"/>
          <w:lang w:val="en-GB"/>
        </w:rPr>
        <w:t>, which go on to state the success of the Model Law</w:t>
      </w:r>
      <w:r w:rsidR="00720D75">
        <w:rPr>
          <w:rFonts w:ascii="Avenir Next" w:hAnsi="Avenir Next" w:cs="Arial"/>
          <w:color w:val="808080" w:themeColor="background1" w:themeShade="80"/>
          <w:sz w:val="22"/>
          <w:szCs w:val="22"/>
          <w:lang w:val="en-GB"/>
        </w:rPr>
        <w:t xml:space="preserve">. The adoption and influence of the aforementioned initiatives has been considered critical as they recommend ways of </w:t>
      </w:r>
      <w:r w:rsidR="00523309">
        <w:rPr>
          <w:rFonts w:ascii="Avenir Next" w:hAnsi="Avenir Next" w:cs="Arial"/>
          <w:color w:val="808080" w:themeColor="background1" w:themeShade="80"/>
          <w:sz w:val="22"/>
          <w:szCs w:val="22"/>
          <w:lang w:val="en-GB"/>
        </w:rPr>
        <w:t>coordination</w:t>
      </w:r>
      <w:r w:rsidR="00720D75">
        <w:rPr>
          <w:rFonts w:ascii="Avenir Next" w:hAnsi="Avenir Next" w:cs="Arial"/>
          <w:color w:val="808080" w:themeColor="background1" w:themeShade="80"/>
          <w:sz w:val="22"/>
          <w:szCs w:val="22"/>
          <w:lang w:val="en-GB"/>
        </w:rPr>
        <w:t xml:space="preserve"> and recognition </w:t>
      </w:r>
      <w:r w:rsidR="00523309">
        <w:rPr>
          <w:rFonts w:ascii="Avenir Next" w:hAnsi="Avenir Next" w:cs="Arial"/>
          <w:color w:val="808080" w:themeColor="background1" w:themeShade="80"/>
          <w:sz w:val="22"/>
          <w:szCs w:val="22"/>
          <w:lang w:val="en-GB"/>
        </w:rPr>
        <w:t>between</w:t>
      </w:r>
      <w:r w:rsidR="00720D75">
        <w:rPr>
          <w:rFonts w:ascii="Avenir Next" w:hAnsi="Avenir Next" w:cs="Arial"/>
          <w:color w:val="808080" w:themeColor="background1" w:themeShade="80"/>
          <w:sz w:val="22"/>
          <w:szCs w:val="22"/>
          <w:lang w:val="en-GB"/>
        </w:rPr>
        <w:t xml:space="preserve"> jurisdiction while also wholly not disturbing the domestic insolvency </w:t>
      </w:r>
      <w:r w:rsidR="003E230D">
        <w:rPr>
          <w:rFonts w:ascii="Avenir Next" w:hAnsi="Avenir Next" w:cs="Arial"/>
          <w:color w:val="808080" w:themeColor="background1" w:themeShade="80"/>
          <w:sz w:val="22"/>
          <w:szCs w:val="22"/>
          <w:lang w:val="en-GB"/>
        </w:rPr>
        <w:t>regimes.</w:t>
      </w:r>
      <w:r w:rsidR="00720D75">
        <w:rPr>
          <w:rFonts w:ascii="Avenir Next" w:hAnsi="Avenir Next" w:cs="Arial"/>
          <w:color w:val="808080" w:themeColor="background1" w:themeShade="80"/>
          <w:sz w:val="22"/>
          <w:szCs w:val="22"/>
          <w:lang w:val="en-GB"/>
        </w:rPr>
        <w:t xml:space="preserve">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5C55463F" w14:textId="5C3D377E" w:rsidR="001E1C34" w:rsidRDefault="00720D75" w:rsidP="00720D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Its to be noted that the United Kingdome</w:t>
      </w:r>
      <w:r w:rsidR="00523309">
        <w:rPr>
          <w:rFonts w:ascii="Avenir Next" w:hAnsi="Avenir Next" w:cs="Arial"/>
          <w:color w:val="808080" w:themeColor="background1" w:themeShade="80"/>
          <w:sz w:val="22"/>
          <w:szCs w:val="22"/>
          <w:lang w:val="en-GB"/>
        </w:rPr>
        <w:t xml:space="preserve"> (UK) </w:t>
      </w:r>
      <w:r>
        <w:rPr>
          <w:rFonts w:ascii="Avenir Next" w:hAnsi="Avenir Next" w:cs="Arial"/>
          <w:color w:val="808080" w:themeColor="background1" w:themeShade="80"/>
          <w:sz w:val="22"/>
          <w:szCs w:val="22"/>
          <w:lang w:val="en-GB"/>
        </w:rPr>
        <w:t>ceased to be a part of the European Union at 11 p</w:t>
      </w:r>
      <w:r w:rsidR="0052330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m</w:t>
      </w:r>
      <w:r w:rsidR="0052330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on January 31, 2020. The Regulation (EU) 2015/848 of the European Parliament and the Council of 20 </w:t>
      </w:r>
      <w:r w:rsidR="00523309">
        <w:rPr>
          <w:rFonts w:ascii="Avenir Next" w:hAnsi="Avenir Next" w:cs="Arial"/>
          <w:color w:val="808080" w:themeColor="background1" w:themeShade="80"/>
          <w:sz w:val="22"/>
          <w:szCs w:val="22"/>
          <w:lang w:val="en-GB"/>
        </w:rPr>
        <w:t>May</w:t>
      </w:r>
      <w:r>
        <w:rPr>
          <w:rFonts w:ascii="Avenir Next" w:hAnsi="Avenir Next" w:cs="Arial"/>
          <w:color w:val="808080" w:themeColor="background1" w:themeShade="80"/>
          <w:sz w:val="22"/>
          <w:szCs w:val="22"/>
          <w:lang w:val="en-GB"/>
        </w:rPr>
        <w:t xml:space="preserve"> 2015 in Insolvency Proceedings (R</w:t>
      </w:r>
      <w:r w:rsidR="00801D7F">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cast) (“EIR Recast”) </w:t>
      </w:r>
      <w:r w:rsidR="00801D7F">
        <w:rPr>
          <w:rFonts w:ascii="Avenir Next" w:hAnsi="Avenir Next" w:cs="Arial"/>
          <w:color w:val="808080" w:themeColor="background1" w:themeShade="80"/>
          <w:sz w:val="22"/>
          <w:szCs w:val="22"/>
          <w:lang w:val="en-GB"/>
        </w:rPr>
        <w:t>is applicable</w:t>
      </w:r>
      <w:r>
        <w:rPr>
          <w:rFonts w:ascii="Avenir Next" w:hAnsi="Avenir Next" w:cs="Arial"/>
          <w:color w:val="808080" w:themeColor="background1" w:themeShade="80"/>
          <w:sz w:val="22"/>
          <w:szCs w:val="22"/>
          <w:lang w:val="en-GB"/>
        </w:rPr>
        <w:t xml:space="preserve"> to all insolvency proceedings </w:t>
      </w:r>
      <w:r w:rsidR="00523309">
        <w:rPr>
          <w:rFonts w:ascii="Avenir Next" w:hAnsi="Avenir Next" w:cs="Arial"/>
          <w:color w:val="808080" w:themeColor="background1" w:themeShade="80"/>
          <w:sz w:val="22"/>
          <w:szCs w:val="22"/>
          <w:lang w:val="en-GB"/>
        </w:rPr>
        <w:t>commencing</w:t>
      </w:r>
      <w:r w:rsidR="00801D7F">
        <w:rPr>
          <w:rFonts w:ascii="Avenir Next" w:hAnsi="Avenir Next" w:cs="Arial"/>
          <w:color w:val="808080" w:themeColor="background1" w:themeShade="80"/>
          <w:sz w:val="22"/>
          <w:szCs w:val="22"/>
          <w:lang w:val="en-GB"/>
        </w:rPr>
        <w:t xml:space="preserve"> after June 26, 2017 (</w:t>
      </w:r>
      <w:r w:rsidR="00523309">
        <w:rPr>
          <w:rFonts w:ascii="Avenir Next" w:hAnsi="Avenir Next" w:cs="Arial"/>
          <w:color w:val="808080" w:themeColor="background1" w:themeShade="80"/>
          <w:sz w:val="22"/>
          <w:szCs w:val="22"/>
          <w:lang w:val="en-GB"/>
        </w:rPr>
        <w:t xml:space="preserve">hence </w:t>
      </w:r>
      <w:r w:rsidR="00801D7F">
        <w:rPr>
          <w:rFonts w:ascii="Avenir Next" w:hAnsi="Avenir Next" w:cs="Arial"/>
          <w:color w:val="808080" w:themeColor="background1" w:themeShade="80"/>
          <w:sz w:val="22"/>
          <w:szCs w:val="22"/>
          <w:lang w:val="en-GB"/>
        </w:rPr>
        <w:t>also</w:t>
      </w:r>
      <w:r w:rsidR="00523309">
        <w:rPr>
          <w:rFonts w:ascii="Avenir Next" w:hAnsi="Avenir Next" w:cs="Arial"/>
          <w:color w:val="808080" w:themeColor="background1" w:themeShade="80"/>
          <w:sz w:val="22"/>
          <w:szCs w:val="22"/>
          <w:lang w:val="en-GB"/>
        </w:rPr>
        <w:t xml:space="preserve"> applicable to</w:t>
      </w:r>
      <w:r w:rsidR="00801D7F">
        <w:rPr>
          <w:rFonts w:ascii="Avenir Next" w:hAnsi="Avenir Next" w:cs="Arial"/>
          <w:color w:val="808080" w:themeColor="background1" w:themeShade="80"/>
          <w:sz w:val="22"/>
          <w:szCs w:val="22"/>
          <w:lang w:val="en-GB"/>
        </w:rPr>
        <w:t xml:space="preserve"> the ones in the UK before January 31, 2020). </w:t>
      </w:r>
      <w:r w:rsidR="00801D7F">
        <w:rPr>
          <w:rFonts w:ascii="Avenir Next" w:hAnsi="Avenir Next" w:cs="Arial"/>
          <w:color w:val="808080" w:themeColor="background1" w:themeShade="80"/>
          <w:sz w:val="22"/>
          <w:szCs w:val="22"/>
          <w:lang w:val="en-GB"/>
        </w:rPr>
        <w:lastRenderedPageBreak/>
        <w:t>After Brexit, the benefit of the EIR Recast between the UK and the EU was lost</w:t>
      </w:r>
      <w:r w:rsidR="00801D7F">
        <w:rPr>
          <w:rStyle w:val="FootnoteReference"/>
          <w:rFonts w:ascii="Avenir Next" w:hAnsi="Avenir Next" w:cs="Arial"/>
          <w:color w:val="808080" w:themeColor="background1" w:themeShade="80"/>
          <w:sz w:val="22"/>
          <w:szCs w:val="22"/>
          <w:lang w:val="en-GB"/>
        </w:rPr>
        <w:footnoteReference w:id="25"/>
      </w:r>
      <w:r w:rsidR="00801D7F">
        <w:rPr>
          <w:rFonts w:ascii="Avenir Next" w:hAnsi="Avenir Next" w:cs="Arial"/>
          <w:color w:val="808080" w:themeColor="background1" w:themeShade="80"/>
          <w:sz w:val="22"/>
          <w:szCs w:val="22"/>
          <w:lang w:val="en-GB"/>
        </w:rPr>
        <w:t xml:space="preserve"> (because the Brexit deal did not cover aspects of insolvencies). The EIR Recast will only continue to apply to </w:t>
      </w:r>
      <w:r w:rsidR="00801D7F" w:rsidRPr="00801D7F">
        <w:rPr>
          <w:rFonts w:ascii="Avenir Next" w:hAnsi="Avenir Next" w:cs="Arial"/>
          <w:color w:val="808080" w:themeColor="background1" w:themeShade="80"/>
          <w:sz w:val="22"/>
          <w:szCs w:val="22"/>
          <w:lang w:val="en-GB"/>
        </w:rPr>
        <w:t xml:space="preserve">insolvencies where the </w:t>
      </w:r>
      <w:r w:rsidR="00523309">
        <w:rPr>
          <w:rFonts w:ascii="Avenir Next" w:hAnsi="Avenir Next" w:cs="Arial"/>
          <w:color w:val="808080" w:themeColor="background1" w:themeShade="80"/>
          <w:sz w:val="22"/>
          <w:szCs w:val="22"/>
          <w:lang w:val="en-GB"/>
        </w:rPr>
        <w:t>m</w:t>
      </w:r>
      <w:r w:rsidR="00801D7F" w:rsidRPr="00801D7F">
        <w:rPr>
          <w:rFonts w:ascii="Avenir Next" w:hAnsi="Avenir Next" w:cs="Arial"/>
          <w:color w:val="808080" w:themeColor="background1" w:themeShade="80"/>
          <w:sz w:val="22"/>
          <w:szCs w:val="22"/>
          <w:lang w:val="en-GB"/>
        </w:rPr>
        <w:t xml:space="preserve">ain </w:t>
      </w:r>
      <w:r w:rsidR="00523309">
        <w:rPr>
          <w:rFonts w:ascii="Avenir Next" w:hAnsi="Avenir Next" w:cs="Arial"/>
          <w:color w:val="808080" w:themeColor="background1" w:themeShade="80"/>
          <w:sz w:val="22"/>
          <w:szCs w:val="22"/>
          <w:lang w:val="en-GB"/>
        </w:rPr>
        <w:t>p</w:t>
      </w:r>
      <w:r w:rsidR="00801D7F" w:rsidRPr="00801D7F">
        <w:rPr>
          <w:rFonts w:ascii="Avenir Next" w:hAnsi="Avenir Next" w:cs="Arial"/>
          <w:color w:val="808080" w:themeColor="background1" w:themeShade="80"/>
          <w:sz w:val="22"/>
          <w:szCs w:val="22"/>
          <w:lang w:val="en-GB"/>
        </w:rPr>
        <w:t>roceedings were opened prior to the expiry of the transitional period (11</w:t>
      </w:r>
      <w:r w:rsidR="00523309">
        <w:rPr>
          <w:rFonts w:ascii="Avenir Next" w:hAnsi="Avenir Next" w:cs="Arial"/>
          <w:color w:val="808080" w:themeColor="background1" w:themeShade="80"/>
          <w:sz w:val="22"/>
          <w:szCs w:val="22"/>
          <w:lang w:val="en-GB"/>
        </w:rPr>
        <w:t xml:space="preserve"> </w:t>
      </w:r>
      <w:r w:rsidR="00801D7F" w:rsidRPr="00801D7F">
        <w:rPr>
          <w:rFonts w:ascii="Avenir Next" w:hAnsi="Avenir Next" w:cs="Arial"/>
          <w:color w:val="808080" w:themeColor="background1" w:themeShade="80"/>
          <w:sz w:val="22"/>
          <w:szCs w:val="22"/>
          <w:lang w:val="en-GB"/>
        </w:rPr>
        <w:t>p</w:t>
      </w:r>
      <w:r w:rsidR="00523309">
        <w:rPr>
          <w:rFonts w:ascii="Avenir Next" w:hAnsi="Avenir Next" w:cs="Arial"/>
          <w:color w:val="808080" w:themeColor="background1" w:themeShade="80"/>
          <w:sz w:val="22"/>
          <w:szCs w:val="22"/>
          <w:lang w:val="en-GB"/>
        </w:rPr>
        <w:t>.</w:t>
      </w:r>
      <w:r w:rsidR="00801D7F" w:rsidRPr="00801D7F">
        <w:rPr>
          <w:rFonts w:ascii="Avenir Next" w:hAnsi="Avenir Next" w:cs="Arial"/>
          <w:color w:val="808080" w:themeColor="background1" w:themeShade="80"/>
          <w:sz w:val="22"/>
          <w:szCs w:val="22"/>
          <w:lang w:val="en-GB"/>
        </w:rPr>
        <w:t>m</w:t>
      </w:r>
      <w:r w:rsidR="00523309">
        <w:rPr>
          <w:rFonts w:ascii="Avenir Next" w:hAnsi="Avenir Next" w:cs="Arial"/>
          <w:color w:val="808080" w:themeColor="background1" w:themeShade="80"/>
          <w:sz w:val="22"/>
          <w:szCs w:val="22"/>
          <w:lang w:val="en-GB"/>
        </w:rPr>
        <w:t>.</w:t>
      </w:r>
      <w:r w:rsidR="00801D7F" w:rsidRPr="00801D7F">
        <w:rPr>
          <w:rFonts w:ascii="Avenir Next" w:hAnsi="Avenir Next" w:cs="Arial"/>
          <w:color w:val="808080" w:themeColor="background1" w:themeShade="80"/>
          <w:sz w:val="22"/>
          <w:szCs w:val="22"/>
          <w:lang w:val="en-GB"/>
        </w:rPr>
        <w:t xml:space="preserve"> on 31 December 2020)</w:t>
      </w:r>
      <w:r w:rsidR="00E71A91">
        <w:rPr>
          <w:rStyle w:val="FootnoteReference"/>
          <w:rFonts w:ascii="Avenir Next" w:hAnsi="Avenir Next" w:cs="Arial"/>
          <w:color w:val="808080" w:themeColor="background1" w:themeShade="80"/>
          <w:sz w:val="22"/>
          <w:szCs w:val="22"/>
          <w:lang w:val="en-GB"/>
        </w:rPr>
        <w:footnoteReference w:id="26"/>
      </w:r>
      <w:r w:rsidR="00E71A91">
        <w:rPr>
          <w:rFonts w:ascii="Avenir Next" w:hAnsi="Avenir Next" w:cs="Arial"/>
          <w:color w:val="808080" w:themeColor="background1" w:themeShade="80"/>
          <w:sz w:val="22"/>
          <w:szCs w:val="22"/>
          <w:lang w:val="en-GB"/>
        </w:rPr>
        <w:t>.</w:t>
      </w:r>
    </w:p>
    <w:p w14:paraId="35F10275" w14:textId="79F81526" w:rsidR="00801D7F" w:rsidRDefault="00801D7F" w:rsidP="00720D75">
      <w:pPr>
        <w:jc w:val="both"/>
        <w:rPr>
          <w:rFonts w:ascii="Avenir Next" w:hAnsi="Avenir Next" w:cs="Arial"/>
          <w:sz w:val="22"/>
          <w:szCs w:val="22"/>
          <w:highlight w:val="cyan"/>
          <w:lang w:val="en-GB"/>
        </w:rPr>
      </w:pPr>
    </w:p>
    <w:p w14:paraId="3D503A0E" w14:textId="29D955BE" w:rsidR="00801D7F" w:rsidRPr="00801D7F" w:rsidRDefault="00801D7F" w:rsidP="00720D75">
      <w:pPr>
        <w:jc w:val="both"/>
        <w:rPr>
          <w:rFonts w:ascii="Avenir Next" w:hAnsi="Avenir Next" w:cs="Arial"/>
          <w:color w:val="808080" w:themeColor="background1" w:themeShade="80"/>
          <w:sz w:val="22"/>
          <w:szCs w:val="22"/>
          <w:lang w:val="en-GB"/>
        </w:rPr>
      </w:pPr>
      <w:r w:rsidRPr="00801D7F">
        <w:rPr>
          <w:rFonts w:ascii="Avenir Next" w:hAnsi="Avenir Next" w:cs="Arial"/>
          <w:color w:val="808080" w:themeColor="background1" w:themeShade="80"/>
          <w:sz w:val="22"/>
          <w:szCs w:val="22"/>
          <w:lang w:val="en-GB"/>
        </w:rPr>
        <w:t xml:space="preserve">Furthermore, as per Article 3 of </w:t>
      </w:r>
      <w:r w:rsidR="00523309">
        <w:rPr>
          <w:rFonts w:ascii="Avenir Next" w:hAnsi="Avenir Next" w:cs="Arial"/>
          <w:color w:val="808080" w:themeColor="background1" w:themeShade="80"/>
          <w:sz w:val="22"/>
          <w:szCs w:val="22"/>
          <w:lang w:val="en-GB"/>
        </w:rPr>
        <w:t xml:space="preserve">the </w:t>
      </w:r>
      <w:r w:rsidRPr="00801D7F">
        <w:rPr>
          <w:rFonts w:ascii="Avenir Next" w:hAnsi="Avenir Next" w:cs="Arial"/>
          <w:color w:val="808080" w:themeColor="background1" w:themeShade="80"/>
          <w:sz w:val="22"/>
          <w:szCs w:val="22"/>
          <w:lang w:val="en-GB"/>
        </w:rPr>
        <w:t xml:space="preserve">EIR Recast, jurisdiction is awarded to open main proceedings to the courts within whose jurisdiction the corporate has </w:t>
      </w:r>
      <w:r w:rsidR="00E71A91" w:rsidRPr="00801D7F">
        <w:rPr>
          <w:rFonts w:ascii="Avenir Next" w:hAnsi="Avenir Next" w:cs="Arial"/>
          <w:color w:val="808080" w:themeColor="background1" w:themeShade="80"/>
          <w:sz w:val="22"/>
          <w:szCs w:val="22"/>
          <w:lang w:val="en-GB"/>
        </w:rPr>
        <w:t>centre</w:t>
      </w:r>
      <w:r w:rsidRPr="00801D7F">
        <w:rPr>
          <w:rFonts w:ascii="Avenir Next" w:hAnsi="Avenir Next" w:cs="Arial"/>
          <w:color w:val="808080" w:themeColor="background1" w:themeShade="80"/>
          <w:sz w:val="22"/>
          <w:szCs w:val="22"/>
          <w:lang w:val="en-GB"/>
        </w:rPr>
        <w:t xml:space="preserve"> of main interest (“COMI”)</w:t>
      </w:r>
      <w:r>
        <w:rPr>
          <w:rFonts w:ascii="Avenir Next" w:hAnsi="Avenir Next" w:cs="Arial"/>
          <w:color w:val="808080" w:themeColor="background1" w:themeShade="80"/>
          <w:sz w:val="22"/>
          <w:szCs w:val="22"/>
          <w:lang w:val="en-GB"/>
        </w:rPr>
        <w:t>. Also, Article 19 of the EIR Recast provides</w:t>
      </w:r>
      <w:r w:rsidR="0052330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automatic recognition of the main proceedings in all the other member states and other member states are only then entitled to initiate secondary proceedings in case the corporate affairs in such other jurisdiction.</w:t>
      </w:r>
      <w:r>
        <w:rPr>
          <w:rStyle w:val="FootnoteReference"/>
          <w:rFonts w:ascii="Avenir Next" w:hAnsi="Avenir Next" w:cs="Arial"/>
          <w:color w:val="808080" w:themeColor="background1" w:themeShade="80"/>
          <w:sz w:val="22"/>
          <w:szCs w:val="22"/>
          <w:lang w:val="en-GB"/>
        </w:rPr>
        <w:footnoteReference w:id="27"/>
      </w:r>
    </w:p>
    <w:p w14:paraId="1395AAC6" w14:textId="10A32DE3" w:rsidR="001E1C34" w:rsidRDefault="001E1C34" w:rsidP="00692852">
      <w:pPr>
        <w:ind w:left="720" w:hanging="720"/>
        <w:jc w:val="both"/>
        <w:rPr>
          <w:rFonts w:ascii="Avenir Next" w:hAnsi="Avenir Next" w:cs="Arial"/>
          <w:sz w:val="22"/>
          <w:szCs w:val="22"/>
          <w:highlight w:val="cyan"/>
          <w:lang w:val="en-GB"/>
        </w:rPr>
      </w:pPr>
    </w:p>
    <w:p w14:paraId="5F2414C3" w14:textId="3A049250" w:rsidR="00E71A91" w:rsidRPr="00E71A91" w:rsidRDefault="00E71A91" w:rsidP="00E71A91">
      <w:pPr>
        <w:jc w:val="both"/>
        <w:rPr>
          <w:rFonts w:ascii="Avenir Next" w:hAnsi="Avenir Next" w:cs="Arial"/>
          <w:color w:val="808080" w:themeColor="background1" w:themeShade="80"/>
          <w:sz w:val="22"/>
          <w:szCs w:val="22"/>
          <w:lang w:val="en-GB"/>
        </w:rPr>
      </w:pPr>
      <w:r w:rsidRPr="00E71A91">
        <w:rPr>
          <w:rFonts w:ascii="Avenir Next" w:hAnsi="Avenir Next" w:cs="Arial"/>
          <w:color w:val="808080" w:themeColor="background1" w:themeShade="80"/>
          <w:sz w:val="22"/>
          <w:szCs w:val="22"/>
          <w:lang w:val="en-GB"/>
        </w:rPr>
        <w:t xml:space="preserve">In the above fact set, we hence know that </w:t>
      </w:r>
      <w:r w:rsidR="00AB3E5C">
        <w:rPr>
          <w:rFonts w:ascii="Avenir Next" w:hAnsi="Avenir Next" w:cs="Arial"/>
          <w:color w:val="808080" w:themeColor="background1" w:themeShade="80"/>
          <w:sz w:val="22"/>
          <w:szCs w:val="22"/>
          <w:lang w:val="en-GB"/>
        </w:rPr>
        <w:t xml:space="preserve">the </w:t>
      </w:r>
      <w:r w:rsidRPr="00E71A91">
        <w:rPr>
          <w:rFonts w:ascii="Avenir Next" w:hAnsi="Avenir Next" w:cs="Arial"/>
          <w:color w:val="808080" w:themeColor="background1" w:themeShade="80"/>
          <w:sz w:val="22"/>
          <w:szCs w:val="22"/>
          <w:lang w:val="en-GB"/>
        </w:rPr>
        <w:t>EIR Recast will not apply to the UK commenced insolvency proceedings</w:t>
      </w:r>
      <w:r w:rsidR="00AB3E5C">
        <w:rPr>
          <w:rFonts w:ascii="Avenir Next" w:hAnsi="Avenir Next" w:cs="Arial"/>
          <w:color w:val="808080" w:themeColor="background1" w:themeShade="80"/>
          <w:sz w:val="22"/>
          <w:szCs w:val="22"/>
          <w:lang w:val="en-GB"/>
        </w:rPr>
        <w:t xml:space="preserve"> as the same was initiated after December 31, 2020</w:t>
      </w:r>
      <w:r w:rsidRPr="00E71A91">
        <w:rPr>
          <w:rFonts w:ascii="Avenir Next" w:hAnsi="Avenir Next" w:cs="Arial"/>
          <w:color w:val="808080" w:themeColor="background1" w:themeShade="80"/>
          <w:sz w:val="22"/>
          <w:szCs w:val="22"/>
          <w:lang w:val="en-GB"/>
        </w:rPr>
        <w:t>. In terms of the other options available qua the UK proceedings, the same can turn to the UNICTRAL Model Law, The Insolvency Act of 1986 and the common law principles of comity.</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E6294" w14:textId="77777777" w:rsidR="00E0042B" w:rsidRDefault="00E0042B" w:rsidP="00241B44">
      <w:r>
        <w:separator/>
      </w:r>
    </w:p>
  </w:endnote>
  <w:endnote w:type="continuationSeparator" w:id="0">
    <w:p w14:paraId="5B54A1CF" w14:textId="77777777" w:rsidR="00E0042B" w:rsidRDefault="00E0042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Thin">
    <w:panose1 w:val="020F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OpenSans-Regular">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160643" w:rsidRPr="00A31881" w:rsidRDefault="00160643"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160643" w:rsidRPr="00A31881" w:rsidRDefault="00160643"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160643" w:rsidRPr="00297BDF" w:rsidRDefault="00160643"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1109D4C1" w:rsidR="00160643" w:rsidRPr="00297BDF" w:rsidRDefault="00BB2450" w:rsidP="0052732A">
    <w:pPr>
      <w:pStyle w:val="Footer"/>
      <w:ind w:right="360"/>
      <w:rPr>
        <w:rFonts w:ascii="Avenir Next" w:hAnsi="Avenir Next" w:cs="Arial"/>
        <w:sz w:val="22"/>
        <w:szCs w:val="22"/>
      </w:rPr>
    </w:pPr>
    <w:r w:rsidRPr="00BB2450">
      <w:rPr>
        <w:rFonts w:ascii="Avenir Next" w:hAnsi="Avenir Next" w:cs="Arial"/>
        <w:sz w:val="22"/>
        <w:szCs w:val="22"/>
      </w:rPr>
      <w:t>202223-909</w:t>
    </w:r>
    <w:r w:rsidR="00160643"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7024" w14:textId="77777777" w:rsidR="00E0042B" w:rsidRDefault="00E0042B" w:rsidP="00241B44">
      <w:r>
        <w:separator/>
      </w:r>
    </w:p>
  </w:footnote>
  <w:footnote w:type="continuationSeparator" w:id="0">
    <w:p w14:paraId="48656511" w14:textId="77777777" w:rsidR="00E0042B" w:rsidRDefault="00E0042B" w:rsidP="00241B44">
      <w:r>
        <w:continuationSeparator/>
      </w:r>
    </w:p>
  </w:footnote>
  <w:footnote w:id="1">
    <w:p w14:paraId="06493BEC" w14:textId="05BF417C" w:rsidR="00160643" w:rsidRPr="0066407C" w:rsidRDefault="00160643">
      <w:pPr>
        <w:pStyle w:val="FootnoteText"/>
        <w:rPr>
          <w:lang w:val="en-IN"/>
        </w:rPr>
      </w:pPr>
      <w:r>
        <w:rPr>
          <w:rStyle w:val="FootnoteReference"/>
        </w:rPr>
        <w:footnoteRef/>
      </w:r>
      <w:r>
        <w:t xml:space="preserve"> Guide to Insolvency and Business Restructuring in Africa, &lt;&lt;</w:t>
      </w:r>
      <w:hyperlink r:id="rId1" w:history="1">
        <w:r w:rsidRPr="008F6555">
          <w:rPr>
            <w:rStyle w:val="Hyperlink"/>
          </w:rPr>
          <w:t>https://www.lexafrica.com/wp-content/uploads/2022/05/Guide-to-Insolvency-and-Business-Restructuring-in-Africa-Digital.pdf</w:t>
        </w:r>
      </w:hyperlink>
      <w:r>
        <w:t>&gt;&gt; accessed on November 12, 2022.</w:t>
      </w:r>
    </w:p>
  </w:footnote>
  <w:footnote w:id="2">
    <w:p w14:paraId="2FFB3C14" w14:textId="32599C41" w:rsidR="00160643" w:rsidRPr="00095CD8" w:rsidRDefault="00160643">
      <w:pPr>
        <w:pStyle w:val="FootnoteText"/>
        <w:rPr>
          <w:lang w:val="en-IN"/>
        </w:rPr>
      </w:pPr>
      <w:r>
        <w:rPr>
          <w:rStyle w:val="FootnoteReference"/>
        </w:rPr>
        <w:footnoteRef/>
      </w:r>
      <w:r>
        <w:t xml:space="preserve"> International Monetary Fund, The Asian Crisis: Causes and Cures &lt;&lt;</w:t>
      </w:r>
      <w:hyperlink r:id="rId2" w:history="1">
        <w:r w:rsidRPr="008F6555">
          <w:rPr>
            <w:rStyle w:val="Hyperlink"/>
          </w:rPr>
          <w:t>https://www.imf.org/external/pubs/ft/fandd/1998/06/imfstaff.htm</w:t>
        </w:r>
      </w:hyperlink>
      <w:r>
        <w:t>&gt;&gt;, accessed on November 12, 2022</w:t>
      </w:r>
    </w:p>
  </w:footnote>
  <w:footnote w:id="3">
    <w:p w14:paraId="29069DED" w14:textId="77E1D6C6" w:rsidR="00160643" w:rsidRPr="00095CD8" w:rsidRDefault="00160643">
      <w:pPr>
        <w:pStyle w:val="FootnoteText"/>
        <w:rPr>
          <w:lang w:val="en-IN"/>
        </w:rPr>
      </w:pPr>
      <w:r>
        <w:rPr>
          <w:rStyle w:val="FootnoteReference"/>
        </w:rPr>
        <w:footnoteRef/>
      </w:r>
      <w:r>
        <w:t xml:space="preserve"> Forum for Asian Insolvency Reform, Insolvency Reforms in Asia: An Assessment of the Implementation Process and Role of Judiciary, &lt;</w:t>
      </w:r>
      <w:hyperlink r:id="rId3" w:history="1">
        <w:r w:rsidRPr="008F6555">
          <w:rPr>
            <w:rStyle w:val="Hyperlink"/>
          </w:rPr>
          <w:t>https://www.oecd.org/daf/ca/corporategovernanceprinciples/1873992.pdf</w:t>
        </w:r>
      </w:hyperlink>
      <w:r>
        <w:t xml:space="preserve">&gt;, accessed on November 12, 2022. </w:t>
      </w:r>
    </w:p>
  </w:footnote>
  <w:footnote w:id="4">
    <w:p w14:paraId="0AAB16C3" w14:textId="3A731DBE" w:rsidR="00160643" w:rsidRPr="006E5FA4" w:rsidRDefault="00160643">
      <w:pPr>
        <w:pStyle w:val="FootnoteText"/>
        <w:rPr>
          <w:lang w:val="en-IN"/>
        </w:rPr>
      </w:pPr>
      <w:r>
        <w:rPr>
          <w:rStyle w:val="FootnoteReference"/>
        </w:rPr>
        <w:footnoteRef/>
      </w:r>
      <w:r>
        <w:t xml:space="preserve"> </w:t>
      </w:r>
      <w:r w:rsidRPr="0059365C">
        <w:rPr>
          <w:i/>
        </w:rPr>
        <w:t>Ibid</w:t>
      </w:r>
      <w:r>
        <w:t>, Background and Summary.</w:t>
      </w:r>
    </w:p>
  </w:footnote>
  <w:footnote w:id="5">
    <w:p w14:paraId="773A6913" w14:textId="78974F6B" w:rsidR="00160643" w:rsidRPr="006E5FA4" w:rsidRDefault="00160643">
      <w:pPr>
        <w:pStyle w:val="FootnoteText"/>
        <w:rPr>
          <w:lang w:val="en-IN"/>
        </w:rPr>
      </w:pPr>
      <w:r>
        <w:rPr>
          <w:rStyle w:val="FootnoteReference"/>
        </w:rPr>
        <w:footnoteRef/>
      </w:r>
      <w:r>
        <w:t xml:space="preserve"> FAIR, Maximizing Value of Non-Performing Assets  &lt;&lt;</w:t>
      </w:r>
      <w:hyperlink r:id="rId4" w:history="1">
        <w:r w:rsidRPr="008F6555">
          <w:rPr>
            <w:rStyle w:val="Hyperlink"/>
          </w:rPr>
          <w:t>https://www.oecd.org/daf/ca/corporategovernanceprinciples/20215534.pdf</w:t>
        </w:r>
      </w:hyperlink>
      <w:r>
        <w:t>&gt;&gt;, accessed on November 12, 2022.</w:t>
      </w:r>
    </w:p>
  </w:footnote>
  <w:footnote w:id="6">
    <w:p w14:paraId="35362975" w14:textId="397563BF" w:rsidR="00160643" w:rsidRPr="00AB76D6" w:rsidRDefault="00160643">
      <w:pPr>
        <w:pStyle w:val="FootnoteText"/>
        <w:rPr>
          <w:lang w:val="en-IN"/>
        </w:rPr>
      </w:pPr>
      <w:r>
        <w:rPr>
          <w:rStyle w:val="FootnoteReference"/>
        </w:rPr>
        <w:footnoteRef/>
      </w:r>
      <w:r>
        <w:t xml:space="preserve"> Wessels. Bob, “</w:t>
      </w:r>
      <w:r w:rsidRPr="0059365C">
        <w:rPr>
          <w:i/>
        </w:rPr>
        <w:t>A Global Approach to Cross-Border Insolvency Cases in a Globalizing Word</w:t>
      </w:r>
      <w:r>
        <w:rPr>
          <w:i/>
        </w:rPr>
        <w:t>”</w:t>
      </w:r>
      <w:r>
        <w:t xml:space="preserve">, (The </w:t>
      </w:r>
      <w:proofErr w:type="spellStart"/>
      <w:r>
        <w:t>Dovenschmidt</w:t>
      </w:r>
      <w:proofErr w:type="spellEnd"/>
      <w:r>
        <w:t xml:space="preserve"> Quarterly, Issue 1, 2013).</w:t>
      </w:r>
    </w:p>
  </w:footnote>
  <w:footnote w:id="7">
    <w:p w14:paraId="7277BAA0" w14:textId="48A2843C" w:rsidR="00160643" w:rsidRPr="00AB76D6" w:rsidRDefault="00160643">
      <w:pPr>
        <w:pStyle w:val="FootnoteText"/>
        <w:rPr>
          <w:lang w:val="en-IN"/>
        </w:rPr>
      </w:pPr>
      <w:r>
        <w:rPr>
          <w:rStyle w:val="FootnoteReference"/>
        </w:rPr>
        <w:footnoteRef/>
      </w:r>
      <w:r>
        <w:t xml:space="preserve"> </w:t>
      </w:r>
      <w:r w:rsidRPr="00AB76D6">
        <w:rPr>
          <w:i/>
          <w:lang w:val="en-IN"/>
        </w:rPr>
        <w:t>Ibid</w:t>
      </w:r>
    </w:p>
  </w:footnote>
  <w:footnote w:id="8">
    <w:p w14:paraId="142ED0FB" w14:textId="4C112DB9" w:rsidR="00160643" w:rsidRPr="008639A3" w:rsidRDefault="00160643">
      <w:pPr>
        <w:pStyle w:val="FootnoteText"/>
        <w:rPr>
          <w:lang w:val="en-IN"/>
        </w:rPr>
      </w:pPr>
      <w:r>
        <w:rPr>
          <w:rStyle w:val="FootnoteReference"/>
        </w:rPr>
        <w:footnoteRef/>
      </w:r>
      <w:r>
        <w:t xml:space="preserve"> </w:t>
      </w:r>
      <w:r w:rsidRPr="008639A3">
        <w:rPr>
          <w:i/>
          <w:lang w:val="en-IN"/>
        </w:rPr>
        <w:t>Ibid</w:t>
      </w:r>
    </w:p>
  </w:footnote>
  <w:footnote w:id="9">
    <w:p w14:paraId="760C31D4" w14:textId="1D528260" w:rsidR="00826B28" w:rsidRPr="00826B28" w:rsidRDefault="00826B28">
      <w:pPr>
        <w:pStyle w:val="FootnoteText"/>
        <w:rPr>
          <w:lang w:val="en-IN"/>
        </w:rPr>
      </w:pPr>
      <w:r>
        <w:rPr>
          <w:rStyle w:val="FootnoteReference"/>
        </w:rPr>
        <w:footnoteRef/>
      </w:r>
      <w:r>
        <w:t xml:space="preserve"> </w:t>
      </w:r>
      <w:r w:rsidRPr="00826B28">
        <w:rPr>
          <w:i/>
          <w:lang w:val="en-IN"/>
        </w:rPr>
        <w:t>Ibid</w:t>
      </w:r>
    </w:p>
  </w:footnote>
  <w:footnote w:id="10">
    <w:p w14:paraId="357ECC11" w14:textId="5243EBC9" w:rsidR="00160643" w:rsidRPr="00677650" w:rsidRDefault="00160643">
      <w:pPr>
        <w:pStyle w:val="FootnoteText"/>
        <w:rPr>
          <w:lang w:val="en-IN"/>
        </w:rPr>
      </w:pPr>
      <w:r>
        <w:rPr>
          <w:rStyle w:val="FootnoteReference"/>
        </w:rPr>
        <w:footnoteRef/>
      </w:r>
      <w:r>
        <w:t xml:space="preserve"> </w:t>
      </w:r>
      <w:r w:rsidRPr="001A1791">
        <w:t xml:space="preserve">Dr </w:t>
      </w:r>
      <w:proofErr w:type="spellStart"/>
      <w:r w:rsidRPr="001A1791">
        <w:t>Beissenhirtz</w:t>
      </w:r>
      <w:proofErr w:type="spellEnd"/>
      <w:r w:rsidRPr="001A1791">
        <w:t>, Volker, “</w:t>
      </w:r>
      <w:proofErr w:type="spellStart"/>
      <w:r w:rsidRPr="001A1791">
        <w:rPr>
          <w:i/>
        </w:rPr>
        <w:t>Clawback</w:t>
      </w:r>
      <w:proofErr w:type="spellEnd"/>
      <w:r w:rsidRPr="001A1791">
        <w:rPr>
          <w:i/>
        </w:rPr>
        <w:t xml:space="preserve"> of Transactions before Insolvency: Comparison of the German and English Provisions on Voidable Transactions</w:t>
      </w:r>
      <w:r w:rsidRPr="001A1791">
        <w:t>”</w:t>
      </w:r>
    </w:p>
  </w:footnote>
  <w:footnote w:id="11">
    <w:p w14:paraId="2D513B65" w14:textId="703418B0" w:rsidR="00160643" w:rsidRDefault="00160643">
      <w:pPr>
        <w:pStyle w:val="FootnoteText"/>
      </w:pPr>
      <w:r>
        <w:rPr>
          <w:rStyle w:val="FootnoteReference"/>
        </w:rPr>
        <w:footnoteRef/>
      </w:r>
      <w:r>
        <w:t>International Monetary Fund, Orderly &amp; Effective Insolvency Procedures, &lt;&lt;</w:t>
      </w:r>
      <w:hyperlink r:id="rId5" w:history="1">
        <w:r w:rsidRPr="008F6555">
          <w:rPr>
            <w:rStyle w:val="Hyperlink"/>
          </w:rPr>
          <w:t>https://www.imf.org/external/pubs/ft/orderly/</w:t>
        </w:r>
      </w:hyperlink>
      <w:r>
        <w:t>&gt;&gt;, accessed on November 12, 2022</w:t>
      </w:r>
    </w:p>
    <w:p w14:paraId="49ED13EB" w14:textId="77777777" w:rsidR="00160643" w:rsidRPr="0069635E" w:rsidRDefault="00160643">
      <w:pPr>
        <w:pStyle w:val="FootnoteText"/>
        <w:rPr>
          <w:lang w:val="en-IN"/>
        </w:rPr>
      </w:pPr>
    </w:p>
  </w:footnote>
  <w:footnote w:id="12">
    <w:p w14:paraId="27DD1FEF" w14:textId="1E04AF43" w:rsidR="00160643" w:rsidRPr="00B0568C" w:rsidRDefault="00160643">
      <w:pPr>
        <w:pStyle w:val="FootnoteText"/>
        <w:rPr>
          <w:lang w:val="en-IN"/>
        </w:rPr>
      </w:pPr>
      <w:r>
        <w:rPr>
          <w:rStyle w:val="FootnoteReference"/>
        </w:rPr>
        <w:footnoteRef/>
      </w:r>
      <w:r>
        <w:t xml:space="preserve"> I F Fletcher, Insolvency in Private International Law – National and International Approaches (Oxford: Oxford University Press, 2nd ed, 2005)</w:t>
      </w:r>
    </w:p>
  </w:footnote>
  <w:footnote w:id="13">
    <w:p w14:paraId="71803786" w14:textId="416B773A" w:rsidR="00160643" w:rsidRPr="0063550A" w:rsidRDefault="00160643">
      <w:pPr>
        <w:pStyle w:val="FootnoteText"/>
        <w:rPr>
          <w:lang w:val="en-IN"/>
        </w:rPr>
      </w:pPr>
      <w:r>
        <w:rPr>
          <w:rStyle w:val="FootnoteReference"/>
        </w:rPr>
        <w:footnoteRef/>
      </w:r>
      <w:r>
        <w:t xml:space="preserve">Harvard International Law Journal, Ecocide Law: The Use of Hard Law to Complement Soft Law, &lt;&lt; </w:t>
      </w:r>
      <w:hyperlink r:id="rId6" w:anchor=":~:text=In%20contrast%20to%20soft%20law,that%20soft%20law%20instruments%20lack" w:history="1">
        <w:r w:rsidRPr="008F6555">
          <w:rPr>
            <w:rStyle w:val="Hyperlink"/>
          </w:rPr>
          <w:t>https://harvardilj.org/2021/05/ecocide-law-the-use-of-hard-law-to-complement-soft-law/#:~:text=In%20contrast%20to%20soft%20law,that%20soft%20law%20instruments%20lack</w:t>
        </w:r>
      </w:hyperlink>
      <w:r>
        <w:t>&gt;&gt;, accessed on November 13, 2022.</w:t>
      </w:r>
    </w:p>
  </w:footnote>
  <w:footnote w:id="14">
    <w:p w14:paraId="4219FFC0" w14:textId="3F0B0F2B" w:rsidR="00160643" w:rsidRPr="00C649E0" w:rsidRDefault="00160643">
      <w:pPr>
        <w:pStyle w:val="FootnoteText"/>
        <w:rPr>
          <w:lang w:val="en-IN"/>
        </w:rPr>
      </w:pPr>
      <w:r>
        <w:rPr>
          <w:rStyle w:val="FootnoteReference"/>
        </w:rPr>
        <w:footnoteRef/>
      </w:r>
      <w:r>
        <w:t xml:space="preserve"> Thomson Reuters Practical Law, Nordic Bankruptcy Convention, &lt;&lt;</w:t>
      </w:r>
      <w:hyperlink r:id="rId7" w:anchor=":~:text=The%20Nordic%20Bankruptcy%20Convention%20of,applies%20between%20these%20Nordic%20countries" w:history="1">
        <w:r w:rsidRPr="008F6555">
          <w:rPr>
            <w:rStyle w:val="Hyperlink"/>
          </w:rPr>
          <w:t>https://uk.practicallaw.thomsonreuters.com/5-504-9659?transitionType=Default&amp;contextData=(sc.Default)&amp;firstPage=true#:~:text=The%20Nordic%20Bankruptcy%20Convention%20of,applies%20between%20these%20Nordic%20countries</w:t>
        </w:r>
      </w:hyperlink>
      <w:r>
        <w:t>&gt;&gt;, accessed on November 13, 2022</w:t>
      </w:r>
    </w:p>
  </w:footnote>
  <w:footnote w:id="15">
    <w:p w14:paraId="7DE1DD76" w14:textId="3662F50E" w:rsidR="00160643" w:rsidRPr="0032735C" w:rsidRDefault="00160643">
      <w:pPr>
        <w:pStyle w:val="FootnoteText"/>
        <w:rPr>
          <w:lang w:val="en-IN"/>
        </w:rPr>
      </w:pPr>
      <w:r>
        <w:rPr>
          <w:rStyle w:val="FootnoteReference"/>
        </w:rPr>
        <w:footnoteRef/>
      </w:r>
      <w:r>
        <w:t xml:space="preserve"> Omar. J Paul, “The Landscape of International Insolvency Law (Wiley InterScience, </w:t>
      </w:r>
      <w:r w:rsidRPr="00160643">
        <w:rPr>
          <w:i/>
        </w:rPr>
        <w:t xml:space="preserve">Int. </w:t>
      </w:r>
      <w:proofErr w:type="spellStart"/>
      <w:r w:rsidRPr="00160643">
        <w:rPr>
          <w:i/>
        </w:rPr>
        <w:t>Insolv</w:t>
      </w:r>
      <w:proofErr w:type="spellEnd"/>
      <w:r w:rsidRPr="00160643">
        <w:rPr>
          <w:i/>
        </w:rPr>
        <w:t>. Rev</w:t>
      </w:r>
      <w:r>
        <w:t>., Vol. 11: 173-200 (2002))</w:t>
      </w:r>
    </w:p>
  </w:footnote>
  <w:footnote w:id="16">
    <w:p w14:paraId="600895BF" w14:textId="363BFA2B" w:rsidR="00160643" w:rsidRPr="000A3547" w:rsidRDefault="00160643">
      <w:pPr>
        <w:pStyle w:val="FootnoteText"/>
        <w:rPr>
          <w:lang w:val="en-IN"/>
        </w:rPr>
      </w:pPr>
      <w:r>
        <w:rPr>
          <w:rStyle w:val="FootnoteReference"/>
        </w:rPr>
        <w:footnoteRef/>
      </w:r>
      <w:r>
        <w:t xml:space="preserve"> J L Westbrook, “Developments in Transnational Bankruptcy”, (1995) 39, St Louis University Law Journal 753, pp 753-757.</w:t>
      </w:r>
    </w:p>
  </w:footnote>
  <w:footnote w:id="17">
    <w:p w14:paraId="56DDC74B" w14:textId="2D22D2D3" w:rsidR="00160643" w:rsidRPr="000A3547" w:rsidRDefault="00160643">
      <w:pPr>
        <w:pStyle w:val="FootnoteText"/>
        <w:rPr>
          <w:lang w:val="en-IN"/>
        </w:rPr>
      </w:pPr>
      <w:r>
        <w:rPr>
          <w:rStyle w:val="FootnoteReference"/>
        </w:rPr>
        <w:footnoteRef/>
      </w:r>
      <w:r>
        <w:t xml:space="preserve"> United Nations Commission on International Trade Law, UNCITRAL Model Law on Cross-Border Insolvency (1997), &lt;&lt;</w:t>
      </w:r>
      <w:hyperlink r:id="rId8" w:history="1">
        <w:r w:rsidRPr="008F6555">
          <w:rPr>
            <w:rStyle w:val="Hyperlink"/>
          </w:rPr>
          <w:t>https://uncitral.un.org/en/texts/insolvency/modellaw/cross-border_insolvency</w:t>
        </w:r>
      </w:hyperlink>
      <w:r>
        <w:t>&gt;&gt;, accessed on November 13, 2022</w:t>
      </w:r>
    </w:p>
  </w:footnote>
  <w:footnote w:id="18">
    <w:p w14:paraId="6B41D312" w14:textId="43F29E8E" w:rsidR="00160643" w:rsidRPr="000A3547" w:rsidRDefault="00160643">
      <w:pPr>
        <w:pStyle w:val="FootnoteText"/>
        <w:rPr>
          <w:lang w:val="en-IN"/>
        </w:rPr>
      </w:pPr>
      <w:r>
        <w:rPr>
          <w:rStyle w:val="FootnoteReference"/>
        </w:rPr>
        <w:footnoteRef/>
      </w:r>
      <w:r>
        <w:t xml:space="preserve"> </w:t>
      </w:r>
      <w:r w:rsidRPr="000A3547">
        <w:rPr>
          <w:i/>
          <w:lang w:val="en-IN"/>
        </w:rPr>
        <w:t>Ibid</w:t>
      </w:r>
    </w:p>
  </w:footnote>
  <w:footnote w:id="19">
    <w:p w14:paraId="0717C05F" w14:textId="41DB65AD" w:rsidR="00160643" w:rsidRPr="00D847F9" w:rsidRDefault="00160643">
      <w:pPr>
        <w:pStyle w:val="FootnoteText"/>
        <w:rPr>
          <w:lang w:val="en-IN"/>
        </w:rPr>
      </w:pPr>
      <w:r>
        <w:rPr>
          <w:rStyle w:val="FootnoteReference"/>
        </w:rPr>
        <w:footnoteRef/>
      </w:r>
      <w:r>
        <w:t xml:space="preserve"> </w:t>
      </w:r>
      <w:r w:rsidRPr="00D847F9">
        <w:rPr>
          <w:i/>
          <w:lang w:val="en-IN"/>
        </w:rPr>
        <w:t>Ibid</w:t>
      </w:r>
    </w:p>
  </w:footnote>
  <w:footnote w:id="20">
    <w:p w14:paraId="35DD86DD" w14:textId="1429450D" w:rsidR="00160643" w:rsidRPr="002C2181" w:rsidRDefault="00160643">
      <w:pPr>
        <w:pStyle w:val="FootnoteText"/>
        <w:rPr>
          <w:lang w:val="en-IN"/>
        </w:rPr>
      </w:pPr>
      <w:r>
        <w:rPr>
          <w:rStyle w:val="FootnoteReference"/>
        </w:rPr>
        <w:footnoteRef/>
      </w:r>
      <w:r>
        <w:t xml:space="preserve"> Judicial Insolvency Network, </w:t>
      </w:r>
      <w:proofErr w:type="gramStart"/>
      <w:r>
        <w:t>About</w:t>
      </w:r>
      <w:proofErr w:type="gramEnd"/>
      <w:r>
        <w:t xml:space="preserve"> us, &lt;&lt;</w:t>
      </w:r>
      <w:hyperlink r:id="rId9" w:history="1">
        <w:r w:rsidRPr="008F6555">
          <w:rPr>
            <w:rStyle w:val="Hyperlink"/>
          </w:rPr>
          <w:t>https://www.jin-global.org/about-us.html</w:t>
        </w:r>
      </w:hyperlink>
      <w:r>
        <w:t>&gt;&gt;, accessed on November 13, 2022.</w:t>
      </w:r>
    </w:p>
  </w:footnote>
  <w:footnote w:id="21">
    <w:p w14:paraId="268C32C0" w14:textId="7B7830A8" w:rsidR="00160643" w:rsidRPr="002C2181" w:rsidRDefault="00160643">
      <w:pPr>
        <w:pStyle w:val="FootnoteText"/>
        <w:rPr>
          <w:lang w:val="en-IN"/>
        </w:rPr>
      </w:pPr>
      <w:r>
        <w:rPr>
          <w:rStyle w:val="FootnoteReference"/>
        </w:rPr>
        <w:footnoteRef/>
      </w:r>
      <w:r>
        <w:t xml:space="preserve"> Judicial Insolvency Network, JIN Guidelines, &lt;&lt;</w:t>
      </w:r>
      <w:hyperlink r:id="rId10" w:history="1">
        <w:r w:rsidRPr="008F6555">
          <w:rPr>
            <w:rStyle w:val="Hyperlink"/>
          </w:rPr>
          <w:t>https://www.jin-global.org/jin-guidelines.html</w:t>
        </w:r>
      </w:hyperlink>
      <w:r>
        <w:t>&gt;&gt;, accessed on November 13, 2022.</w:t>
      </w:r>
    </w:p>
  </w:footnote>
  <w:footnote w:id="22">
    <w:p w14:paraId="26C717DA" w14:textId="2F153E9B" w:rsidR="00160643" w:rsidRPr="00E01D35" w:rsidRDefault="00160643">
      <w:pPr>
        <w:pStyle w:val="FootnoteText"/>
        <w:rPr>
          <w:lang w:val="en-IN"/>
        </w:rPr>
      </w:pPr>
      <w:r>
        <w:rPr>
          <w:rStyle w:val="FootnoteReference"/>
        </w:rPr>
        <w:footnoteRef/>
      </w:r>
      <w:r>
        <w:t xml:space="preserve"> Judicial Insolvency Network, Modalities of Court-to-Court Communications, &lt;&lt;</w:t>
      </w:r>
      <w:hyperlink r:id="rId11" w:history="1">
        <w:r w:rsidRPr="008F6555">
          <w:rPr>
            <w:rStyle w:val="Hyperlink"/>
          </w:rPr>
          <w:t xml:space="preserve">https://jin-global.org/modalities.html&gt;&gt; </w:t>
        </w:r>
      </w:hyperlink>
      <w:r>
        <w:t>,accessed on November 13, 2022</w:t>
      </w:r>
    </w:p>
  </w:footnote>
  <w:footnote w:id="23">
    <w:p w14:paraId="0C9DDE69" w14:textId="6CE69C65" w:rsidR="00160643" w:rsidRPr="00E01D35" w:rsidRDefault="00160643">
      <w:pPr>
        <w:pStyle w:val="FootnoteText"/>
        <w:rPr>
          <w:lang w:val="en-IN"/>
        </w:rPr>
      </w:pPr>
      <w:r>
        <w:rPr>
          <w:rStyle w:val="FootnoteReference"/>
        </w:rPr>
        <w:footnoteRef/>
      </w:r>
      <w:r>
        <w:t xml:space="preserve"> Wessels. Bob, “Cross Border Insolvency Court-to-Court </w:t>
      </w:r>
      <w:r w:rsidR="00523309">
        <w:t>Cooperation</w:t>
      </w:r>
      <w:r>
        <w:t xml:space="preserve"> Principles gain wide support,  </w:t>
      </w:r>
      <w:r w:rsidR="00774615">
        <w:t>&lt;&lt;</w:t>
      </w:r>
      <w:hyperlink r:id="rId12" w:history="1">
        <w:r w:rsidR="00774615" w:rsidRPr="008F6555">
          <w:rPr>
            <w:rStyle w:val="Hyperlink"/>
          </w:rPr>
          <w:t>https://www.leidenlawblog.nl/articles/cross-border-insolvency-court-to-court-cooperation-principles-gain-wide-sup</w:t>
        </w:r>
      </w:hyperlink>
      <w:r w:rsidR="00774615">
        <w:t>&gt;&gt;, accessed on November 13, 2022.</w:t>
      </w:r>
    </w:p>
  </w:footnote>
  <w:footnote w:id="24">
    <w:p w14:paraId="68572661" w14:textId="0C7D60FD" w:rsidR="00160643" w:rsidRPr="00E01D35" w:rsidRDefault="00160643">
      <w:pPr>
        <w:pStyle w:val="FootnoteText"/>
        <w:rPr>
          <w:lang w:val="en-IN"/>
        </w:rPr>
      </w:pPr>
      <w:r>
        <w:rPr>
          <w:rStyle w:val="FootnoteReference"/>
        </w:rPr>
        <w:footnoteRef/>
      </w:r>
      <w:r>
        <w:t xml:space="preserve"> </w:t>
      </w:r>
      <w:r w:rsidR="00774615">
        <w:t>UNCITRAL, Status: UNCITRAL Model Law on Cross-Border Insolvency (1997), &lt;&lt;</w:t>
      </w:r>
      <w:hyperlink r:id="rId13" w:history="1">
        <w:r w:rsidR="00774615" w:rsidRPr="008F6555">
          <w:rPr>
            <w:rStyle w:val="Hyperlink"/>
          </w:rPr>
          <w:t>https://uncitral.un.org/en/texts/insolvency/modellaw/cross-border_insolvency/status</w:t>
        </w:r>
      </w:hyperlink>
      <w:r w:rsidR="00774615">
        <w:t xml:space="preserve">&gt;&gt;, accessed on November 13, 2022. </w:t>
      </w:r>
    </w:p>
  </w:footnote>
  <w:footnote w:id="25">
    <w:p w14:paraId="5E0921C3" w14:textId="2A34BD80" w:rsidR="00160643" w:rsidRPr="00801D7F" w:rsidRDefault="00160643">
      <w:pPr>
        <w:pStyle w:val="FootnoteText"/>
        <w:rPr>
          <w:lang w:val="en-IN"/>
        </w:rPr>
      </w:pPr>
      <w:r>
        <w:rPr>
          <w:rStyle w:val="FootnoteReference"/>
        </w:rPr>
        <w:footnoteRef/>
      </w:r>
      <w:r>
        <w:t xml:space="preserve"> </w:t>
      </w:r>
      <w:r w:rsidR="00774615" w:rsidRPr="00774615">
        <w:t>The Gazette is published by TSO (The Stationery Office) under the superintendence of His Majesty's Stationery Office (HMSO), part of </w:t>
      </w:r>
      <w:hyperlink r:id="rId14" w:tgtFrame="_blank" w:history="1">
        <w:r w:rsidR="00774615" w:rsidRPr="00774615">
          <w:t>The National Archives</w:t>
        </w:r>
      </w:hyperlink>
      <w:r w:rsidR="00774615">
        <w:t>, What is the Impact of Brexit on Cross-Border insolvency, &lt;&lt;</w:t>
      </w:r>
      <w:hyperlink r:id="rId15" w:history="1">
        <w:r w:rsidR="00774615" w:rsidRPr="008F6555">
          <w:rPr>
            <w:rStyle w:val="Hyperlink"/>
          </w:rPr>
          <w:t>https://www.thegazette.co.uk/insolvency/content/103914</w:t>
        </w:r>
      </w:hyperlink>
      <w:r w:rsidR="00774615">
        <w:t>&gt;&gt;, accessed on November 13, 2022.</w:t>
      </w:r>
    </w:p>
  </w:footnote>
  <w:footnote w:id="26">
    <w:p w14:paraId="16AC267E" w14:textId="5067C716" w:rsidR="00160643" w:rsidRPr="00E71A91" w:rsidRDefault="00160643">
      <w:pPr>
        <w:pStyle w:val="FootnoteText"/>
        <w:rPr>
          <w:lang w:val="en-IN"/>
        </w:rPr>
      </w:pPr>
      <w:r>
        <w:rPr>
          <w:rStyle w:val="FootnoteReference"/>
        </w:rPr>
        <w:footnoteRef/>
      </w:r>
      <w:r>
        <w:t xml:space="preserve"> </w:t>
      </w:r>
      <w:r w:rsidRPr="00E71A91">
        <w:rPr>
          <w:i/>
          <w:lang w:val="en-IN"/>
        </w:rPr>
        <w:t xml:space="preserve">Ibid </w:t>
      </w:r>
    </w:p>
  </w:footnote>
  <w:footnote w:id="27">
    <w:p w14:paraId="2F59AE1C" w14:textId="0F7ECA50" w:rsidR="00160643" w:rsidRPr="00801D7F" w:rsidRDefault="00160643">
      <w:pPr>
        <w:pStyle w:val="FootnoteText"/>
        <w:rPr>
          <w:lang w:val="en-IN"/>
        </w:rPr>
      </w:pPr>
      <w:r>
        <w:rPr>
          <w:rStyle w:val="FootnoteReference"/>
        </w:rPr>
        <w:footnoteRef/>
      </w:r>
      <w:r>
        <w:t xml:space="preserve"> </w:t>
      </w:r>
      <w:r w:rsidR="00774615">
        <w:t xml:space="preserve">EUR-Lex, Access to European Union Law, </w:t>
      </w:r>
      <w:r w:rsidR="00774615" w:rsidRPr="00774615">
        <w:t>Regulation (EU) 2015/848 of the European Parliament and of the Council of 20 May 2015 on insolvency proceedings (recast)</w:t>
      </w:r>
      <w:r w:rsidR="00774615">
        <w:t xml:space="preserve"> &lt;&lt;</w:t>
      </w:r>
      <w:hyperlink r:id="rId16" w:history="1">
        <w:r w:rsidR="00774615" w:rsidRPr="008F6555">
          <w:rPr>
            <w:rStyle w:val="Hyperlink"/>
          </w:rPr>
          <w:t>https://eur-lex.europa.eu/legal-content/en/TXT/?uri=CELEX%3A32015R0848</w:t>
        </w:r>
      </w:hyperlink>
      <w:r w:rsidR="00774615">
        <w:t>&gt;&gt;, accessed on November 13,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BD"/>
    <w:multiLevelType w:val="hybridMultilevel"/>
    <w:tmpl w:val="2EE8E7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4D2A5A"/>
    <w:multiLevelType w:val="hybridMultilevel"/>
    <w:tmpl w:val="67FC9F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6D5C3E"/>
    <w:multiLevelType w:val="hybridMultilevel"/>
    <w:tmpl w:val="1E34F7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574B1F"/>
    <w:multiLevelType w:val="hybridMultilevel"/>
    <w:tmpl w:val="F8AA2D4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BC1465"/>
    <w:multiLevelType w:val="hybridMultilevel"/>
    <w:tmpl w:val="55760EF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0A5657"/>
    <w:multiLevelType w:val="hybridMultilevel"/>
    <w:tmpl w:val="D70A541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F2E7A"/>
    <w:multiLevelType w:val="hybridMultilevel"/>
    <w:tmpl w:val="2F926238"/>
    <w:lvl w:ilvl="0" w:tplc="CD443D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FF6DC4"/>
    <w:multiLevelType w:val="hybridMultilevel"/>
    <w:tmpl w:val="8DDE0F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E543BE9"/>
    <w:multiLevelType w:val="hybridMultilevel"/>
    <w:tmpl w:val="76CE4A3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AA40E1"/>
    <w:multiLevelType w:val="hybridMultilevel"/>
    <w:tmpl w:val="9D8473D8"/>
    <w:lvl w:ilvl="0" w:tplc="9DA676FA">
      <w:start w:val="1"/>
      <w:numFmt w:val="decimal"/>
      <w:lvlText w:val="%1."/>
      <w:lvlJc w:val="left"/>
      <w:pPr>
        <w:ind w:left="720" w:hanging="360"/>
      </w:pPr>
      <w:rPr>
        <w:rFonts w:ascii="VAG Rounded Std Thin" w:hAnsi="VAG Rounded Std Thin" w:hint="default"/>
        <w:i w:val="0"/>
        <w:color w:val="000000" w:themeColor="text1"/>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45D28"/>
    <w:multiLevelType w:val="hybridMultilevel"/>
    <w:tmpl w:val="711A699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50709C9"/>
    <w:multiLevelType w:val="hybridMultilevel"/>
    <w:tmpl w:val="6390EB74"/>
    <w:lvl w:ilvl="0" w:tplc="EC82B604">
      <w:start w:val="1"/>
      <w:numFmt w:val="lowerLetter"/>
      <w:lvlText w:val="%1."/>
      <w:lvlJc w:val="left"/>
      <w:pPr>
        <w:ind w:left="720" w:hanging="360"/>
      </w:pPr>
      <w:rPr>
        <w:rFonts w:asciiTheme="minorHAnsi" w:hAnsiTheme="minorHAnsi" w:cstheme="minorBidi"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58725C7"/>
    <w:multiLevelType w:val="hybridMultilevel"/>
    <w:tmpl w:val="F410BB3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AB03D7B"/>
    <w:multiLevelType w:val="hybridMultilevel"/>
    <w:tmpl w:val="45FC42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3649F"/>
    <w:multiLevelType w:val="hybridMultilevel"/>
    <w:tmpl w:val="0DC6C12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DE91D45"/>
    <w:multiLevelType w:val="hybridMultilevel"/>
    <w:tmpl w:val="D9C61686"/>
    <w:lvl w:ilvl="0" w:tplc="25BAC4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F73425B"/>
    <w:multiLevelType w:val="hybridMultilevel"/>
    <w:tmpl w:val="93B87A3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36"/>
  </w:num>
  <w:num w:numId="3">
    <w:abstractNumId w:val="4"/>
  </w:num>
  <w:num w:numId="4">
    <w:abstractNumId w:val="6"/>
  </w:num>
  <w:num w:numId="5">
    <w:abstractNumId w:val="23"/>
  </w:num>
  <w:num w:numId="6">
    <w:abstractNumId w:val="30"/>
  </w:num>
  <w:num w:numId="7">
    <w:abstractNumId w:val="14"/>
  </w:num>
  <w:num w:numId="8">
    <w:abstractNumId w:val="37"/>
  </w:num>
  <w:num w:numId="9">
    <w:abstractNumId w:val="13"/>
  </w:num>
  <w:num w:numId="10">
    <w:abstractNumId w:val="34"/>
  </w:num>
  <w:num w:numId="11">
    <w:abstractNumId w:val="11"/>
  </w:num>
  <w:num w:numId="12">
    <w:abstractNumId w:val="35"/>
  </w:num>
  <w:num w:numId="13">
    <w:abstractNumId w:val="21"/>
  </w:num>
  <w:num w:numId="14">
    <w:abstractNumId w:val="20"/>
  </w:num>
  <w:num w:numId="15">
    <w:abstractNumId w:val="7"/>
  </w:num>
  <w:num w:numId="16">
    <w:abstractNumId w:val="24"/>
  </w:num>
  <w:num w:numId="17">
    <w:abstractNumId w:val="17"/>
  </w:num>
  <w:num w:numId="18">
    <w:abstractNumId w:val="19"/>
  </w:num>
  <w:num w:numId="19">
    <w:abstractNumId w:val="26"/>
  </w:num>
  <w:num w:numId="20">
    <w:abstractNumId w:val="10"/>
  </w:num>
  <w:num w:numId="21">
    <w:abstractNumId w:val="16"/>
  </w:num>
  <w:num w:numId="22">
    <w:abstractNumId w:val="1"/>
  </w:num>
  <w:num w:numId="23">
    <w:abstractNumId w:val="25"/>
  </w:num>
  <w:num w:numId="24">
    <w:abstractNumId w:val="2"/>
  </w:num>
  <w:num w:numId="25">
    <w:abstractNumId w:val="32"/>
  </w:num>
  <w:num w:numId="26">
    <w:abstractNumId w:val="29"/>
  </w:num>
  <w:num w:numId="27">
    <w:abstractNumId w:val="3"/>
  </w:num>
  <w:num w:numId="28">
    <w:abstractNumId w:val="38"/>
  </w:num>
  <w:num w:numId="29">
    <w:abstractNumId w:val="5"/>
  </w:num>
  <w:num w:numId="30">
    <w:abstractNumId w:val="15"/>
  </w:num>
  <w:num w:numId="31">
    <w:abstractNumId w:val="39"/>
  </w:num>
  <w:num w:numId="32">
    <w:abstractNumId w:val="9"/>
  </w:num>
  <w:num w:numId="33">
    <w:abstractNumId w:val="31"/>
  </w:num>
  <w:num w:numId="34">
    <w:abstractNumId w:val="12"/>
  </w:num>
  <w:num w:numId="35">
    <w:abstractNumId w:val="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3"/>
  </w:num>
  <w:num w:numId="39">
    <w:abstractNumId w:val="40"/>
  </w:num>
  <w:num w:numId="40">
    <w:abstractNumId w:val="22"/>
  </w:num>
  <w:num w:numId="4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948"/>
    <w:rsid w:val="00086BDD"/>
    <w:rsid w:val="00090933"/>
    <w:rsid w:val="00092378"/>
    <w:rsid w:val="00093BE8"/>
    <w:rsid w:val="00093FE2"/>
    <w:rsid w:val="0009471C"/>
    <w:rsid w:val="0009504E"/>
    <w:rsid w:val="00095CD8"/>
    <w:rsid w:val="000A01B9"/>
    <w:rsid w:val="000A0C1B"/>
    <w:rsid w:val="000A3547"/>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2239"/>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57369"/>
    <w:rsid w:val="001601EC"/>
    <w:rsid w:val="00160643"/>
    <w:rsid w:val="00160F0F"/>
    <w:rsid w:val="00161F1B"/>
    <w:rsid w:val="001620AF"/>
    <w:rsid w:val="001627E1"/>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1791"/>
    <w:rsid w:val="001A620B"/>
    <w:rsid w:val="001A716A"/>
    <w:rsid w:val="001A7E9A"/>
    <w:rsid w:val="001B0F70"/>
    <w:rsid w:val="001B4B6E"/>
    <w:rsid w:val="001B5016"/>
    <w:rsid w:val="001B6CEE"/>
    <w:rsid w:val="001C45FC"/>
    <w:rsid w:val="001C594A"/>
    <w:rsid w:val="001D14F8"/>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181"/>
    <w:rsid w:val="002C259C"/>
    <w:rsid w:val="002C3547"/>
    <w:rsid w:val="002D0021"/>
    <w:rsid w:val="002D10A3"/>
    <w:rsid w:val="002D2356"/>
    <w:rsid w:val="002D295D"/>
    <w:rsid w:val="002D3473"/>
    <w:rsid w:val="002E37B7"/>
    <w:rsid w:val="002E438E"/>
    <w:rsid w:val="002E4A02"/>
    <w:rsid w:val="002E4A1F"/>
    <w:rsid w:val="002E66F4"/>
    <w:rsid w:val="002F14C5"/>
    <w:rsid w:val="002F1956"/>
    <w:rsid w:val="002F2B8D"/>
    <w:rsid w:val="002F3440"/>
    <w:rsid w:val="002F3B17"/>
    <w:rsid w:val="002F5DD8"/>
    <w:rsid w:val="002F611F"/>
    <w:rsid w:val="002F75A3"/>
    <w:rsid w:val="002F75CD"/>
    <w:rsid w:val="002F7EB5"/>
    <w:rsid w:val="0030201F"/>
    <w:rsid w:val="00303C2F"/>
    <w:rsid w:val="0030558B"/>
    <w:rsid w:val="00306E87"/>
    <w:rsid w:val="00310FC2"/>
    <w:rsid w:val="003134B4"/>
    <w:rsid w:val="003144EF"/>
    <w:rsid w:val="003162BE"/>
    <w:rsid w:val="0032538A"/>
    <w:rsid w:val="00326292"/>
    <w:rsid w:val="00326415"/>
    <w:rsid w:val="0032735C"/>
    <w:rsid w:val="00330937"/>
    <w:rsid w:val="00330F31"/>
    <w:rsid w:val="00331BE3"/>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13D"/>
    <w:rsid w:val="0037386C"/>
    <w:rsid w:val="0037465A"/>
    <w:rsid w:val="0038255B"/>
    <w:rsid w:val="00382C98"/>
    <w:rsid w:val="0038325E"/>
    <w:rsid w:val="00384604"/>
    <w:rsid w:val="00384E3D"/>
    <w:rsid w:val="00385041"/>
    <w:rsid w:val="0038533C"/>
    <w:rsid w:val="00385D73"/>
    <w:rsid w:val="00391B12"/>
    <w:rsid w:val="0039357B"/>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36B1"/>
    <w:rsid w:val="003C4471"/>
    <w:rsid w:val="003D0A6D"/>
    <w:rsid w:val="003D100A"/>
    <w:rsid w:val="003D3045"/>
    <w:rsid w:val="003D3410"/>
    <w:rsid w:val="003D4300"/>
    <w:rsid w:val="003D6AC4"/>
    <w:rsid w:val="003D7B57"/>
    <w:rsid w:val="003E004D"/>
    <w:rsid w:val="003E064D"/>
    <w:rsid w:val="003E0B16"/>
    <w:rsid w:val="003E230D"/>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783"/>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747"/>
    <w:rsid w:val="00466ED6"/>
    <w:rsid w:val="00467C71"/>
    <w:rsid w:val="0047084C"/>
    <w:rsid w:val="00470A63"/>
    <w:rsid w:val="00470C55"/>
    <w:rsid w:val="004715C1"/>
    <w:rsid w:val="004731F4"/>
    <w:rsid w:val="00481FC8"/>
    <w:rsid w:val="0048258B"/>
    <w:rsid w:val="00482FE3"/>
    <w:rsid w:val="0048465E"/>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3309"/>
    <w:rsid w:val="00524728"/>
    <w:rsid w:val="00524840"/>
    <w:rsid w:val="00525459"/>
    <w:rsid w:val="00525C99"/>
    <w:rsid w:val="0052732A"/>
    <w:rsid w:val="00527527"/>
    <w:rsid w:val="00530010"/>
    <w:rsid w:val="00530CA0"/>
    <w:rsid w:val="00532283"/>
    <w:rsid w:val="0053234D"/>
    <w:rsid w:val="005323A7"/>
    <w:rsid w:val="005331CA"/>
    <w:rsid w:val="00533746"/>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2FD6"/>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5C"/>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5E8"/>
    <w:rsid w:val="005E1B79"/>
    <w:rsid w:val="005E1EA8"/>
    <w:rsid w:val="005E2B20"/>
    <w:rsid w:val="005E5A66"/>
    <w:rsid w:val="005E605E"/>
    <w:rsid w:val="005E645E"/>
    <w:rsid w:val="005F026D"/>
    <w:rsid w:val="005F0764"/>
    <w:rsid w:val="005F19FA"/>
    <w:rsid w:val="005F244F"/>
    <w:rsid w:val="005F2D0B"/>
    <w:rsid w:val="005F382F"/>
    <w:rsid w:val="005F453F"/>
    <w:rsid w:val="005F4B31"/>
    <w:rsid w:val="005F5449"/>
    <w:rsid w:val="005F6059"/>
    <w:rsid w:val="0060397D"/>
    <w:rsid w:val="00604723"/>
    <w:rsid w:val="00610388"/>
    <w:rsid w:val="00611704"/>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550A"/>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07C"/>
    <w:rsid w:val="006643E7"/>
    <w:rsid w:val="006661EF"/>
    <w:rsid w:val="006746CB"/>
    <w:rsid w:val="00677650"/>
    <w:rsid w:val="00677AEB"/>
    <w:rsid w:val="00680EF2"/>
    <w:rsid w:val="00682A3E"/>
    <w:rsid w:val="006850AE"/>
    <w:rsid w:val="006867F5"/>
    <w:rsid w:val="00686C53"/>
    <w:rsid w:val="00687A1D"/>
    <w:rsid w:val="00692852"/>
    <w:rsid w:val="0069635E"/>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5FA4"/>
    <w:rsid w:val="006E6A1F"/>
    <w:rsid w:val="006E6A6A"/>
    <w:rsid w:val="006E77B0"/>
    <w:rsid w:val="006F6B2E"/>
    <w:rsid w:val="006F734A"/>
    <w:rsid w:val="0070048D"/>
    <w:rsid w:val="00700D83"/>
    <w:rsid w:val="00702ECD"/>
    <w:rsid w:val="00704852"/>
    <w:rsid w:val="00704C24"/>
    <w:rsid w:val="00705A77"/>
    <w:rsid w:val="007074E9"/>
    <w:rsid w:val="00707954"/>
    <w:rsid w:val="00707BC5"/>
    <w:rsid w:val="00713CA6"/>
    <w:rsid w:val="00713DA4"/>
    <w:rsid w:val="007142FA"/>
    <w:rsid w:val="00714BF1"/>
    <w:rsid w:val="00720D75"/>
    <w:rsid w:val="00721383"/>
    <w:rsid w:val="007216AD"/>
    <w:rsid w:val="00726E9A"/>
    <w:rsid w:val="00727864"/>
    <w:rsid w:val="007333CC"/>
    <w:rsid w:val="007335D8"/>
    <w:rsid w:val="0073399A"/>
    <w:rsid w:val="007369C7"/>
    <w:rsid w:val="00741D74"/>
    <w:rsid w:val="00743531"/>
    <w:rsid w:val="007452BB"/>
    <w:rsid w:val="007462D9"/>
    <w:rsid w:val="00746A22"/>
    <w:rsid w:val="00747AFB"/>
    <w:rsid w:val="00751986"/>
    <w:rsid w:val="0075428A"/>
    <w:rsid w:val="00756ABD"/>
    <w:rsid w:val="007576A3"/>
    <w:rsid w:val="007603F5"/>
    <w:rsid w:val="00760A70"/>
    <w:rsid w:val="00760BB2"/>
    <w:rsid w:val="0076181C"/>
    <w:rsid w:val="00764DB0"/>
    <w:rsid w:val="007671EB"/>
    <w:rsid w:val="0076764D"/>
    <w:rsid w:val="0076766F"/>
    <w:rsid w:val="00770DF5"/>
    <w:rsid w:val="00774615"/>
    <w:rsid w:val="0077498C"/>
    <w:rsid w:val="00777070"/>
    <w:rsid w:val="00782B3F"/>
    <w:rsid w:val="00784128"/>
    <w:rsid w:val="0078662F"/>
    <w:rsid w:val="00790B4C"/>
    <w:rsid w:val="0079206E"/>
    <w:rsid w:val="00793173"/>
    <w:rsid w:val="007958F0"/>
    <w:rsid w:val="00797A77"/>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63A"/>
    <w:rsid w:val="007E6BA4"/>
    <w:rsid w:val="007F19A2"/>
    <w:rsid w:val="007F21A1"/>
    <w:rsid w:val="007F41F8"/>
    <w:rsid w:val="007F5B4C"/>
    <w:rsid w:val="00801B30"/>
    <w:rsid w:val="00801D7F"/>
    <w:rsid w:val="00803BE9"/>
    <w:rsid w:val="00804000"/>
    <w:rsid w:val="0080454E"/>
    <w:rsid w:val="00804C32"/>
    <w:rsid w:val="00806302"/>
    <w:rsid w:val="00807119"/>
    <w:rsid w:val="008071D5"/>
    <w:rsid w:val="00807FE8"/>
    <w:rsid w:val="00811865"/>
    <w:rsid w:val="00814A55"/>
    <w:rsid w:val="0081547D"/>
    <w:rsid w:val="0082483F"/>
    <w:rsid w:val="00826B28"/>
    <w:rsid w:val="00827849"/>
    <w:rsid w:val="008279C0"/>
    <w:rsid w:val="00841E70"/>
    <w:rsid w:val="00845226"/>
    <w:rsid w:val="008473AA"/>
    <w:rsid w:val="00852883"/>
    <w:rsid w:val="00852F37"/>
    <w:rsid w:val="008571F6"/>
    <w:rsid w:val="00857A02"/>
    <w:rsid w:val="00861E51"/>
    <w:rsid w:val="008639A3"/>
    <w:rsid w:val="00870B96"/>
    <w:rsid w:val="008723F3"/>
    <w:rsid w:val="00873246"/>
    <w:rsid w:val="00875E2E"/>
    <w:rsid w:val="00880F99"/>
    <w:rsid w:val="00881DA8"/>
    <w:rsid w:val="00881DE6"/>
    <w:rsid w:val="008837A6"/>
    <w:rsid w:val="008841E5"/>
    <w:rsid w:val="00884D7C"/>
    <w:rsid w:val="0089145D"/>
    <w:rsid w:val="008924C5"/>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1D8D"/>
    <w:rsid w:val="009727DF"/>
    <w:rsid w:val="009729E8"/>
    <w:rsid w:val="00975009"/>
    <w:rsid w:val="00975640"/>
    <w:rsid w:val="00975B29"/>
    <w:rsid w:val="00976DA5"/>
    <w:rsid w:val="009773BA"/>
    <w:rsid w:val="00980DF0"/>
    <w:rsid w:val="00981608"/>
    <w:rsid w:val="00984680"/>
    <w:rsid w:val="00985DA1"/>
    <w:rsid w:val="00985F9E"/>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294C"/>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0788F"/>
    <w:rsid w:val="00A13F8F"/>
    <w:rsid w:val="00A149B7"/>
    <w:rsid w:val="00A177BC"/>
    <w:rsid w:val="00A17930"/>
    <w:rsid w:val="00A2274A"/>
    <w:rsid w:val="00A235B7"/>
    <w:rsid w:val="00A2369A"/>
    <w:rsid w:val="00A249AC"/>
    <w:rsid w:val="00A27A7A"/>
    <w:rsid w:val="00A301D1"/>
    <w:rsid w:val="00A31881"/>
    <w:rsid w:val="00A40529"/>
    <w:rsid w:val="00A407EF"/>
    <w:rsid w:val="00A40E98"/>
    <w:rsid w:val="00A411B7"/>
    <w:rsid w:val="00A45800"/>
    <w:rsid w:val="00A46B4C"/>
    <w:rsid w:val="00A5117B"/>
    <w:rsid w:val="00A5564A"/>
    <w:rsid w:val="00A560B6"/>
    <w:rsid w:val="00A566E3"/>
    <w:rsid w:val="00A56CF7"/>
    <w:rsid w:val="00A56DBC"/>
    <w:rsid w:val="00A60074"/>
    <w:rsid w:val="00A646E2"/>
    <w:rsid w:val="00A651A9"/>
    <w:rsid w:val="00A6627C"/>
    <w:rsid w:val="00A71019"/>
    <w:rsid w:val="00A73867"/>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3E5C"/>
    <w:rsid w:val="00AB5A37"/>
    <w:rsid w:val="00AB61D6"/>
    <w:rsid w:val="00AB63DE"/>
    <w:rsid w:val="00AB685C"/>
    <w:rsid w:val="00AB6C2D"/>
    <w:rsid w:val="00AB76D6"/>
    <w:rsid w:val="00AC08F7"/>
    <w:rsid w:val="00AC126D"/>
    <w:rsid w:val="00AC3075"/>
    <w:rsid w:val="00AC36E5"/>
    <w:rsid w:val="00AC3839"/>
    <w:rsid w:val="00AC50F0"/>
    <w:rsid w:val="00AC7082"/>
    <w:rsid w:val="00AD0662"/>
    <w:rsid w:val="00AD1B6B"/>
    <w:rsid w:val="00AD331C"/>
    <w:rsid w:val="00AD57A5"/>
    <w:rsid w:val="00AD65A8"/>
    <w:rsid w:val="00AD74AD"/>
    <w:rsid w:val="00AD7A9A"/>
    <w:rsid w:val="00AE027F"/>
    <w:rsid w:val="00AE1002"/>
    <w:rsid w:val="00AE4D6F"/>
    <w:rsid w:val="00AF228E"/>
    <w:rsid w:val="00AF455B"/>
    <w:rsid w:val="00AF5899"/>
    <w:rsid w:val="00B0020D"/>
    <w:rsid w:val="00B0123F"/>
    <w:rsid w:val="00B04004"/>
    <w:rsid w:val="00B0568C"/>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2450"/>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0C06"/>
    <w:rsid w:val="00BE2464"/>
    <w:rsid w:val="00BF2B49"/>
    <w:rsid w:val="00BF2E7A"/>
    <w:rsid w:val="00BF3D02"/>
    <w:rsid w:val="00BF40B9"/>
    <w:rsid w:val="00BF50F7"/>
    <w:rsid w:val="00BF5D90"/>
    <w:rsid w:val="00C00231"/>
    <w:rsid w:val="00C01017"/>
    <w:rsid w:val="00C02F29"/>
    <w:rsid w:val="00C04632"/>
    <w:rsid w:val="00C07B0B"/>
    <w:rsid w:val="00C07B3A"/>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3B3"/>
    <w:rsid w:val="00C376EB"/>
    <w:rsid w:val="00C4187E"/>
    <w:rsid w:val="00C444EC"/>
    <w:rsid w:val="00C45A03"/>
    <w:rsid w:val="00C46EC1"/>
    <w:rsid w:val="00C50F86"/>
    <w:rsid w:val="00C53E2C"/>
    <w:rsid w:val="00C550C8"/>
    <w:rsid w:val="00C552BE"/>
    <w:rsid w:val="00C56136"/>
    <w:rsid w:val="00C56B61"/>
    <w:rsid w:val="00C56D56"/>
    <w:rsid w:val="00C570AC"/>
    <w:rsid w:val="00C5730D"/>
    <w:rsid w:val="00C60631"/>
    <w:rsid w:val="00C606C3"/>
    <w:rsid w:val="00C620F4"/>
    <w:rsid w:val="00C629CB"/>
    <w:rsid w:val="00C649E0"/>
    <w:rsid w:val="00C71F4F"/>
    <w:rsid w:val="00C72848"/>
    <w:rsid w:val="00C72BE6"/>
    <w:rsid w:val="00C750BA"/>
    <w:rsid w:val="00C7736C"/>
    <w:rsid w:val="00C80272"/>
    <w:rsid w:val="00C82D87"/>
    <w:rsid w:val="00C8712A"/>
    <w:rsid w:val="00C92A0D"/>
    <w:rsid w:val="00C952A2"/>
    <w:rsid w:val="00C963D3"/>
    <w:rsid w:val="00CA1802"/>
    <w:rsid w:val="00CA36CC"/>
    <w:rsid w:val="00CB262C"/>
    <w:rsid w:val="00CB2CBB"/>
    <w:rsid w:val="00CB3C8C"/>
    <w:rsid w:val="00CB7283"/>
    <w:rsid w:val="00CB7CAC"/>
    <w:rsid w:val="00CC467D"/>
    <w:rsid w:val="00CC5051"/>
    <w:rsid w:val="00CC5335"/>
    <w:rsid w:val="00CC54DC"/>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0986"/>
    <w:rsid w:val="00D54E7A"/>
    <w:rsid w:val="00D57C59"/>
    <w:rsid w:val="00D60215"/>
    <w:rsid w:val="00D60874"/>
    <w:rsid w:val="00D63EFD"/>
    <w:rsid w:val="00D6588F"/>
    <w:rsid w:val="00D676F1"/>
    <w:rsid w:val="00D706C5"/>
    <w:rsid w:val="00D714E4"/>
    <w:rsid w:val="00D829EB"/>
    <w:rsid w:val="00D84752"/>
    <w:rsid w:val="00D847F9"/>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42B"/>
    <w:rsid w:val="00E009E1"/>
    <w:rsid w:val="00E00C00"/>
    <w:rsid w:val="00E00E54"/>
    <w:rsid w:val="00E01C69"/>
    <w:rsid w:val="00E01D35"/>
    <w:rsid w:val="00E041F9"/>
    <w:rsid w:val="00E05837"/>
    <w:rsid w:val="00E07C5A"/>
    <w:rsid w:val="00E10A73"/>
    <w:rsid w:val="00E12C13"/>
    <w:rsid w:val="00E15BA9"/>
    <w:rsid w:val="00E161D2"/>
    <w:rsid w:val="00E177E2"/>
    <w:rsid w:val="00E17BF1"/>
    <w:rsid w:val="00E17F43"/>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A91"/>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D7FCE"/>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064B5"/>
    <w:rsid w:val="00F106CE"/>
    <w:rsid w:val="00F1096A"/>
    <w:rsid w:val="00F10F50"/>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335"/>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E68C8"/>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Emphasis">
    <w:name w:val="Emphasis"/>
    <w:basedOn w:val="DefaultParagraphFont"/>
    <w:uiPriority w:val="20"/>
    <w:qFormat/>
    <w:rsid w:val="008639A3"/>
    <w:rPr>
      <w:i/>
      <w:iCs/>
    </w:rPr>
  </w:style>
  <w:style w:type="character" w:styleId="UnresolvedMention">
    <w:name w:val="Unresolved Mention"/>
    <w:basedOn w:val="DefaultParagraphFont"/>
    <w:uiPriority w:val="99"/>
    <w:semiHidden/>
    <w:unhideWhenUsed/>
    <w:rsid w:val="00702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6216060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search?rlz=1C1GCEU_enIN953IN953&amp;q=synonymously&amp;spell=1&amp;sa=X&amp;ved=2ahUKEwjQ6q3pu6v7AhUSxjgGHdytDYsQkeECKAB6BAgHEA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citral.un.org/en/texts/insolvency/modellaw/cross-border_insolvency" TargetMode="External"/><Relationship Id="rId13" Type="http://schemas.openxmlformats.org/officeDocument/2006/relationships/hyperlink" Target="https://uncitral.un.org/en/texts/insolvency/modellaw/cross-border_insolvency/status" TargetMode="External"/><Relationship Id="rId3" Type="http://schemas.openxmlformats.org/officeDocument/2006/relationships/hyperlink" Target="https://www.oecd.org/daf/ca/corporategovernanceprinciples/1873992.pdf" TargetMode="External"/><Relationship Id="rId7" Type="http://schemas.openxmlformats.org/officeDocument/2006/relationships/hyperlink" Target="https://uk.practicallaw.thomsonreuters.com/5-504-9659?transitionType=Default&amp;contextData=(sc.Default)&amp;firstPage=true" TargetMode="External"/><Relationship Id="rId12" Type="http://schemas.openxmlformats.org/officeDocument/2006/relationships/hyperlink" Target="https://www.leidenlawblog.nl/articles/cross-border-insolvency-court-to-court-cooperation-principles-gain-wide-sup" TargetMode="External"/><Relationship Id="rId2" Type="http://schemas.openxmlformats.org/officeDocument/2006/relationships/hyperlink" Target="https://www.imf.org/external/pubs/ft/fandd/1998/06/imfstaff.htm" TargetMode="External"/><Relationship Id="rId16" Type="http://schemas.openxmlformats.org/officeDocument/2006/relationships/hyperlink" Target="https://eur-lex.europa.eu/legal-content/en/TXT/?uri=CELEX%3A32015R0848" TargetMode="External"/><Relationship Id="rId1" Type="http://schemas.openxmlformats.org/officeDocument/2006/relationships/hyperlink" Target="https://www.lexafrica.com/wp-content/uploads/2022/05/Guide-to-Insolvency-and-Business-Restructuring-in-Africa-Digital.pdf" TargetMode="External"/><Relationship Id="rId6" Type="http://schemas.openxmlformats.org/officeDocument/2006/relationships/hyperlink" Target="https://harvardilj.org/2021/05/ecocide-law-the-use-of-hard-law-to-complement-soft-law/" TargetMode="External"/><Relationship Id="rId11" Type="http://schemas.openxmlformats.org/officeDocument/2006/relationships/hyperlink" Target="https://jin-global.org/modalities.html%3e%3e%20" TargetMode="External"/><Relationship Id="rId5" Type="http://schemas.openxmlformats.org/officeDocument/2006/relationships/hyperlink" Target="https://www.imf.org/external/pubs/ft/orderly/" TargetMode="External"/><Relationship Id="rId15" Type="http://schemas.openxmlformats.org/officeDocument/2006/relationships/hyperlink" Target="https://www.thegazette.co.uk/insolvency/content/103914" TargetMode="External"/><Relationship Id="rId10" Type="http://schemas.openxmlformats.org/officeDocument/2006/relationships/hyperlink" Target="https://www.jin-global.org/jin-guidelines.html" TargetMode="External"/><Relationship Id="rId4" Type="http://schemas.openxmlformats.org/officeDocument/2006/relationships/hyperlink" Target="https://www.oecd.org/daf/ca/corporategovernanceprinciples/20215534.pdf" TargetMode="External"/><Relationship Id="rId9" Type="http://schemas.openxmlformats.org/officeDocument/2006/relationships/hyperlink" Target="https://www.jin-global.org/about-us.html" TargetMode="External"/><Relationship Id="rId14" Type="http://schemas.openxmlformats.org/officeDocument/2006/relationships/hyperlink" Target="http://www.nationalarchiv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E35B1B-5AA2-41C8-8016-D70FE01D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6321</Words>
  <Characters>36035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Rashika Sharma</cp:lastModifiedBy>
  <cp:revision>17</cp:revision>
  <cp:lastPrinted>2020-06-12T02:43:00Z</cp:lastPrinted>
  <dcterms:created xsi:type="dcterms:W3CDTF">2022-11-13T15:04:00Z</dcterms:created>
  <dcterms:modified xsi:type="dcterms:W3CDTF">2022-11-14T13:07:00Z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