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3336D7" w:rsidRDefault="002D2356" w:rsidP="008071D5">
      <w:pPr>
        <w:pStyle w:val="ListParagraph"/>
        <w:numPr>
          <w:ilvl w:val="0"/>
          <w:numId w:val="15"/>
        </w:numPr>
        <w:ind w:left="425" w:hanging="357"/>
        <w:jc w:val="both"/>
        <w:rPr>
          <w:rFonts w:ascii="Avenir Next" w:hAnsi="Avenir Next" w:cs="Arial"/>
          <w:sz w:val="22"/>
          <w:szCs w:val="22"/>
          <w:highlight w:val="yellow"/>
        </w:rPr>
      </w:pPr>
      <w:r w:rsidRPr="003336D7">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3336D7">
        <w:rPr>
          <w:rFonts w:ascii="Avenir Next" w:hAnsi="Avenir Next" w:cs="Arial"/>
          <w:sz w:val="22"/>
          <w:szCs w:val="22"/>
          <w:highlight w:val="yellow"/>
          <w:vertAlign w:val="superscript"/>
        </w:rPr>
        <w:t>th</w:t>
      </w:r>
      <w:r w:rsidRPr="003336D7">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true since, on a </w:t>
      </w:r>
      <w:proofErr w:type="gramStart"/>
      <w:r w:rsidRPr="004216EA">
        <w:rPr>
          <w:rFonts w:ascii="Avenir Next" w:hAnsi="Avenir Next" w:cs="Arial"/>
          <w:sz w:val="22"/>
          <w:szCs w:val="22"/>
        </w:rPr>
        <w:t>principle</w:t>
      </w:r>
      <w:proofErr w:type="gramEnd"/>
      <w:r w:rsidRPr="004216EA">
        <w:rPr>
          <w:rFonts w:ascii="Avenir Next" w:hAnsi="Avenir Next" w:cs="Arial"/>
          <w:sz w:val="22"/>
          <w:szCs w:val="22"/>
        </w:rPr>
        <w:t xml:space="preserv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AB63DE" w:rsidRDefault="002D2356" w:rsidP="008071D5">
      <w:pPr>
        <w:pStyle w:val="ListParagraph"/>
        <w:numPr>
          <w:ilvl w:val="0"/>
          <w:numId w:val="16"/>
        </w:numPr>
        <w:ind w:left="426"/>
        <w:jc w:val="both"/>
        <w:rPr>
          <w:rFonts w:ascii="Avenir Next" w:hAnsi="Avenir Next" w:cs="Arial"/>
          <w:sz w:val="22"/>
          <w:szCs w:val="22"/>
        </w:rPr>
      </w:pPr>
      <w:r w:rsidRPr="003336D7">
        <w:rPr>
          <w:rFonts w:ascii="Avenir Next" w:hAnsi="Avenir Next" w:cs="Arial"/>
          <w:sz w:val="22"/>
          <w:szCs w:val="22"/>
          <w:highlight w:val="yellow"/>
        </w:rPr>
        <w:t>This statement is untrue since in both systems the notion of discharge only developed at a later stage</w:t>
      </w:r>
      <w:r w:rsidRPr="00AB63DE">
        <w:rPr>
          <w:rFonts w:ascii="Avenir Next" w:hAnsi="Avenir Next" w:cs="Arial"/>
          <w:sz w:val="22"/>
          <w:szCs w:val="22"/>
        </w:rPr>
        <w:t>.</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w:t>
      </w:r>
      <w:proofErr w:type="gramStart"/>
      <w:r w:rsidR="0009504E" w:rsidRPr="004216EA">
        <w:rPr>
          <w:rFonts w:ascii="Avenir Next" w:hAnsi="Avenir Next" w:cs="Arial"/>
          <w:sz w:val="22"/>
          <w:szCs w:val="22"/>
        </w:rPr>
        <w:t>own</w:t>
      </w:r>
      <w:r w:rsidRPr="004216EA">
        <w:rPr>
          <w:rFonts w:ascii="Avenir Next" w:hAnsi="Avenir Next" w:cs="Arial"/>
          <w:sz w:val="22"/>
          <w:szCs w:val="22"/>
        </w:rPr>
        <w:t xml:space="preserve">  single</w:t>
      </w:r>
      <w:proofErr w:type="gramEnd"/>
      <w:r w:rsidRPr="004216EA">
        <w:rPr>
          <w:rFonts w:ascii="Avenir Next" w:hAnsi="Avenir Next" w:cs="Arial"/>
          <w:sz w:val="22"/>
          <w:szCs w:val="22"/>
        </w:rPr>
        <w:t xml:space="preserv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F73426" w:rsidRDefault="002D2356" w:rsidP="008071D5">
      <w:pPr>
        <w:pStyle w:val="ListParagraph"/>
        <w:numPr>
          <w:ilvl w:val="0"/>
          <w:numId w:val="17"/>
        </w:numPr>
        <w:ind w:left="426"/>
        <w:jc w:val="both"/>
        <w:rPr>
          <w:rFonts w:ascii="Avenir Next" w:hAnsi="Avenir Next" w:cs="Arial"/>
          <w:sz w:val="22"/>
          <w:szCs w:val="22"/>
          <w:highlight w:val="yellow"/>
        </w:rPr>
      </w:pPr>
      <w:r w:rsidRPr="00F73426">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gramStart"/>
      <w:r w:rsidRPr="00CC5ECB">
        <w:rPr>
          <w:rFonts w:ascii="Avenir Next" w:hAnsi="Avenir Next" w:cs="Arial"/>
          <w:sz w:val="22"/>
          <w:szCs w:val="22"/>
        </w:rPr>
        <w:t>ie</w:t>
      </w:r>
      <w:proofErr w:type="gram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594981" w:rsidRDefault="00466ED6" w:rsidP="008071D5">
      <w:pPr>
        <w:pStyle w:val="ListParagraph"/>
        <w:numPr>
          <w:ilvl w:val="0"/>
          <w:numId w:val="18"/>
        </w:numPr>
        <w:ind w:left="426"/>
        <w:jc w:val="both"/>
        <w:rPr>
          <w:rFonts w:ascii="Avenir Next" w:hAnsi="Avenir Next" w:cs="Arial"/>
          <w:sz w:val="22"/>
          <w:szCs w:val="22"/>
          <w:highlight w:val="yellow"/>
        </w:rPr>
      </w:pPr>
      <w:r w:rsidRPr="00594981">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w:t>
      </w:r>
      <w:proofErr w:type="gramStart"/>
      <w:r w:rsidRPr="00CC5ECB">
        <w:rPr>
          <w:rFonts w:ascii="Avenir Next" w:hAnsi="Avenir Next" w:cs="Arial"/>
          <w:sz w:val="22"/>
          <w:szCs w:val="22"/>
        </w:rPr>
        <w:t>since  insolvent</w:t>
      </w:r>
      <w:proofErr w:type="gramEnd"/>
      <w:r w:rsidRPr="00CC5ECB">
        <w:rPr>
          <w:rFonts w:ascii="Avenir Next" w:hAnsi="Avenir Next" w:cs="Arial"/>
          <w:sz w:val="22"/>
          <w:szCs w:val="22"/>
        </w:rPr>
        <w:t xml:space="preserve">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F7231E" w:rsidRDefault="002D2356" w:rsidP="008071D5">
      <w:pPr>
        <w:pStyle w:val="ListParagraph"/>
        <w:numPr>
          <w:ilvl w:val="0"/>
          <w:numId w:val="19"/>
        </w:numPr>
        <w:ind w:left="425" w:hanging="357"/>
        <w:jc w:val="both"/>
        <w:rPr>
          <w:rFonts w:ascii="Avenir Next" w:hAnsi="Avenir Next" w:cs="Arial"/>
          <w:sz w:val="22"/>
          <w:szCs w:val="22"/>
          <w:highlight w:val="yellow"/>
        </w:rPr>
      </w:pPr>
      <w:r w:rsidRPr="00F7231E">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F7231E"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F7231E">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Pr="002A3F9E" w:rsidRDefault="002D2356"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2A3F9E">
        <w:rPr>
          <w:rFonts w:ascii="Avenir Next" w:eastAsiaTheme="minorHAnsi" w:hAnsi="Avenir Next" w:cs="Arial"/>
          <w:sz w:val="22"/>
          <w:szCs w:val="22"/>
          <w:highlight w:val="yellow"/>
          <w:lang w:val="en-GB"/>
        </w:rPr>
        <w:t>It is relevant</w:t>
      </w:r>
      <w:r w:rsidR="009A0501" w:rsidRPr="002A3F9E">
        <w:rPr>
          <w:rFonts w:ascii="Avenir Next" w:eastAsiaTheme="minorHAnsi" w:hAnsi="Avenir Next" w:cs="Arial"/>
          <w:sz w:val="22"/>
          <w:szCs w:val="22"/>
          <w:highlight w:val="yellow"/>
          <w:lang w:val="en-GB"/>
        </w:rPr>
        <w:t xml:space="preserve"> factor for the English Court hearing the matter</w:t>
      </w:r>
      <w:r w:rsidR="0095223A" w:rsidRPr="002A3F9E">
        <w:rPr>
          <w:rFonts w:ascii="Avenir Next" w:eastAsiaTheme="minorHAnsi" w:hAnsi="Avenir Next" w:cs="Arial"/>
          <w:sz w:val="22"/>
          <w:szCs w:val="22"/>
          <w:highlight w:val="yellow"/>
          <w:lang w:val="en-GB"/>
        </w:rPr>
        <w:t xml:space="preserve"> </w:t>
      </w:r>
      <w:r w:rsidR="00D910D5" w:rsidRPr="002A3F9E">
        <w:rPr>
          <w:rFonts w:ascii="Avenir Next" w:eastAsiaTheme="minorHAnsi" w:hAnsi="Avenir Next" w:cs="Arial"/>
          <w:sz w:val="22"/>
          <w:szCs w:val="22"/>
          <w:highlight w:val="yellow"/>
          <w:lang w:val="en-GB"/>
        </w:rPr>
        <w:t>to consider</w:t>
      </w:r>
      <w:r w:rsidR="009A0501" w:rsidRPr="002A3F9E">
        <w:rPr>
          <w:rFonts w:ascii="Avenir Next" w:eastAsiaTheme="minorHAnsi" w:hAnsi="Avenir Next" w:cs="Arial"/>
          <w:sz w:val="22"/>
          <w:szCs w:val="22"/>
          <w:highlight w:val="yellow"/>
          <w:lang w:val="en-GB"/>
        </w:rPr>
        <w:t xml:space="preserve"> whether Germany</w:t>
      </w:r>
      <w:r w:rsidRPr="002A3F9E">
        <w:rPr>
          <w:rFonts w:ascii="Avenir Next" w:eastAsiaTheme="minorHAnsi" w:hAnsi="Avenir Next" w:cs="Arial"/>
          <w:sz w:val="22"/>
          <w:szCs w:val="22"/>
          <w:highlight w:val="yellow"/>
          <w:lang w:val="en-GB"/>
        </w:rPr>
        <w:t xml:space="preserve"> has adopted the UNCITRAL Model Law on Cross-border Insolvency 1997</w:t>
      </w:r>
      <w:r w:rsidR="009A0501" w:rsidRPr="002A3F9E">
        <w:rPr>
          <w:rFonts w:ascii="Avenir Next" w:eastAsiaTheme="minorHAnsi" w:hAnsi="Avenir Next" w:cs="Arial"/>
          <w:sz w:val="22"/>
          <w:szCs w:val="22"/>
          <w:highlight w:val="yellow"/>
          <w:lang w:val="en-GB"/>
        </w:rPr>
        <w:t>, or not</w:t>
      </w:r>
      <w:r w:rsidRPr="002A3F9E">
        <w:rPr>
          <w:rFonts w:ascii="Avenir Next" w:eastAsiaTheme="minorHAnsi" w:hAnsi="Avenir Next" w:cs="Arial"/>
          <w:sz w:val="22"/>
          <w:szCs w:val="22"/>
          <w:highlight w:val="yellow"/>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AB63DE"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B63DE">
        <w:rPr>
          <w:rFonts w:ascii="Avenir Next" w:eastAsiaTheme="minorHAnsi" w:hAnsi="Avenir Next" w:cs="Arial"/>
          <w:sz w:val="22"/>
          <w:szCs w:val="22"/>
          <w:lang w:val="en-GB"/>
        </w:rPr>
        <w:t>The English Court will be able to consider the request based on its 2006 Insolvency Regulations (the adopted UNCITRAL Model Law on Cross-Border Insolvency) and</w:t>
      </w:r>
      <w:r w:rsidR="00692852" w:rsidRPr="00AB63DE">
        <w:rPr>
          <w:rFonts w:ascii="Avenir Next" w:eastAsiaTheme="minorHAnsi" w:hAnsi="Avenir Next" w:cs="Arial"/>
          <w:sz w:val="22"/>
          <w:szCs w:val="22"/>
          <w:lang w:val="en-GB"/>
        </w:rPr>
        <w:t xml:space="preserve"> </w:t>
      </w:r>
      <w:r w:rsidRPr="00AB63DE">
        <w:rPr>
          <w:rFonts w:ascii="Avenir Next" w:eastAsiaTheme="minorHAnsi" w:hAnsi="Avenir Next" w:cs="Arial"/>
          <w:sz w:val="22"/>
          <w:szCs w:val="22"/>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AB63DE"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B63DE">
        <w:rPr>
          <w:rFonts w:ascii="Avenir Next" w:hAnsi="Avenir Next" w:cs="Arial"/>
          <w:sz w:val="22"/>
          <w:szCs w:val="22"/>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372401"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372401">
        <w:rPr>
          <w:rFonts w:ascii="Avenir Next" w:eastAsiaTheme="minorHAnsi" w:hAnsi="Avenir Next" w:cs="Arial"/>
          <w:sz w:val="22"/>
          <w:szCs w:val="22"/>
          <w:highlight w:val="yellow"/>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372401" w:rsidRDefault="00F5239B" w:rsidP="008071D5">
      <w:pPr>
        <w:pStyle w:val="ListParagraph"/>
        <w:numPr>
          <w:ilvl w:val="0"/>
          <w:numId w:val="23"/>
        </w:numPr>
        <w:ind w:left="426"/>
        <w:jc w:val="both"/>
        <w:rPr>
          <w:rFonts w:ascii="Avenir Next" w:hAnsi="Avenir Next" w:cs="Arial"/>
          <w:sz w:val="22"/>
          <w:szCs w:val="22"/>
          <w:highlight w:val="yellow"/>
        </w:rPr>
      </w:pPr>
      <w:r w:rsidRPr="00372401">
        <w:rPr>
          <w:rFonts w:ascii="Avenir Next" w:hAnsi="Avenir Next" w:cs="Arial"/>
          <w:sz w:val="22"/>
          <w:szCs w:val="22"/>
          <w:highlight w:val="yellow"/>
        </w:rPr>
        <w:t xml:space="preserve">This statement is true because </w:t>
      </w:r>
      <w:r w:rsidR="007B5180" w:rsidRPr="00372401">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EE7AE3" w:rsidRDefault="009355DB" w:rsidP="008071D5">
      <w:pPr>
        <w:pStyle w:val="ListParagraph"/>
        <w:numPr>
          <w:ilvl w:val="0"/>
          <w:numId w:val="24"/>
        </w:numPr>
        <w:ind w:left="426"/>
        <w:jc w:val="both"/>
        <w:rPr>
          <w:rFonts w:ascii="Avenir Next" w:hAnsi="Avenir Next" w:cs="Arial"/>
          <w:sz w:val="22"/>
          <w:szCs w:val="22"/>
          <w:highlight w:val="yellow"/>
        </w:rPr>
      </w:pPr>
      <w:r w:rsidRPr="00EE7AE3">
        <w:rPr>
          <w:rFonts w:ascii="Avenir Next" w:hAnsi="Avenir Next" w:cs="Arial"/>
          <w:sz w:val="22"/>
          <w:szCs w:val="22"/>
          <w:highlight w:val="yellow"/>
        </w:rPr>
        <w:t xml:space="preserve">This statement is true because </w:t>
      </w:r>
      <w:r w:rsidR="005C4FF2" w:rsidRPr="00EE7AE3">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249CCB4C" w14:textId="77777777" w:rsidR="00D6231C" w:rsidRPr="00A05EFA" w:rsidRDefault="00D6231C" w:rsidP="00D6231C">
      <w:pPr>
        <w:jc w:val="both"/>
        <w:rPr>
          <w:rFonts w:ascii="Arial" w:hAnsi="Arial" w:cs="Arial"/>
          <w:sz w:val="22"/>
          <w:szCs w:val="22"/>
          <w:lang w:val="en-GB"/>
        </w:rPr>
      </w:pPr>
      <w:r w:rsidRPr="003A34D5">
        <w:rPr>
          <w:rFonts w:ascii="Arial" w:hAnsi="Arial" w:cs="Arial"/>
          <w:sz w:val="22"/>
          <w:szCs w:val="22"/>
          <w:lang w:val="en-GB"/>
        </w:rPr>
        <w:t xml:space="preserve">It is pertinent to understand </w:t>
      </w:r>
      <w:r>
        <w:rPr>
          <w:rFonts w:ascii="Arial" w:hAnsi="Arial" w:cs="Arial"/>
          <w:sz w:val="22"/>
          <w:szCs w:val="22"/>
          <w:lang w:val="en-GB"/>
        </w:rPr>
        <w:t xml:space="preserve">that </w:t>
      </w:r>
      <w:r w:rsidRPr="003A34D5">
        <w:rPr>
          <w:rFonts w:ascii="Arial" w:hAnsi="Arial" w:cs="Arial"/>
          <w:sz w:val="22"/>
          <w:szCs w:val="22"/>
          <w:lang w:val="en-GB"/>
        </w:rPr>
        <w:t xml:space="preserve">the historical roots of all countries across the globe are either based on the civil law or the English Law. </w:t>
      </w:r>
      <w:r>
        <w:rPr>
          <w:rFonts w:ascii="Arial" w:hAnsi="Arial" w:cs="Arial"/>
          <w:sz w:val="22"/>
          <w:szCs w:val="22"/>
          <w:lang w:val="en-GB"/>
        </w:rPr>
        <w:t>Most of the</w:t>
      </w:r>
      <w:r w:rsidRPr="003A34D5">
        <w:rPr>
          <w:rFonts w:ascii="Arial" w:hAnsi="Arial" w:cs="Arial"/>
          <w:sz w:val="22"/>
          <w:szCs w:val="22"/>
          <w:lang w:val="en-GB"/>
        </w:rPr>
        <w:t xml:space="preserve"> African countries</w:t>
      </w:r>
      <w:r>
        <w:rPr>
          <w:rFonts w:ascii="Arial" w:hAnsi="Arial" w:cs="Arial"/>
          <w:sz w:val="22"/>
          <w:szCs w:val="22"/>
          <w:lang w:val="en-GB"/>
        </w:rPr>
        <w:t xml:space="preserve"> </w:t>
      </w:r>
      <w:r w:rsidRPr="003A34D5">
        <w:rPr>
          <w:rFonts w:ascii="Arial" w:hAnsi="Arial" w:cs="Arial"/>
          <w:sz w:val="22"/>
          <w:szCs w:val="22"/>
          <w:lang w:val="en-GB"/>
        </w:rPr>
        <w:t>were colonised</w:t>
      </w:r>
      <w:r>
        <w:rPr>
          <w:rFonts w:ascii="Arial" w:hAnsi="Arial" w:cs="Arial"/>
          <w:sz w:val="22"/>
          <w:szCs w:val="22"/>
          <w:lang w:val="en-GB"/>
        </w:rPr>
        <w:t xml:space="preserve"> in the past</w:t>
      </w:r>
      <w:r w:rsidRPr="003A34D5">
        <w:rPr>
          <w:rFonts w:ascii="Arial" w:hAnsi="Arial" w:cs="Arial"/>
          <w:sz w:val="22"/>
          <w:szCs w:val="22"/>
          <w:lang w:val="en-GB"/>
        </w:rPr>
        <w:t xml:space="preserve">. Apparently, the legal system thus developed in these African countries have largely been </w:t>
      </w:r>
      <w:r w:rsidRPr="00A05EFA">
        <w:rPr>
          <w:rFonts w:ascii="Arial" w:hAnsi="Arial" w:cs="Arial"/>
          <w:sz w:val="22"/>
          <w:szCs w:val="22"/>
          <w:lang w:val="en-GB"/>
        </w:rPr>
        <w:t>based on the English Law (England) or Civil law, followed by its former colonial masters.</w:t>
      </w:r>
    </w:p>
    <w:p w14:paraId="2E2FEF43" w14:textId="77777777" w:rsidR="00D6231C" w:rsidRPr="00A05EFA" w:rsidRDefault="00D6231C" w:rsidP="00D6231C">
      <w:pPr>
        <w:jc w:val="both"/>
        <w:rPr>
          <w:rFonts w:ascii="Arial" w:hAnsi="Arial" w:cs="Arial"/>
          <w:sz w:val="22"/>
          <w:szCs w:val="22"/>
          <w:lang w:val="en-GB"/>
        </w:rPr>
      </w:pPr>
    </w:p>
    <w:p w14:paraId="7FFAB035" w14:textId="77777777" w:rsidR="00D6231C" w:rsidRPr="00A05EFA" w:rsidRDefault="00D6231C" w:rsidP="00D6231C">
      <w:pPr>
        <w:jc w:val="both"/>
        <w:rPr>
          <w:rFonts w:ascii="Arial" w:hAnsi="Arial" w:cs="Arial"/>
          <w:sz w:val="22"/>
          <w:szCs w:val="22"/>
          <w:lang w:val="en-GB"/>
        </w:rPr>
      </w:pPr>
      <w:r w:rsidRPr="00A05EFA">
        <w:rPr>
          <w:rFonts w:ascii="Arial" w:hAnsi="Arial" w:cs="Arial"/>
          <w:sz w:val="22"/>
          <w:szCs w:val="22"/>
          <w:lang w:val="en-GB"/>
        </w:rPr>
        <w:lastRenderedPageBreak/>
        <w:t>If you look at the historical roots of the insolvency legal system in European Countries, they followed a communal legal system</w:t>
      </w:r>
      <w:r>
        <w:rPr>
          <w:rFonts w:ascii="Arial" w:hAnsi="Arial" w:cs="Arial"/>
          <w:sz w:val="22"/>
          <w:szCs w:val="22"/>
          <w:lang w:val="en-GB"/>
        </w:rPr>
        <w:t xml:space="preserve"> across all its countries</w:t>
      </w:r>
      <w:r w:rsidRPr="00A05EFA">
        <w:rPr>
          <w:rFonts w:ascii="Arial" w:hAnsi="Arial" w:cs="Arial"/>
          <w:sz w:val="22"/>
          <w:szCs w:val="22"/>
          <w:lang w:val="en-GB"/>
        </w:rPr>
        <w:t xml:space="preserve">. On the contrary, the African countries </w:t>
      </w:r>
      <w:r>
        <w:rPr>
          <w:rFonts w:ascii="Arial" w:hAnsi="Arial" w:cs="Arial"/>
          <w:sz w:val="22"/>
          <w:szCs w:val="22"/>
          <w:lang w:val="en-GB"/>
        </w:rPr>
        <w:t xml:space="preserve">had no common legal system. They followed the laws laid down by its colonial master </w:t>
      </w:r>
      <w:r w:rsidRPr="00A05EFA">
        <w:rPr>
          <w:rFonts w:ascii="Arial" w:hAnsi="Arial" w:cs="Arial"/>
          <w:sz w:val="22"/>
          <w:szCs w:val="22"/>
          <w:lang w:val="en-GB"/>
        </w:rPr>
        <w:t>as mentioned below:</w:t>
      </w:r>
    </w:p>
    <w:p w14:paraId="4F46DD69" w14:textId="77777777" w:rsidR="00D6231C" w:rsidRPr="00A05EFA" w:rsidRDefault="00D6231C" w:rsidP="00D6231C">
      <w:pPr>
        <w:jc w:val="both"/>
        <w:rPr>
          <w:rFonts w:ascii="Arial" w:hAnsi="Arial" w:cs="Arial"/>
          <w:sz w:val="22"/>
          <w:szCs w:val="22"/>
          <w:lang w:val="en-GB"/>
        </w:rPr>
      </w:pPr>
    </w:p>
    <w:p w14:paraId="6CA8DE3B" w14:textId="77777777" w:rsidR="00D6231C" w:rsidRPr="00A05EFA" w:rsidRDefault="00D6231C" w:rsidP="00D6231C">
      <w:pPr>
        <w:jc w:val="both"/>
        <w:rPr>
          <w:rFonts w:ascii="Arial" w:hAnsi="Arial" w:cs="Arial"/>
          <w:sz w:val="22"/>
          <w:szCs w:val="22"/>
          <w:lang w:val="en-GB"/>
        </w:rPr>
      </w:pPr>
    </w:p>
    <w:p w14:paraId="25627C84" w14:textId="77777777" w:rsidR="00D6231C" w:rsidRPr="00A05EFA" w:rsidRDefault="00D6231C" w:rsidP="00D6231C">
      <w:pPr>
        <w:pStyle w:val="ListParagraph"/>
        <w:numPr>
          <w:ilvl w:val="0"/>
          <w:numId w:val="25"/>
        </w:numPr>
        <w:jc w:val="both"/>
        <w:rPr>
          <w:rFonts w:ascii="Arial" w:hAnsi="Arial" w:cs="Arial"/>
          <w:sz w:val="22"/>
          <w:szCs w:val="22"/>
          <w:lang w:val="en-GB"/>
        </w:rPr>
      </w:pPr>
      <w:r w:rsidRPr="00A05EFA">
        <w:rPr>
          <w:rFonts w:ascii="Arial" w:hAnsi="Arial" w:cs="Arial"/>
          <w:sz w:val="22"/>
          <w:szCs w:val="22"/>
        </w:rPr>
        <w:t>Nigeria, Kenya, Botswana and Zambia, and Countries in the Eastern part of Africa such as Tanzania, have an English law tradition</w:t>
      </w:r>
    </w:p>
    <w:p w14:paraId="4E4F89D3" w14:textId="77777777" w:rsidR="00D6231C" w:rsidRPr="00A05EFA" w:rsidRDefault="00D6231C" w:rsidP="00D6231C">
      <w:pPr>
        <w:pStyle w:val="ListParagraph"/>
        <w:numPr>
          <w:ilvl w:val="0"/>
          <w:numId w:val="25"/>
        </w:numPr>
        <w:jc w:val="both"/>
        <w:rPr>
          <w:rFonts w:ascii="Arial" w:hAnsi="Arial" w:cs="Arial"/>
          <w:sz w:val="22"/>
          <w:szCs w:val="22"/>
          <w:lang w:val="en-GB"/>
        </w:rPr>
      </w:pPr>
      <w:r w:rsidRPr="00A05EFA">
        <w:rPr>
          <w:rFonts w:ascii="Arial" w:hAnsi="Arial" w:cs="Arial"/>
          <w:sz w:val="22"/>
          <w:szCs w:val="22"/>
        </w:rPr>
        <w:t>Angola and Mozambique have a civil law tradition based on Portuguese law.</w:t>
      </w:r>
    </w:p>
    <w:p w14:paraId="5C67547E" w14:textId="77777777" w:rsidR="00D6231C" w:rsidRPr="00A05EFA" w:rsidRDefault="00D6231C" w:rsidP="00D6231C">
      <w:pPr>
        <w:pStyle w:val="ListParagraph"/>
        <w:numPr>
          <w:ilvl w:val="0"/>
          <w:numId w:val="25"/>
        </w:numPr>
        <w:jc w:val="both"/>
        <w:rPr>
          <w:rFonts w:ascii="Arial" w:hAnsi="Arial" w:cs="Arial"/>
          <w:sz w:val="22"/>
          <w:szCs w:val="22"/>
          <w:lang w:val="en-GB"/>
        </w:rPr>
      </w:pPr>
      <w:r w:rsidRPr="00A05EFA">
        <w:rPr>
          <w:rFonts w:ascii="Arial" w:hAnsi="Arial" w:cs="Arial"/>
          <w:sz w:val="22"/>
          <w:szCs w:val="22"/>
        </w:rPr>
        <w:t>The Francophone countries of West Africa are steeped in civil law, in particular French law</w:t>
      </w:r>
    </w:p>
    <w:p w14:paraId="032154BF" w14:textId="77777777" w:rsidR="00D6231C" w:rsidRPr="00A05EFA" w:rsidRDefault="00D6231C" w:rsidP="00D6231C">
      <w:pPr>
        <w:pStyle w:val="ListParagraph"/>
        <w:numPr>
          <w:ilvl w:val="0"/>
          <w:numId w:val="25"/>
        </w:numPr>
        <w:jc w:val="both"/>
        <w:rPr>
          <w:rFonts w:ascii="Arial" w:hAnsi="Arial" w:cs="Arial"/>
          <w:sz w:val="22"/>
          <w:szCs w:val="22"/>
          <w:lang w:val="en-GB"/>
        </w:rPr>
      </w:pPr>
      <w:r w:rsidRPr="00A05EFA">
        <w:rPr>
          <w:rFonts w:ascii="Arial" w:hAnsi="Arial" w:cs="Arial"/>
          <w:sz w:val="22"/>
          <w:szCs w:val="22"/>
        </w:rPr>
        <w:t>Some countries, such as South Africa and Namibia, have mixed legal systems since both the Roman-Dutch law (civil law) and English law influenced their respective legal systems.</w:t>
      </w:r>
    </w:p>
    <w:p w14:paraId="30BCD73D" w14:textId="77777777" w:rsidR="00D6231C" w:rsidRDefault="00D6231C" w:rsidP="00D6231C">
      <w:pPr>
        <w:jc w:val="both"/>
        <w:rPr>
          <w:rFonts w:ascii="Arial" w:hAnsi="Arial" w:cs="Arial"/>
          <w:sz w:val="22"/>
          <w:szCs w:val="22"/>
        </w:rPr>
      </w:pPr>
    </w:p>
    <w:p w14:paraId="579A0D50" w14:textId="77777777" w:rsidR="00D6231C" w:rsidRPr="00A05EFA" w:rsidRDefault="00D6231C" w:rsidP="00D6231C">
      <w:pPr>
        <w:jc w:val="both"/>
        <w:rPr>
          <w:rFonts w:ascii="Arial" w:hAnsi="Arial" w:cs="Arial"/>
          <w:sz w:val="22"/>
          <w:szCs w:val="22"/>
        </w:rPr>
      </w:pPr>
      <w:r>
        <w:rPr>
          <w:rFonts w:ascii="Arial" w:hAnsi="Arial" w:cs="Arial"/>
          <w:sz w:val="22"/>
          <w:szCs w:val="22"/>
        </w:rPr>
        <w:t>Consequently, the current insolvency legal system of these African Countries is based on these imported laws.</w:t>
      </w:r>
    </w:p>
    <w:p w14:paraId="0B17CF2F" w14:textId="77777777" w:rsidR="0081547D" w:rsidRPr="00692852" w:rsidRDefault="0081547D" w:rsidP="00FD082D">
      <w:pPr>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017860E6" w14:textId="77777777" w:rsidR="00641D16" w:rsidRPr="003913D9" w:rsidRDefault="00641D16" w:rsidP="00641D16">
      <w:pPr>
        <w:jc w:val="both"/>
        <w:rPr>
          <w:rFonts w:ascii="Arial" w:hAnsi="Arial" w:cs="Arial"/>
          <w:sz w:val="22"/>
          <w:szCs w:val="22"/>
        </w:rPr>
      </w:pPr>
      <w:r>
        <w:rPr>
          <w:rFonts w:ascii="Arial" w:hAnsi="Arial" w:cs="Arial"/>
          <w:sz w:val="22"/>
          <w:szCs w:val="22"/>
        </w:rPr>
        <w:t>The</w:t>
      </w:r>
      <w:r w:rsidRPr="003913D9">
        <w:rPr>
          <w:rFonts w:ascii="Arial" w:hAnsi="Arial" w:cs="Arial"/>
          <w:sz w:val="22"/>
          <w:szCs w:val="22"/>
        </w:rPr>
        <w:t xml:space="preserve"> </w:t>
      </w:r>
      <w:r>
        <w:rPr>
          <w:rFonts w:ascii="Arial" w:hAnsi="Arial" w:cs="Arial"/>
          <w:sz w:val="22"/>
          <w:szCs w:val="22"/>
        </w:rPr>
        <w:t>1998</w:t>
      </w:r>
      <w:r w:rsidRPr="003913D9">
        <w:rPr>
          <w:rFonts w:ascii="Arial" w:hAnsi="Arial" w:cs="Arial"/>
          <w:sz w:val="22"/>
          <w:szCs w:val="22"/>
        </w:rPr>
        <w:t xml:space="preserve"> Financial Crisis which had engulfed the East Asian Countries, </w:t>
      </w:r>
      <w:r>
        <w:rPr>
          <w:rFonts w:ascii="Arial" w:hAnsi="Arial" w:cs="Arial"/>
          <w:sz w:val="22"/>
          <w:szCs w:val="22"/>
        </w:rPr>
        <w:t>more particularly</w:t>
      </w:r>
      <w:r w:rsidRPr="003913D9">
        <w:rPr>
          <w:rFonts w:ascii="Arial" w:hAnsi="Arial" w:cs="Arial"/>
          <w:sz w:val="22"/>
          <w:szCs w:val="22"/>
        </w:rPr>
        <w:t xml:space="preserve"> affecting Indonesia </w:t>
      </w:r>
      <w:r>
        <w:rPr>
          <w:rFonts w:ascii="Arial" w:hAnsi="Arial" w:cs="Arial"/>
          <w:sz w:val="22"/>
          <w:szCs w:val="22"/>
        </w:rPr>
        <w:t>and</w:t>
      </w:r>
      <w:r w:rsidRPr="003913D9">
        <w:rPr>
          <w:rFonts w:ascii="Arial" w:hAnsi="Arial" w:cs="Arial"/>
          <w:sz w:val="22"/>
          <w:szCs w:val="22"/>
        </w:rPr>
        <w:t xml:space="preserve"> Thailand</w:t>
      </w:r>
      <w:r>
        <w:rPr>
          <w:rFonts w:ascii="Arial" w:hAnsi="Arial" w:cs="Arial"/>
          <w:sz w:val="22"/>
          <w:szCs w:val="22"/>
        </w:rPr>
        <w:t xml:space="preserve"> </w:t>
      </w:r>
      <w:r w:rsidRPr="003D1372">
        <w:rPr>
          <w:rFonts w:ascii="Arial" w:hAnsi="Arial" w:cs="Arial"/>
          <w:sz w:val="22"/>
          <w:szCs w:val="22"/>
        </w:rPr>
        <w:t>gave rise to some insolvency law reform in Eastern Asia</w:t>
      </w:r>
      <w:r w:rsidRPr="003913D9">
        <w:rPr>
          <w:rFonts w:ascii="Arial" w:hAnsi="Arial" w:cs="Arial"/>
          <w:sz w:val="22"/>
          <w:szCs w:val="22"/>
        </w:rPr>
        <w:t xml:space="preserve">. </w:t>
      </w:r>
    </w:p>
    <w:p w14:paraId="022A1021" w14:textId="77777777" w:rsidR="00641D16" w:rsidRPr="003913D9" w:rsidRDefault="00641D16" w:rsidP="00641D16">
      <w:pPr>
        <w:jc w:val="both"/>
        <w:rPr>
          <w:rFonts w:ascii="Arial" w:hAnsi="Arial" w:cs="Arial"/>
          <w:sz w:val="22"/>
          <w:szCs w:val="22"/>
        </w:rPr>
      </w:pPr>
    </w:p>
    <w:p w14:paraId="22B97ACA" w14:textId="77777777" w:rsidR="00641D16" w:rsidRPr="003913D9" w:rsidRDefault="00641D16" w:rsidP="00641D16">
      <w:pPr>
        <w:jc w:val="both"/>
        <w:rPr>
          <w:rFonts w:ascii="Arial" w:hAnsi="Arial" w:cs="Arial"/>
          <w:sz w:val="22"/>
          <w:szCs w:val="22"/>
        </w:rPr>
      </w:pPr>
      <w:r w:rsidRPr="003913D9">
        <w:rPr>
          <w:rFonts w:ascii="Arial" w:hAnsi="Arial" w:cs="Arial"/>
          <w:sz w:val="22"/>
          <w:szCs w:val="22"/>
        </w:rPr>
        <w:t>Following are the two examples of such reform initiatives:</w:t>
      </w:r>
    </w:p>
    <w:p w14:paraId="40A84A38" w14:textId="77777777" w:rsidR="00641D16" w:rsidRPr="003913D9" w:rsidRDefault="00641D16" w:rsidP="00641D16">
      <w:pPr>
        <w:jc w:val="both"/>
        <w:rPr>
          <w:rFonts w:ascii="Arial" w:hAnsi="Arial" w:cs="Arial"/>
          <w:sz w:val="22"/>
          <w:szCs w:val="22"/>
        </w:rPr>
      </w:pPr>
    </w:p>
    <w:p w14:paraId="133425B1" w14:textId="77777777" w:rsidR="00641D16" w:rsidRDefault="00641D16" w:rsidP="00641D16">
      <w:pPr>
        <w:pStyle w:val="ListParagraph"/>
        <w:numPr>
          <w:ilvl w:val="0"/>
          <w:numId w:val="26"/>
        </w:numPr>
        <w:jc w:val="both"/>
        <w:rPr>
          <w:rFonts w:ascii="Arial" w:hAnsi="Arial" w:cs="Arial"/>
          <w:sz w:val="22"/>
          <w:szCs w:val="22"/>
        </w:rPr>
      </w:pPr>
      <w:r w:rsidRPr="003D1372">
        <w:rPr>
          <w:rFonts w:ascii="Arial" w:hAnsi="Arial" w:cs="Arial"/>
          <w:sz w:val="22"/>
          <w:szCs w:val="22"/>
        </w:rPr>
        <w:t xml:space="preserve">Singapore passed a new Insolvency, Restructuring and Dissolution Act to consolidate Singapore’s corporate and personal insolvency and restructuring laws into a Unified Act. </w:t>
      </w:r>
    </w:p>
    <w:p w14:paraId="5296C347" w14:textId="77777777" w:rsidR="00641D16" w:rsidRPr="003D1372" w:rsidRDefault="00641D16" w:rsidP="00641D16">
      <w:pPr>
        <w:pStyle w:val="ListParagraph"/>
        <w:numPr>
          <w:ilvl w:val="0"/>
          <w:numId w:val="26"/>
        </w:numPr>
        <w:jc w:val="both"/>
        <w:rPr>
          <w:rFonts w:ascii="Arial" w:hAnsi="Arial" w:cs="Arial"/>
          <w:sz w:val="22"/>
          <w:szCs w:val="22"/>
        </w:rPr>
      </w:pPr>
      <w:r w:rsidRPr="003D1372">
        <w:rPr>
          <w:rFonts w:ascii="Arial" w:hAnsi="Arial" w:cs="Arial"/>
          <w:sz w:val="22"/>
          <w:szCs w:val="22"/>
        </w:rPr>
        <w:t>Adoption of Model Law in Cross-Border Insolvency</w:t>
      </w:r>
      <w:r>
        <w:rPr>
          <w:rFonts w:ascii="Arial" w:hAnsi="Arial" w:cs="Arial"/>
          <w:sz w:val="22"/>
          <w:szCs w:val="22"/>
        </w:rPr>
        <w:t xml:space="preserve"> by substantial economies of Eastern Asian Countries. Example: Republic of Korea.</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5DDE7DA0" w14:textId="5964D0EB" w:rsidR="004045CB" w:rsidRPr="004045CB" w:rsidRDefault="004045CB" w:rsidP="00530AAD">
      <w:pPr>
        <w:pStyle w:val="ListParagraph"/>
        <w:numPr>
          <w:ilvl w:val="0"/>
          <w:numId w:val="27"/>
        </w:numPr>
        <w:ind w:left="360"/>
        <w:jc w:val="both"/>
        <w:rPr>
          <w:rFonts w:ascii="Arial" w:hAnsi="Arial" w:cs="Arial"/>
          <w:sz w:val="22"/>
          <w:szCs w:val="22"/>
          <w:lang w:val="en-GB"/>
        </w:rPr>
      </w:pPr>
      <w:r w:rsidRPr="004045CB">
        <w:rPr>
          <w:rFonts w:ascii="Arial" w:hAnsi="Arial" w:cs="Arial"/>
          <w:sz w:val="22"/>
          <w:szCs w:val="22"/>
          <w:lang w:val="en-GB"/>
        </w:rPr>
        <w:t>Various initiatives undertaken to assist with the resolution of international insolvency issues between North America and Canada are mentioned below:</w:t>
      </w:r>
    </w:p>
    <w:p w14:paraId="3B864189" w14:textId="77777777" w:rsidR="004045CB" w:rsidRPr="004045CB" w:rsidRDefault="004045CB" w:rsidP="00530AAD">
      <w:pPr>
        <w:pStyle w:val="ListParagraph"/>
        <w:ind w:left="360"/>
        <w:jc w:val="both"/>
        <w:rPr>
          <w:rFonts w:ascii="Arial" w:hAnsi="Arial" w:cs="Arial"/>
          <w:sz w:val="22"/>
          <w:szCs w:val="22"/>
          <w:lang w:val="en-GB"/>
        </w:rPr>
      </w:pPr>
    </w:p>
    <w:p w14:paraId="288CF984" w14:textId="77777777" w:rsidR="004045CB" w:rsidRPr="004045CB" w:rsidRDefault="004045CB" w:rsidP="00530AAD">
      <w:pPr>
        <w:pStyle w:val="ListParagraph"/>
        <w:numPr>
          <w:ilvl w:val="0"/>
          <w:numId w:val="28"/>
        </w:numPr>
        <w:ind w:left="720"/>
        <w:jc w:val="both"/>
        <w:rPr>
          <w:rFonts w:ascii="Arial" w:hAnsi="Arial" w:cs="Arial"/>
          <w:sz w:val="22"/>
          <w:szCs w:val="22"/>
          <w:lang w:val="en-GB"/>
        </w:rPr>
      </w:pPr>
      <w:r w:rsidRPr="004045CB">
        <w:rPr>
          <w:rFonts w:ascii="Arial" w:hAnsi="Arial" w:cs="Arial"/>
          <w:sz w:val="22"/>
          <w:szCs w:val="22"/>
          <w:lang w:val="en-GB"/>
        </w:rPr>
        <w:t>Adoption of the Model Law of Cross-Border Insolvency by both North America and Canada and following the Protocols.</w:t>
      </w:r>
    </w:p>
    <w:p w14:paraId="434D0123" w14:textId="77777777" w:rsidR="004045CB" w:rsidRPr="004045CB" w:rsidRDefault="004045CB" w:rsidP="00530AAD">
      <w:pPr>
        <w:pStyle w:val="ListParagraph"/>
        <w:numPr>
          <w:ilvl w:val="0"/>
          <w:numId w:val="28"/>
        </w:numPr>
        <w:ind w:left="720"/>
        <w:jc w:val="both"/>
        <w:rPr>
          <w:rFonts w:ascii="Arial" w:hAnsi="Arial" w:cs="Arial"/>
          <w:sz w:val="22"/>
          <w:szCs w:val="22"/>
          <w:lang w:val="en-GB"/>
        </w:rPr>
      </w:pPr>
      <w:r w:rsidRPr="004045CB">
        <w:rPr>
          <w:rFonts w:ascii="Arial" w:hAnsi="Arial" w:cs="Arial"/>
          <w:sz w:val="22"/>
          <w:szCs w:val="22"/>
          <w:lang w:val="en-GB"/>
        </w:rPr>
        <w:t>Initiation of the American Law Institute (ALI) Transnational Insolvency Project for improving the co-operation in international insolvencies across the NAFTA states (United States, Canada and Mexico)</w:t>
      </w:r>
    </w:p>
    <w:p w14:paraId="7C3180CA" w14:textId="77777777" w:rsidR="004045CB" w:rsidRPr="004045CB" w:rsidRDefault="004045CB" w:rsidP="00530AAD">
      <w:pPr>
        <w:pStyle w:val="ListParagraph"/>
        <w:jc w:val="both"/>
        <w:rPr>
          <w:rFonts w:ascii="Arial" w:hAnsi="Arial" w:cs="Arial"/>
          <w:sz w:val="22"/>
          <w:szCs w:val="22"/>
          <w:lang w:val="en-GB"/>
        </w:rPr>
      </w:pPr>
    </w:p>
    <w:p w14:paraId="1226C6DD" w14:textId="77777777" w:rsidR="004045CB" w:rsidRPr="004045CB" w:rsidRDefault="004045CB" w:rsidP="00530AAD">
      <w:pPr>
        <w:pStyle w:val="ListParagraph"/>
        <w:numPr>
          <w:ilvl w:val="0"/>
          <w:numId w:val="27"/>
        </w:numPr>
        <w:ind w:left="360"/>
        <w:jc w:val="both"/>
        <w:rPr>
          <w:rFonts w:ascii="Arial" w:hAnsi="Arial" w:cs="Arial"/>
          <w:sz w:val="22"/>
          <w:szCs w:val="22"/>
          <w:lang w:val="en-GB"/>
        </w:rPr>
      </w:pPr>
      <w:r w:rsidRPr="004045CB">
        <w:rPr>
          <w:rFonts w:ascii="Arial" w:hAnsi="Arial" w:cs="Arial"/>
          <w:sz w:val="22"/>
          <w:szCs w:val="22"/>
          <w:lang w:val="en-GB"/>
        </w:rPr>
        <w:t xml:space="preserve">Result of the Initiatives mentioned above: </w:t>
      </w:r>
    </w:p>
    <w:p w14:paraId="74A7BAF6" w14:textId="77777777" w:rsidR="004045CB" w:rsidRPr="004045CB" w:rsidRDefault="004045CB" w:rsidP="00530AAD">
      <w:pPr>
        <w:pStyle w:val="ListParagraph"/>
        <w:ind w:left="360"/>
        <w:jc w:val="both"/>
        <w:rPr>
          <w:rFonts w:ascii="Arial" w:hAnsi="Arial" w:cs="Arial"/>
          <w:sz w:val="22"/>
          <w:szCs w:val="22"/>
          <w:lang w:val="en-GB"/>
        </w:rPr>
      </w:pPr>
    </w:p>
    <w:p w14:paraId="61BC75C9" w14:textId="4E3EC6FE" w:rsidR="004045CB" w:rsidRPr="004045CB" w:rsidRDefault="004045CB" w:rsidP="00530AAD">
      <w:pPr>
        <w:pStyle w:val="ListParagraph"/>
        <w:ind w:left="360"/>
        <w:jc w:val="both"/>
        <w:rPr>
          <w:rFonts w:ascii="Arial" w:hAnsi="Arial" w:cs="Arial"/>
          <w:sz w:val="22"/>
          <w:szCs w:val="22"/>
          <w:lang w:val="en-GB"/>
        </w:rPr>
      </w:pPr>
      <w:r w:rsidRPr="004045CB">
        <w:rPr>
          <w:rFonts w:ascii="Arial" w:hAnsi="Arial" w:cs="Arial"/>
          <w:sz w:val="22"/>
          <w:szCs w:val="22"/>
          <w:lang w:val="en-GB"/>
        </w:rPr>
        <w:t xml:space="preserve">Initiation of the American Law Institute (ALI) Transnational Insolvency Project successfully </w:t>
      </w:r>
      <w:proofErr w:type="gramStart"/>
      <w:r w:rsidRPr="004045CB">
        <w:rPr>
          <w:rFonts w:ascii="Arial" w:hAnsi="Arial" w:cs="Arial"/>
          <w:sz w:val="22"/>
          <w:szCs w:val="22"/>
          <w:lang w:val="en-GB"/>
        </w:rPr>
        <w:t>lead</w:t>
      </w:r>
      <w:proofErr w:type="gramEnd"/>
      <w:r w:rsidRPr="004045CB">
        <w:rPr>
          <w:rFonts w:ascii="Arial" w:hAnsi="Arial" w:cs="Arial"/>
          <w:sz w:val="22"/>
          <w:szCs w:val="22"/>
          <w:lang w:val="en-GB"/>
        </w:rPr>
        <w:t xml:space="preserve"> to formulation of the Principles of Cooperation among the NAFTA Countries. Also, these principles recommended for Legislation or International Agreement and adoption of </w:t>
      </w:r>
      <w:r w:rsidRPr="004045CB">
        <w:rPr>
          <w:rFonts w:ascii="Arial" w:hAnsi="Arial" w:cs="Arial"/>
          <w:sz w:val="22"/>
          <w:szCs w:val="22"/>
          <w:lang w:val="en-GB"/>
        </w:rPr>
        <w:lastRenderedPageBreak/>
        <w:t xml:space="preserve">Model Law on Cross-Border Insolvency by each NAFTA Country. Thus, the Model </w:t>
      </w:r>
      <w:r>
        <w:rPr>
          <w:rFonts w:ascii="Arial" w:hAnsi="Arial" w:cs="Arial"/>
          <w:sz w:val="22"/>
          <w:szCs w:val="22"/>
          <w:lang w:val="en-GB"/>
        </w:rPr>
        <w:t>Laws</w:t>
      </w:r>
      <w:r w:rsidRPr="004045CB">
        <w:rPr>
          <w:rFonts w:ascii="Arial" w:hAnsi="Arial" w:cs="Arial"/>
          <w:sz w:val="22"/>
          <w:szCs w:val="22"/>
          <w:lang w:val="en-GB"/>
        </w:rPr>
        <w:t xml:space="preserve"> were adopted by North America and Canada.</w:t>
      </w: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25EB45B1" w14:textId="77777777" w:rsidR="00865EF4" w:rsidRPr="00865EF4" w:rsidRDefault="00865EF4" w:rsidP="00865EF4">
      <w:pPr>
        <w:jc w:val="both"/>
        <w:rPr>
          <w:rFonts w:ascii="Arial" w:hAnsi="Arial" w:cs="Arial"/>
          <w:sz w:val="22"/>
          <w:szCs w:val="22"/>
          <w:lang w:val="en-GB"/>
        </w:rPr>
      </w:pPr>
      <w:r w:rsidRPr="00865EF4">
        <w:rPr>
          <w:rFonts w:ascii="Arial" w:hAnsi="Arial" w:cs="Arial"/>
          <w:sz w:val="22"/>
          <w:szCs w:val="22"/>
          <w:lang w:val="en-GB"/>
        </w:rPr>
        <w:t>In order to understand the difference in approaches regarding the treatment of voidable dispositions under both the English and Civil law, it is necessary to look at the historical roots of these laws which lay down the rules in insolvency systems and their importance.</w:t>
      </w:r>
    </w:p>
    <w:p w14:paraId="4DDD62D4" w14:textId="77777777" w:rsidR="00865EF4" w:rsidRPr="00865EF4" w:rsidRDefault="00865EF4" w:rsidP="00865EF4">
      <w:pPr>
        <w:jc w:val="both"/>
        <w:rPr>
          <w:rFonts w:ascii="Arial" w:hAnsi="Arial" w:cs="Arial"/>
          <w:sz w:val="22"/>
          <w:szCs w:val="22"/>
          <w:lang w:val="en-GB"/>
        </w:rPr>
      </w:pPr>
    </w:p>
    <w:p w14:paraId="41253C74" w14:textId="77777777" w:rsidR="00865EF4" w:rsidRPr="00865EF4" w:rsidRDefault="00865EF4" w:rsidP="00865EF4">
      <w:pPr>
        <w:pStyle w:val="ListParagraph"/>
        <w:numPr>
          <w:ilvl w:val="0"/>
          <w:numId w:val="30"/>
        </w:numPr>
        <w:jc w:val="both"/>
        <w:rPr>
          <w:rFonts w:ascii="Arial" w:hAnsi="Arial" w:cs="Arial"/>
          <w:sz w:val="22"/>
          <w:szCs w:val="22"/>
          <w:lang w:val="en-GB"/>
        </w:rPr>
      </w:pPr>
      <w:r w:rsidRPr="00865EF4">
        <w:rPr>
          <w:rFonts w:ascii="Arial" w:hAnsi="Arial" w:cs="Arial"/>
          <w:sz w:val="22"/>
          <w:szCs w:val="22"/>
          <w:lang w:val="en-GB"/>
        </w:rPr>
        <w:t>Rules under the Civil Law and its importance for treatment of voidable dispositions:</w:t>
      </w:r>
    </w:p>
    <w:p w14:paraId="4C8CF506" w14:textId="77777777" w:rsidR="00865EF4" w:rsidRPr="00865EF4" w:rsidRDefault="00865EF4" w:rsidP="00865EF4">
      <w:pPr>
        <w:jc w:val="both"/>
        <w:rPr>
          <w:rFonts w:ascii="Arial" w:hAnsi="Arial" w:cs="Arial"/>
          <w:sz w:val="22"/>
          <w:szCs w:val="22"/>
          <w:lang w:val="en-GB"/>
        </w:rPr>
      </w:pPr>
    </w:p>
    <w:p w14:paraId="56A0BA93" w14:textId="77777777" w:rsidR="00865EF4" w:rsidRPr="00865EF4" w:rsidRDefault="00865EF4" w:rsidP="00865EF4">
      <w:pPr>
        <w:ind w:left="360"/>
        <w:jc w:val="both"/>
        <w:rPr>
          <w:rFonts w:ascii="Arial" w:hAnsi="Arial" w:cs="Arial"/>
          <w:sz w:val="22"/>
          <w:szCs w:val="22"/>
          <w:lang w:val="en-GB"/>
        </w:rPr>
      </w:pPr>
      <w:r w:rsidRPr="00865EF4">
        <w:rPr>
          <w:rFonts w:ascii="Arial" w:hAnsi="Arial" w:cs="Arial"/>
          <w:sz w:val="22"/>
          <w:szCs w:val="22"/>
          <w:lang w:val="en-GB"/>
        </w:rPr>
        <w:t>In the primeval days, debt execution developed from the debtor pledging his own body for repayment of loan and he could be imprisoned, sentenced to death or sold as slave in order to secure repayment of debt, irrespective of whether the insolvent was an honest or dishonest person. The bodies of the debtor could be cut into pieces and distributed amongst the Creditors or they could be enslaved.</w:t>
      </w:r>
    </w:p>
    <w:p w14:paraId="6F22799C" w14:textId="77777777" w:rsidR="00865EF4" w:rsidRPr="00865EF4" w:rsidRDefault="00865EF4" w:rsidP="00865EF4">
      <w:pPr>
        <w:ind w:left="360"/>
        <w:jc w:val="both"/>
        <w:rPr>
          <w:rFonts w:ascii="Arial" w:hAnsi="Arial" w:cs="Arial"/>
          <w:sz w:val="22"/>
          <w:szCs w:val="22"/>
          <w:lang w:val="en-GB"/>
        </w:rPr>
      </w:pPr>
    </w:p>
    <w:p w14:paraId="18A03835" w14:textId="77777777" w:rsidR="00865EF4" w:rsidRPr="00865EF4" w:rsidRDefault="00865EF4" w:rsidP="00865EF4">
      <w:pPr>
        <w:ind w:left="360"/>
        <w:jc w:val="both"/>
        <w:rPr>
          <w:rFonts w:ascii="Arial" w:hAnsi="Arial" w:cs="Arial"/>
          <w:sz w:val="22"/>
          <w:szCs w:val="22"/>
          <w:lang w:val="en-GB"/>
        </w:rPr>
      </w:pPr>
      <w:r w:rsidRPr="00865EF4">
        <w:rPr>
          <w:rFonts w:ascii="Arial" w:hAnsi="Arial" w:cs="Arial"/>
          <w:sz w:val="22"/>
          <w:szCs w:val="22"/>
          <w:lang w:val="en-GB"/>
        </w:rPr>
        <w:t>If you look at the history of Civil laws, they originated from the Roman Laws and Table 3 of the Twelve tables dealt with the execution of judgements. The Roman Law grasped firmly to the concept of “</w:t>
      </w:r>
      <w:proofErr w:type="spellStart"/>
      <w:r w:rsidRPr="00865EF4">
        <w:rPr>
          <w:rFonts w:ascii="Arial" w:hAnsi="Arial" w:cs="Arial"/>
          <w:i/>
          <w:iCs/>
          <w:sz w:val="22"/>
          <w:szCs w:val="22"/>
          <w:lang w:val="en-GB"/>
        </w:rPr>
        <w:t>cessio</w:t>
      </w:r>
      <w:proofErr w:type="spellEnd"/>
      <w:r w:rsidRPr="00865EF4">
        <w:rPr>
          <w:rFonts w:ascii="Arial" w:hAnsi="Arial" w:cs="Arial"/>
          <w:i/>
          <w:iCs/>
          <w:sz w:val="22"/>
          <w:szCs w:val="22"/>
          <w:lang w:val="en-GB"/>
        </w:rPr>
        <w:t xml:space="preserve"> </w:t>
      </w:r>
      <w:proofErr w:type="spellStart"/>
      <w:r w:rsidRPr="00865EF4">
        <w:rPr>
          <w:rFonts w:ascii="Arial" w:hAnsi="Arial" w:cs="Arial"/>
          <w:i/>
          <w:iCs/>
          <w:sz w:val="22"/>
          <w:szCs w:val="22"/>
          <w:lang w:val="en-GB"/>
        </w:rPr>
        <w:t>bonorum</w:t>
      </w:r>
      <w:proofErr w:type="spellEnd"/>
      <w:r w:rsidRPr="00865EF4">
        <w:rPr>
          <w:rFonts w:ascii="Arial" w:hAnsi="Arial" w:cs="Arial"/>
          <w:sz w:val="22"/>
          <w:szCs w:val="22"/>
          <w:lang w:val="en-GB"/>
        </w:rPr>
        <w:t xml:space="preserve">” (assignment of property) under which, the Debtor whose insolvency was not due to his own fault was permitted cession </w:t>
      </w:r>
      <w:proofErr w:type="spellStart"/>
      <w:r w:rsidRPr="00865EF4">
        <w:rPr>
          <w:rFonts w:ascii="Arial" w:hAnsi="Arial" w:cs="Arial"/>
          <w:sz w:val="22"/>
          <w:szCs w:val="22"/>
          <w:lang w:val="en-GB"/>
        </w:rPr>
        <w:t>Bonorum</w:t>
      </w:r>
      <w:proofErr w:type="spellEnd"/>
      <w:r w:rsidRPr="00865EF4">
        <w:rPr>
          <w:rFonts w:ascii="Arial" w:hAnsi="Arial" w:cs="Arial"/>
          <w:sz w:val="22"/>
          <w:szCs w:val="22"/>
          <w:lang w:val="en-GB"/>
        </w:rPr>
        <w:t xml:space="preserve">. Hereunder, the Debtor may opt for either assignment of property to creditor with consent or may apply to the emperor for an order requiring the creditors to choose by vote whether they would proceed at once to the surrender and sale of estate. This remedy was available only to honest debtors. In this way, the Roman law directly punished the fraudulent debtor for he could not have the privilege granted to honest debtor.  Thus, by adopting this, the Debtor escaped liability to </w:t>
      </w:r>
      <w:proofErr w:type="gramStart"/>
      <w:r w:rsidRPr="00865EF4">
        <w:rPr>
          <w:rFonts w:ascii="Arial" w:hAnsi="Arial" w:cs="Arial"/>
          <w:sz w:val="22"/>
          <w:szCs w:val="22"/>
          <w:lang w:val="en-GB"/>
        </w:rPr>
        <w:t>arrest.*</w:t>
      </w:r>
      <w:proofErr w:type="gramEnd"/>
    </w:p>
    <w:p w14:paraId="5598F755" w14:textId="77777777" w:rsidR="00865EF4" w:rsidRPr="00865EF4" w:rsidRDefault="00865EF4" w:rsidP="00865EF4">
      <w:pPr>
        <w:ind w:left="360"/>
        <w:jc w:val="both"/>
        <w:rPr>
          <w:rFonts w:ascii="Arial" w:hAnsi="Arial" w:cs="Arial"/>
          <w:sz w:val="22"/>
          <w:szCs w:val="22"/>
          <w:lang w:val="en-GB"/>
        </w:rPr>
      </w:pPr>
    </w:p>
    <w:p w14:paraId="747B0985" w14:textId="77777777" w:rsidR="000C2D14" w:rsidRDefault="00865EF4" w:rsidP="000C2D14">
      <w:pPr>
        <w:ind w:left="360"/>
        <w:jc w:val="both"/>
        <w:rPr>
          <w:rFonts w:ascii="Arial" w:hAnsi="Arial" w:cs="Arial"/>
          <w:sz w:val="22"/>
          <w:szCs w:val="22"/>
          <w:lang w:val="en-GB"/>
        </w:rPr>
      </w:pPr>
      <w:r w:rsidRPr="00865EF4">
        <w:rPr>
          <w:rFonts w:ascii="Arial" w:hAnsi="Arial" w:cs="Arial"/>
          <w:sz w:val="22"/>
          <w:szCs w:val="22"/>
          <w:lang w:val="en-GB"/>
        </w:rPr>
        <w:t>Also, religious fears and scruples were employed to prevent fraud. Further, under the Roman laws, aside from encouraging honesty and penalizing fraud, elaborate provisions for vitiating fraudulent transfer of property belonging to insolvency debtors were framed. In case of any act by which the debtor diminished the amount of his property divisible amongst creditors was held to be in fraud of creditors. Also, if the transfer was without consideration, the act was rescinded, even if the grantee were wholly innocent. *</w:t>
      </w:r>
      <w:r w:rsidR="000C2D14">
        <w:rPr>
          <w:rFonts w:ascii="Arial" w:hAnsi="Arial" w:cs="Arial"/>
          <w:sz w:val="22"/>
          <w:szCs w:val="22"/>
          <w:lang w:val="en-GB"/>
        </w:rPr>
        <w:t xml:space="preserve"> </w:t>
      </w:r>
    </w:p>
    <w:p w14:paraId="590F397B" w14:textId="77777777" w:rsidR="000C2D14" w:rsidRDefault="000C2D14" w:rsidP="000C2D14">
      <w:pPr>
        <w:ind w:left="360"/>
        <w:jc w:val="both"/>
        <w:rPr>
          <w:rFonts w:ascii="Arial" w:hAnsi="Arial" w:cs="Arial"/>
          <w:sz w:val="22"/>
          <w:szCs w:val="22"/>
          <w:lang w:val="en-GB"/>
        </w:rPr>
      </w:pPr>
    </w:p>
    <w:p w14:paraId="2C46B4A8" w14:textId="2F2928CE" w:rsidR="00865EF4" w:rsidRPr="00865EF4" w:rsidRDefault="00865EF4" w:rsidP="000C2D14">
      <w:pPr>
        <w:ind w:left="360"/>
        <w:jc w:val="both"/>
        <w:rPr>
          <w:rFonts w:ascii="Arial" w:hAnsi="Arial" w:cs="Arial"/>
          <w:sz w:val="22"/>
          <w:szCs w:val="22"/>
          <w:lang w:val="en-GB"/>
        </w:rPr>
      </w:pPr>
      <w:r w:rsidRPr="00865EF4">
        <w:rPr>
          <w:rFonts w:ascii="Arial" w:hAnsi="Arial" w:cs="Arial"/>
          <w:sz w:val="22"/>
          <w:szCs w:val="22"/>
          <w:lang w:val="en-GB"/>
        </w:rPr>
        <w:t xml:space="preserve">Later, the </w:t>
      </w:r>
      <w:proofErr w:type="spellStart"/>
      <w:r w:rsidRPr="00865EF4">
        <w:rPr>
          <w:rFonts w:ascii="Arial" w:hAnsi="Arial" w:cs="Arial"/>
          <w:sz w:val="22"/>
          <w:szCs w:val="22"/>
          <w:lang w:val="en-GB"/>
        </w:rPr>
        <w:t>actio</w:t>
      </w:r>
      <w:proofErr w:type="spellEnd"/>
      <w:r w:rsidRPr="00865EF4">
        <w:rPr>
          <w:rFonts w:ascii="Arial" w:hAnsi="Arial" w:cs="Arial"/>
          <w:sz w:val="22"/>
          <w:szCs w:val="22"/>
          <w:lang w:val="en-GB"/>
        </w:rPr>
        <w:t xml:space="preserve"> Paulina formed the basis of fraudulent conveyance under the Civil Law.</w:t>
      </w:r>
    </w:p>
    <w:p w14:paraId="2F8D4DCD" w14:textId="41BF09E7" w:rsidR="00865EF4" w:rsidRDefault="00865EF4" w:rsidP="00865EF4">
      <w:pPr>
        <w:jc w:val="both"/>
        <w:rPr>
          <w:rFonts w:ascii="Arial" w:hAnsi="Arial" w:cs="Arial"/>
          <w:sz w:val="22"/>
          <w:szCs w:val="22"/>
          <w:lang w:val="en-GB"/>
        </w:rPr>
      </w:pPr>
    </w:p>
    <w:p w14:paraId="5AEE70DC" w14:textId="77777777" w:rsidR="00865EF4" w:rsidRPr="00865EF4" w:rsidRDefault="00865EF4" w:rsidP="00865EF4">
      <w:pPr>
        <w:jc w:val="both"/>
        <w:rPr>
          <w:rFonts w:ascii="Arial" w:hAnsi="Arial" w:cs="Arial"/>
          <w:sz w:val="22"/>
          <w:szCs w:val="22"/>
          <w:lang w:val="en-GB"/>
        </w:rPr>
      </w:pPr>
    </w:p>
    <w:p w14:paraId="086C9B64" w14:textId="77777777" w:rsidR="00865EF4" w:rsidRPr="00865EF4" w:rsidRDefault="00865EF4" w:rsidP="00865EF4">
      <w:pPr>
        <w:pStyle w:val="ListParagraph"/>
        <w:numPr>
          <w:ilvl w:val="0"/>
          <w:numId w:val="30"/>
        </w:numPr>
        <w:jc w:val="both"/>
        <w:rPr>
          <w:rFonts w:ascii="Arial" w:hAnsi="Arial" w:cs="Arial"/>
          <w:sz w:val="22"/>
          <w:szCs w:val="22"/>
          <w:lang w:val="en-GB"/>
        </w:rPr>
      </w:pPr>
      <w:r w:rsidRPr="00865EF4">
        <w:rPr>
          <w:rFonts w:ascii="Arial" w:hAnsi="Arial" w:cs="Arial"/>
          <w:sz w:val="22"/>
          <w:szCs w:val="22"/>
          <w:lang w:val="en-GB"/>
        </w:rPr>
        <w:t>Rules under the English Law and its importance for treatment of voidable dispositions:</w:t>
      </w:r>
    </w:p>
    <w:p w14:paraId="4991FB48" w14:textId="77777777" w:rsidR="00865EF4" w:rsidRPr="00865EF4" w:rsidRDefault="00865EF4" w:rsidP="00865EF4">
      <w:pPr>
        <w:jc w:val="both"/>
        <w:rPr>
          <w:rFonts w:ascii="Arial" w:hAnsi="Arial" w:cs="Arial"/>
          <w:sz w:val="22"/>
          <w:szCs w:val="22"/>
          <w:lang w:val="en-GB"/>
        </w:rPr>
      </w:pPr>
    </w:p>
    <w:p w14:paraId="0061DC97" w14:textId="77777777" w:rsidR="00865EF4" w:rsidRPr="00865EF4" w:rsidRDefault="00865EF4" w:rsidP="00865EF4">
      <w:pPr>
        <w:pStyle w:val="ListParagraph"/>
        <w:ind w:left="360"/>
        <w:jc w:val="both"/>
        <w:rPr>
          <w:rFonts w:ascii="Arial" w:hAnsi="Arial" w:cs="Arial"/>
          <w:sz w:val="22"/>
          <w:szCs w:val="22"/>
          <w:lang w:val="en-GB"/>
        </w:rPr>
      </w:pPr>
      <w:r w:rsidRPr="00865EF4">
        <w:rPr>
          <w:rFonts w:ascii="Arial" w:hAnsi="Arial" w:cs="Arial"/>
          <w:sz w:val="22"/>
          <w:szCs w:val="22"/>
          <w:lang w:val="en-GB"/>
        </w:rPr>
        <w:t xml:space="preserve">Under the English law, the voidable dispositions are considered under the Act of Elizabeth in 1570.  The 1570 Act is an outcome of legislation. Thus, voidable dispositions are dealt with by the Parliament. The 1570 Act provides for </w:t>
      </w:r>
    </w:p>
    <w:p w14:paraId="455841C1" w14:textId="77777777" w:rsidR="00865EF4" w:rsidRPr="00865EF4" w:rsidRDefault="00865EF4" w:rsidP="00865EF4">
      <w:pPr>
        <w:pStyle w:val="ListParagraph"/>
        <w:ind w:left="1080"/>
        <w:jc w:val="both"/>
        <w:rPr>
          <w:rFonts w:ascii="Arial" w:hAnsi="Arial" w:cs="Arial"/>
          <w:sz w:val="22"/>
          <w:szCs w:val="22"/>
          <w:lang w:val="en-GB"/>
        </w:rPr>
      </w:pPr>
    </w:p>
    <w:p w14:paraId="65DF6C18" w14:textId="77777777" w:rsidR="00865EF4" w:rsidRPr="00865EF4" w:rsidRDefault="00865EF4" w:rsidP="00865EF4">
      <w:pPr>
        <w:pStyle w:val="ListParagraph"/>
        <w:numPr>
          <w:ilvl w:val="0"/>
          <w:numId w:val="29"/>
        </w:numPr>
        <w:jc w:val="both"/>
        <w:rPr>
          <w:rFonts w:ascii="Arial" w:hAnsi="Arial" w:cs="Arial"/>
          <w:sz w:val="22"/>
          <w:szCs w:val="22"/>
          <w:lang w:val="en-GB"/>
        </w:rPr>
      </w:pPr>
      <w:r w:rsidRPr="00865EF4">
        <w:rPr>
          <w:rFonts w:ascii="Arial" w:hAnsi="Arial" w:cs="Arial"/>
          <w:sz w:val="22"/>
          <w:szCs w:val="22"/>
          <w:lang w:val="en-GB"/>
        </w:rPr>
        <w:t xml:space="preserve">Compulsory sequestration, to be applied to a dishonest and absconding debtor. </w:t>
      </w:r>
    </w:p>
    <w:p w14:paraId="4742BAEC" w14:textId="77777777" w:rsidR="00865EF4" w:rsidRPr="00865EF4" w:rsidRDefault="00865EF4" w:rsidP="00865EF4">
      <w:pPr>
        <w:pStyle w:val="ListParagraph"/>
        <w:numPr>
          <w:ilvl w:val="0"/>
          <w:numId w:val="29"/>
        </w:numPr>
        <w:jc w:val="both"/>
        <w:rPr>
          <w:rFonts w:ascii="Arial" w:hAnsi="Arial" w:cs="Arial"/>
          <w:sz w:val="22"/>
          <w:szCs w:val="22"/>
          <w:lang w:val="en-GB"/>
        </w:rPr>
      </w:pPr>
      <w:r w:rsidRPr="00865EF4">
        <w:rPr>
          <w:rFonts w:ascii="Arial" w:hAnsi="Arial" w:cs="Arial"/>
          <w:sz w:val="22"/>
          <w:szCs w:val="22"/>
          <w:lang w:val="en-GB"/>
        </w:rPr>
        <w:t xml:space="preserve">Compulsory administration and distribution on the basis of equality amongst all the creditors. </w:t>
      </w:r>
    </w:p>
    <w:p w14:paraId="6609C048" w14:textId="77777777" w:rsidR="00865EF4" w:rsidRPr="00865EF4" w:rsidRDefault="00865EF4" w:rsidP="00865EF4">
      <w:pPr>
        <w:pStyle w:val="ListParagraph"/>
        <w:numPr>
          <w:ilvl w:val="0"/>
          <w:numId w:val="29"/>
        </w:numPr>
        <w:jc w:val="both"/>
        <w:rPr>
          <w:rFonts w:ascii="Arial" w:hAnsi="Arial" w:cs="Arial"/>
          <w:sz w:val="22"/>
          <w:szCs w:val="22"/>
          <w:lang w:val="en-GB"/>
        </w:rPr>
      </w:pPr>
      <w:r w:rsidRPr="00865EF4">
        <w:rPr>
          <w:rFonts w:ascii="Arial" w:hAnsi="Arial" w:cs="Arial"/>
          <w:sz w:val="22"/>
          <w:szCs w:val="22"/>
          <w:lang w:val="en-GB"/>
        </w:rPr>
        <w:t>Transfer of jurisdiction of the supervision of the estate to the Lord Chancellor. A bankruptcy proceeding could be opened by a creditor following an "act of bankruptcy" by the debtor. Creditors could thus petition the Lord Chancellor to convene a bankruptcy meeting, who could appoint Bankruptcy Commissioner to supervise the process.</w:t>
      </w:r>
    </w:p>
    <w:p w14:paraId="1F226E1D" w14:textId="77777777" w:rsidR="00865EF4" w:rsidRPr="00865EF4" w:rsidRDefault="00865EF4" w:rsidP="00865EF4">
      <w:pPr>
        <w:pStyle w:val="ListParagraph"/>
        <w:numPr>
          <w:ilvl w:val="0"/>
          <w:numId w:val="29"/>
        </w:numPr>
        <w:jc w:val="both"/>
        <w:rPr>
          <w:rFonts w:ascii="Arial" w:hAnsi="Arial" w:cs="Arial"/>
          <w:sz w:val="22"/>
          <w:szCs w:val="22"/>
          <w:lang w:val="en-GB"/>
        </w:rPr>
      </w:pPr>
      <w:r w:rsidRPr="00865EF4">
        <w:rPr>
          <w:rFonts w:ascii="Arial" w:hAnsi="Arial" w:cs="Arial"/>
          <w:sz w:val="22"/>
          <w:szCs w:val="22"/>
          <w:lang w:val="en-GB"/>
        </w:rPr>
        <w:t xml:space="preserve">The commissioners would examine the </w:t>
      </w:r>
      <w:proofErr w:type="gramStart"/>
      <w:r w:rsidRPr="00865EF4">
        <w:rPr>
          <w:rFonts w:ascii="Arial" w:hAnsi="Arial" w:cs="Arial"/>
          <w:sz w:val="22"/>
          <w:szCs w:val="22"/>
          <w:lang w:val="en-GB"/>
        </w:rPr>
        <w:t>debtors</w:t>
      </w:r>
      <w:proofErr w:type="gramEnd"/>
      <w:r w:rsidRPr="00865EF4">
        <w:rPr>
          <w:rFonts w:ascii="Arial" w:hAnsi="Arial" w:cs="Arial"/>
          <w:sz w:val="22"/>
          <w:szCs w:val="22"/>
          <w:lang w:val="en-GB"/>
        </w:rPr>
        <w:t xml:space="preserve"> transactions and property and the debtor was obligated to transfer his property to the Commissioner.</w:t>
      </w:r>
    </w:p>
    <w:p w14:paraId="06E70DDA" w14:textId="77777777" w:rsidR="00865EF4" w:rsidRPr="00865EF4" w:rsidRDefault="00865EF4" w:rsidP="00865EF4">
      <w:pPr>
        <w:pStyle w:val="ListParagraph"/>
        <w:numPr>
          <w:ilvl w:val="0"/>
          <w:numId w:val="29"/>
        </w:numPr>
        <w:jc w:val="both"/>
        <w:rPr>
          <w:rFonts w:ascii="Arial" w:hAnsi="Arial" w:cs="Arial"/>
          <w:sz w:val="22"/>
          <w:szCs w:val="22"/>
          <w:lang w:val="en-GB"/>
        </w:rPr>
      </w:pPr>
      <w:r w:rsidRPr="00865EF4">
        <w:rPr>
          <w:rFonts w:ascii="Arial" w:hAnsi="Arial" w:cs="Arial"/>
          <w:sz w:val="22"/>
          <w:szCs w:val="22"/>
          <w:lang w:val="en-GB"/>
        </w:rPr>
        <w:t>The commissioner could summon the persons for questioning and they could even commit people to prison.</w:t>
      </w:r>
    </w:p>
    <w:p w14:paraId="690B2A53" w14:textId="77777777" w:rsidR="00865EF4" w:rsidRPr="00865EF4" w:rsidRDefault="00865EF4" w:rsidP="00865EF4">
      <w:pPr>
        <w:pStyle w:val="ListParagraph"/>
        <w:ind w:left="1080"/>
        <w:jc w:val="both"/>
        <w:rPr>
          <w:rFonts w:ascii="Arial" w:hAnsi="Arial" w:cs="Arial"/>
          <w:sz w:val="22"/>
          <w:szCs w:val="22"/>
          <w:lang w:val="en-GB"/>
        </w:rPr>
      </w:pPr>
    </w:p>
    <w:p w14:paraId="6C63B2F4" w14:textId="69168387" w:rsidR="00865EF4" w:rsidRPr="00865EF4" w:rsidRDefault="00865EF4" w:rsidP="00FD082D">
      <w:pPr>
        <w:ind w:right="-64"/>
        <w:jc w:val="both"/>
        <w:rPr>
          <w:rFonts w:ascii="Arial" w:hAnsi="Arial" w:cs="Arial"/>
          <w:sz w:val="22"/>
          <w:szCs w:val="22"/>
          <w:lang w:val="en-GB"/>
        </w:rPr>
      </w:pPr>
      <w:r w:rsidRPr="00865EF4">
        <w:rPr>
          <w:rFonts w:ascii="Arial" w:hAnsi="Arial" w:cs="Arial"/>
          <w:sz w:val="22"/>
          <w:szCs w:val="22"/>
          <w:lang w:val="en-GB"/>
        </w:rPr>
        <w:t>Reference:</w:t>
      </w:r>
      <w:r w:rsidR="00FD082D">
        <w:rPr>
          <w:rFonts w:ascii="Arial" w:hAnsi="Arial" w:cs="Arial"/>
          <w:sz w:val="22"/>
          <w:szCs w:val="22"/>
          <w:lang w:val="en-GB"/>
        </w:rPr>
        <w:t xml:space="preserve"> </w:t>
      </w:r>
      <w:hyperlink r:id="rId12" w:history="1">
        <w:r w:rsidRPr="005104D7">
          <w:rPr>
            <w:rStyle w:val="Hyperlink"/>
            <w:rFonts w:ascii="Arial" w:hAnsi="Arial" w:cs="Arial"/>
            <w:sz w:val="22"/>
            <w:szCs w:val="22"/>
            <w:lang w:val="en-GB"/>
          </w:rPr>
          <w:t>https://scholarship.law.upenn.edu/cgi/viewcontent.cgi?article=7663&amp;context=penn_law_review</w:t>
        </w:r>
      </w:hyperlink>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07AE93D2" w14:textId="7D9AD7FD" w:rsidR="00C72F40" w:rsidRPr="00C72F40" w:rsidRDefault="00C72F40" w:rsidP="00C72F40">
      <w:pPr>
        <w:jc w:val="both"/>
        <w:rPr>
          <w:rFonts w:ascii="Arial" w:hAnsi="Arial" w:cs="Arial"/>
          <w:sz w:val="22"/>
          <w:szCs w:val="22"/>
        </w:rPr>
      </w:pPr>
      <w:r>
        <w:rPr>
          <w:rFonts w:ascii="Arial" w:hAnsi="Arial" w:cs="Arial"/>
          <w:sz w:val="22"/>
          <w:szCs w:val="22"/>
        </w:rPr>
        <w:t xml:space="preserve">Wessels, the Dutch commentator himself concedes that the above definition has limitations. He refers to the definition quoted by </w:t>
      </w:r>
      <w:r w:rsidRPr="00C72F40">
        <w:rPr>
          <w:rFonts w:ascii="Arial" w:hAnsi="Arial" w:cs="Arial"/>
          <w:sz w:val="22"/>
          <w:szCs w:val="22"/>
        </w:rPr>
        <w:t>Fletcher, “International insolvency or cross-border insolvency· should be considered as a situation in which an insolvency occurs in circumstances which in some way transcend the confines of a single legal system, so that a single set of domestic insolvency law provisions cannot be immediately and exclusively applied without regard to the issues raised by the foreign elements of the case.”</w:t>
      </w:r>
    </w:p>
    <w:p w14:paraId="4F699563" w14:textId="77777777" w:rsidR="00C72F40" w:rsidRPr="00C72F40" w:rsidRDefault="00C72F40" w:rsidP="00C72F40">
      <w:pPr>
        <w:jc w:val="both"/>
        <w:rPr>
          <w:rFonts w:ascii="Arial" w:hAnsi="Arial" w:cs="Arial"/>
          <w:sz w:val="22"/>
          <w:szCs w:val="22"/>
        </w:rPr>
      </w:pPr>
    </w:p>
    <w:p w14:paraId="2094D65A" w14:textId="77777777" w:rsidR="00C72F40" w:rsidRPr="00C72F40" w:rsidRDefault="00C72F40" w:rsidP="00C72F40">
      <w:pPr>
        <w:jc w:val="both"/>
        <w:rPr>
          <w:rFonts w:ascii="Arial" w:hAnsi="Arial" w:cs="Arial"/>
          <w:sz w:val="22"/>
          <w:szCs w:val="22"/>
        </w:rPr>
      </w:pPr>
      <w:r w:rsidRPr="00C72F40">
        <w:rPr>
          <w:rFonts w:ascii="Arial" w:hAnsi="Arial" w:cs="Arial"/>
          <w:sz w:val="22"/>
          <w:szCs w:val="22"/>
        </w:rPr>
        <w:t xml:space="preserve">One can understand from above that the international insolvency laws are the norm and not the exception. </w:t>
      </w:r>
    </w:p>
    <w:p w14:paraId="7EFBE70E" w14:textId="77777777" w:rsidR="00C72F40" w:rsidRPr="00C72F40" w:rsidRDefault="00C72F40" w:rsidP="00C72F40">
      <w:pPr>
        <w:jc w:val="both"/>
        <w:rPr>
          <w:rFonts w:ascii="Arial" w:hAnsi="Arial" w:cs="Arial"/>
          <w:sz w:val="22"/>
          <w:szCs w:val="22"/>
        </w:rPr>
      </w:pPr>
    </w:p>
    <w:p w14:paraId="20DC11B4" w14:textId="77777777" w:rsidR="00C72F40" w:rsidRPr="00C72F40" w:rsidRDefault="00C72F40" w:rsidP="00C72F40">
      <w:pPr>
        <w:jc w:val="both"/>
        <w:rPr>
          <w:rFonts w:ascii="Arial" w:hAnsi="Arial" w:cs="Arial"/>
          <w:sz w:val="22"/>
          <w:szCs w:val="22"/>
        </w:rPr>
      </w:pPr>
      <w:r w:rsidRPr="00C72F40">
        <w:rPr>
          <w:rFonts w:ascii="Arial" w:hAnsi="Arial" w:cs="Arial"/>
          <w:sz w:val="22"/>
          <w:szCs w:val="22"/>
        </w:rPr>
        <w:t xml:space="preserve">International Insolvency is the brainchild of globalization. In the current world economy. national borders are becoming increasingly irrelevant. Irrespective of a formalized common market, communications and interaction between individuals, businesses and States have given rise to transnational or cross-border cases of insolvency. Investments and the establishment of branches and subsidiaries in foreign countries are common. </w:t>
      </w:r>
    </w:p>
    <w:p w14:paraId="359FE58E" w14:textId="77777777" w:rsidR="00C72F40" w:rsidRPr="00C72F40" w:rsidRDefault="00C72F40" w:rsidP="00C72F40">
      <w:pPr>
        <w:jc w:val="both"/>
        <w:rPr>
          <w:rFonts w:ascii="Arial" w:hAnsi="Arial" w:cs="Arial"/>
          <w:sz w:val="22"/>
          <w:szCs w:val="22"/>
        </w:rPr>
      </w:pPr>
    </w:p>
    <w:p w14:paraId="52365725" w14:textId="77777777" w:rsidR="00C72F40" w:rsidRPr="00C72F40" w:rsidRDefault="00C72F40" w:rsidP="00C72F40">
      <w:pPr>
        <w:jc w:val="both"/>
        <w:rPr>
          <w:rFonts w:ascii="Arial" w:hAnsi="Arial" w:cs="Arial"/>
          <w:sz w:val="22"/>
          <w:szCs w:val="22"/>
        </w:rPr>
      </w:pPr>
      <w:r w:rsidRPr="00C72F40">
        <w:rPr>
          <w:rFonts w:ascii="Arial" w:hAnsi="Arial" w:cs="Arial"/>
          <w:sz w:val="22"/>
          <w:szCs w:val="22"/>
        </w:rPr>
        <w:t>Thus, the application of domestic insolvency laws without consideration to international laws in cross border situation are futile. Also, without co-ordination and co-operation between different Courts of different states in a cross-border situation, there will always be a risk of multiple insolvency proceeding against the same debtor.</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19A86946" w14:textId="77777777" w:rsidR="00555932" w:rsidRDefault="00555932" w:rsidP="00555932">
      <w:pPr>
        <w:pStyle w:val="ListParagraph"/>
        <w:numPr>
          <w:ilvl w:val="0"/>
          <w:numId w:val="31"/>
        </w:numPr>
        <w:jc w:val="both"/>
        <w:rPr>
          <w:rFonts w:ascii="Arial" w:hAnsi="Arial" w:cs="Arial"/>
          <w:sz w:val="22"/>
          <w:szCs w:val="22"/>
        </w:rPr>
      </w:pPr>
      <w:r w:rsidRPr="009B1625">
        <w:rPr>
          <w:rFonts w:ascii="Arial" w:hAnsi="Arial" w:cs="Arial"/>
          <w:sz w:val="22"/>
          <w:szCs w:val="22"/>
        </w:rPr>
        <w:t xml:space="preserve">The Nordic Convention (1993) hails from the Scandinavian region, Europe and is considered as a rare successful multilateral treaty. It was signed between </w:t>
      </w:r>
      <w:r>
        <w:rPr>
          <w:rFonts w:ascii="Arial" w:hAnsi="Arial" w:cs="Arial"/>
          <w:sz w:val="22"/>
          <w:szCs w:val="22"/>
        </w:rPr>
        <w:t xml:space="preserve">5 countries viz. </w:t>
      </w:r>
      <w:r w:rsidRPr="009B1625">
        <w:rPr>
          <w:rFonts w:ascii="Arial" w:hAnsi="Arial" w:cs="Arial"/>
          <w:sz w:val="22"/>
          <w:szCs w:val="22"/>
        </w:rPr>
        <w:t>Norway, Denmark, Finland, Iceland and Sweden (1993).</w:t>
      </w:r>
      <w:r>
        <w:rPr>
          <w:rFonts w:ascii="Arial" w:hAnsi="Arial" w:cs="Arial"/>
          <w:sz w:val="22"/>
          <w:szCs w:val="22"/>
        </w:rPr>
        <w:t xml:space="preserve"> It promotes the idea of universality of a nominated insolvency, adopting unity of proceedings whilst permitting concurrent proceedings in limited circumstances.</w:t>
      </w:r>
    </w:p>
    <w:p w14:paraId="6CDB68DC" w14:textId="77777777" w:rsidR="00555932" w:rsidRDefault="00555932" w:rsidP="00555932">
      <w:pPr>
        <w:pStyle w:val="ListParagraph"/>
        <w:numPr>
          <w:ilvl w:val="0"/>
          <w:numId w:val="31"/>
        </w:numPr>
        <w:jc w:val="both"/>
        <w:rPr>
          <w:rFonts w:ascii="Arial" w:hAnsi="Arial" w:cs="Arial"/>
          <w:sz w:val="22"/>
          <w:szCs w:val="22"/>
        </w:rPr>
      </w:pPr>
      <w:r w:rsidRPr="0014067F">
        <w:rPr>
          <w:rFonts w:ascii="Arial" w:hAnsi="Arial" w:cs="Arial"/>
          <w:sz w:val="22"/>
          <w:szCs w:val="22"/>
        </w:rPr>
        <w:t>The EIR (European Insolvency Regulation) Recast: The EIR allocates jurisdictional competence to the courts of member state within which is situated the “</w:t>
      </w:r>
      <w:proofErr w:type="spellStart"/>
      <w:r w:rsidRPr="0014067F">
        <w:rPr>
          <w:rFonts w:ascii="Arial" w:hAnsi="Arial" w:cs="Arial"/>
          <w:sz w:val="22"/>
          <w:szCs w:val="22"/>
        </w:rPr>
        <w:t>centre</w:t>
      </w:r>
      <w:proofErr w:type="spellEnd"/>
      <w:r w:rsidRPr="0014067F">
        <w:rPr>
          <w:rFonts w:ascii="Arial" w:hAnsi="Arial" w:cs="Arial"/>
          <w:sz w:val="22"/>
          <w:szCs w:val="22"/>
        </w:rPr>
        <w:t xml:space="preserve"> of the </w:t>
      </w:r>
      <w:proofErr w:type="gramStart"/>
      <w:r w:rsidRPr="0014067F">
        <w:rPr>
          <w:rFonts w:ascii="Arial" w:hAnsi="Arial" w:cs="Arial"/>
          <w:sz w:val="22"/>
          <w:szCs w:val="22"/>
        </w:rPr>
        <w:t>debtors</w:t>
      </w:r>
      <w:proofErr w:type="gramEnd"/>
      <w:r w:rsidRPr="0014067F">
        <w:rPr>
          <w:rFonts w:ascii="Arial" w:hAnsi="Arial" w:cs="Arial"/>
          <w:sz w:val="22"/>
          <w:szCs w:val="22"/>
        </w:rPr>
        <w:t xml:space="preserve"> main interest”.</w:t>
      </w:r>
    </w:p>
    <w:p w14:paraId="3852B63C" w14:textId="77777777" w:rsidR="00555932" w:rsidRDefault="00555932" w:rsidP="00555932">
      <w:pPr>
        <w:pStyle w:val="ListParagraph"/>
        <w:numPr>
          <w:ilvl w:val="0"/>
          <w:numId w:val="31"/>
        </w:numPr>
        <w:jc w:val="both"/>
        <w:rPr>
          <w:rFonts w:ascii="Arial" w:hAnsi="Arial" w:cs="Arial"/>
          <w:sz w:val="22"/>
          <w:szCs w:val="22"/>
        </w:rPr>
      </w:pPr>
      <w:r w:rsidRPr="0014067F">
        <w:rPr>
          <w:rFonts w:ascii="Arial" w:hAnsi="Arial" w:cs="Arial"/>
          <w:sz w:val="22"/>
          <w:szCs w:val="22"/>
        </w:rPr>
        <w:t xml:space="preserve">UNCITRAL Model law on Cross Border Insolvency: The provisions of Model Law </w:t>
      </w:r>
      <w:proofErr w:type="gramStart"/>
      <w:r w:rsidRPr="0014067F">
        <w:rPr>
          <w:rFonts w:ascii="Arial" w:hAnsi="Arial" w:cs="Arial"/>
          <w:sz w:val="22"/>
          <w:szCs w:val="22"/>
        </w:rPr>
        <w:t>provides</w:t>
      </w:r>
      <w:proofErr w:type="gramEnd"/>
      <w:r w:rsidRPr="0014067F">
        <w:rPr>
          <w:rFonts w:ascii="Arial" w:hAnsi="Arial" w:cs="Arial"/>
          <w:sz w:val="22"/>
          <w:szCs w:val="22"/>
        </w:rPr>
        <w:t xml:space="preserve"> provisions that facilitate co-operation and co-ordination of concurrent proceedings </w:t>
      </w:r>
    </w:p>
    <w:p w14:paraId="5825EE71" w14:textId="77777777" w:rsidR="00555932" w:rsidRPr="0014067F" w:rsidRDefault="00555932" w:rsidP="00555932">
      <w:pPr>
        <w:pStyle w:val="ListParagraph"/>
        <w:numPr>
          <w:ilvl w:val="0"/>
          <w:numId w:val="31"/>
        </w:numPr>
        <w:jc w:val="both"/>
        <w:rPr>
          <w:rFonts w:ascii="Arial" w:hAnsi="Arial" w:cs="Arial"/>
          <w:sz w:val="22"/>
          <w:szCs w:val="22"/>
        </w:rPr>
      </w:pPr>
      <w:r w:rsidRPr="0014067F">
        <w:rPr>
          <w:rFonts w:ascii="Arial" w:hAnsi="Arial" w:cs="Arial"/>
          <w:sz w:val="22"/>
          <w:szCs w:val="22"/>
        </w:rPr>
        <w:t xml:space="preserve">American Law Institute (ALI) Transnational Insolvency Project </w:t>
      </w:r>
      <w:r w:rsidRPr="00427367">
        <w:rPr>
          <w:rFonts w:ascii="Arial" w:hAnsi="Arial" w:cs="Arial"/>
          <w:sz w:val="22"/>
          <w:szCs w:val="22"/>
        </w:rPr>
        <w:t>for improving the co-operation in international insolvencies across the NAFTA states (United States, Canada and Mexico)</w:t>
      </w:r>
    </w:p>
    <w:p w14:paraId="42394C4D" w14:textId="12B9547F" w:rsidR="00555932" w:rsidRPr="0014067F" w:rsidRDefault="00555932" w:rsidP="00555932">
      <w:pPr>
        <w:pStyle w:val="ListParagraph"/>
        <w:numPr>
          <w:ilvl w:val="0"/>
          <w:numId w:val="31"/>
        </w:numPr>
        <w:jc w:val="both"/>
        <w:rPr>
          <w:rFonts w:ascii="Arial" w:hAnsi="Arial" w:cs="Arial"/>
          <w:sz w:val="22"/>
          <w:szCs w:val="22"/>
        </w:rPr>
      </w:pPr>
      <w:r w:rsidRPr="00427367">
        <w:rPr>
          <w:rFonts w:ascii="Arial" w:hAnsi="Arial" w:cs="Arial"/>
          <w:sz w:val="22"/>
          <w:szCs w:val="22"/>
        </w:rPr>
        <w:t>J</w:t>
      </w:r>
      <w:r w:rsidRPr="0014067F">
        <w:rPr>
          <w:rFonts w:ascii="Arial" w:hAnsi="Arial" w:cs="Arial"/>
          <w:sz w:val="22"/>
          <w:szCs w:val="22"/>
        </w:rPr>
        <w:t>udicial Insolvency Network (JIN): It is a network of insolvency judges from across the world with the aim of providing judicial thought leadership, developing best practices and facilitat</w:t>
      </w:r>
      <w:r>
        <w:rPr>
          <w:rFonts w:ascii="Arial" w:hAnsi="Arial" w:cs="Arial"/>
          <w:sz w:val="22"/>
          <w:szCs w:val="22"/>
        </w:rPr>
        <w:t>ing</w:t>
      </w:r>
      <w:r w:rsidRPr="0014067F">
        <w:rPr>
          <w:rFonts w:ascii="Arial" w:hAnsi="Arial" w:cs="Arial"/>
          <w:sz w:val="22"/>
          <w:szCs w:val="22"/>
        </w:rPr>
        <w:t xml:space="preserve"> communication and co-ordination amongst national courts in cross-border insolvency and restructuring matters</w:t>
      </w:r>
      <w:r w:rsidR="00530AAD">
        <w:rPr>
          <w:rFonts w:ascii="Arial" w:hAnsi="Arial" w:cs="Arial"/>
          <w:sz w:val="22"/>
          <w:szCs w:val="22"/>
        </w:rPr>
        <w:t>.</w:t>
      </w: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bookmarkStart w:id="0" w:name="_Hlk119299560"/>
      <w:r w:rsidRPr="004216EA">
        <w:rPr>
          <w:rFonts w:ascii="Avenir Next" w:hAnsi="Avenir Next" w:cs="Arial"/>
          <w:sz w:val="22"/>
          <w:szCs w:val="22"/>
          <w:lang w:val="en-GB"/>
        </w:rPr>
        <w:t xml:space="preserve">If you require additional information to answer these questions, briefly state what it is and why it is relevant.  </w:t>
      </w:r>
    </w:p>
    <w:bookmarkEnd w:id="0"/>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729FA7D" w14:textId="32F334B9" w:rsidR="00397707" w:rsidRDefault="00397707" w:rsidP="00397707">
      <w:pPr>
        <w:jc w:val="both"/>
        <w:rPr>
          <w:rFonts w:ascii="Arial" w:hAnsi="Arial" w:cs="Arial"/>
          <w:sz w:val="22"/>
          <w:szCs w:val="22"/>
        </w:rPr>
      </w:pPr>
      <w:r>
        <w:rPr>
          <w:rFonts w:ascii="Arial" w:hAnsi="Arial" w:cs="Arial"/>
          <w:sz w:val="22"/>
          <w:szCs w:val="22"/>
        </w:rPr>
        <w:t>Formal insolvency proceedings are those which ar</w:t>
      </w:r>
      <w:r w:rsidR="00530AAD">
        <w:rPr>
          <w:rFonts w:ascii="Arial" w:hAnsi="Arial" w:cs="Arial"/>
          <w:sz w:val="22"/>
          <w:szCs w:val="22"/>
        </w:rPr>
        <w:t xml:space="preserve">e </w:t>
      </w:r>
      <w:r>
        <w:rPr>
          <w:rFonts w:ascii="Arial" w:hAnsi="Arial" w:cs="Arial"/>
          <w:sz w:val="22"/>
          <w:szCs w:val="22"/>
        </w:rPr>
        <w:t>commenced under the insolvency law and governed by that law. They include both liquidation and reorganization or rescue proceeding.</w:t>
      </w:r>
    </w:p>
    <w:p w14:paraId="307B76D6" w14:textId="77777777" w:rsidR="00397707" w:rsidRDefault="00397707" w:rsidP="00397707">
      <w:pPr>
        <w:jc w:val="both"/>
        <w:rPr>
          <w:rFonts w:ascii="Arial" w:hAnsi="Arial" w:cs="Arial"/>
          <w:sz w:val="22"/>
          <w:szCs w:val="22"/>
        </w:rPr>
      </w:pPr>
    </w:p>
    <w:p w14:paraId="0B8AB907" w14:textId="50EFD7B1" w:rsidR="00397707" w:rsidRDefault="00397707" w:rsidP="00397707">
      <w:pPr>
        <w:jc w:val="both"/>
        <w:rPr>
          <w:rFonts w:ascii="Arial" w:hAnsi="Arial" w:cs="Arial"/>
          <w:sz w:val="22"/>
          <w:szCs w:val="22"/>
        </w:rPr>
      </w:pPr>
      <w:r>
        <w:rPr>
          <w:rFonts w:ascii="Arial" w:hAnsi="Arial" w:cs="Arial"/>
          <w:sz w:val="22"/>
          <w:szCs w:val="22"/>
        </w:rPr>
        <w:t>Informal insolvency proceeding is not (always) regulated by the insolvency law and will generally involve negotiations between the debtor and some or all of its creditors.</w:t>
      </w:r>
    </w:p>
    <w:p w14:paraId="63E8E761" w14:textId="77777777" w:rsidR="00397707" w:rsidRDefault="00397707" w:rsidP="00397707">
      <w:pPr>
        <w:jc w:val="both"/>
        <w:rPr>
          <w:rFonts w:ascii="Arial" w:hAnsi="Arial" w:cs="Arial"/>
          <w:sz w:val="22"/>
          <w:szCs w:val="22"/>
        </w:rPr>
      </w:pPr>
    </w:p>
    <w:p w14:paraId="79016A06" w14:textId="1EAC81C9" w:rsidR="00397707" w:rsidRDefault="00397707" w:rsidP="00397707">
      <w:pPr>
        <w:jc w:val="both"/>
        <w:rPr>
          <w:rFonts w:ascii="Arial" w:hAnsi="Arial" w:cs="Arial"/>
          <w:sz w:val="22"/>
          <w:szCs w:val="22"/>
        </w:rPr>
      </w:pPr>
      <w:r>
        <w:rPr>
          <w:rFonts w:ascii="Arial" w:hAnsi="Arial" w:cs="Arial"/>
          <w:sz w:val="22"/>
          <w:szCs w:val="22"/>
        </w:rPr>
        <w:t xml:space="preserve">While considering </w:t>
      </w:r>
      <w:r w:rsidRPr="008A74A7">
        <w:rPr>
          <w:rFonts w:ascii="Arial" w:hAnsi="Arial" w:cs="Arial"/>
          <w:sz w:val="22"/>
          <w:szCs w:val="22"/>
        </w:rPr>
        <w:t>any informal out-of-court workout arrangement it could enter with FPPL, compared with its formal debt recovery options</w:t>
      </w:r>
      <w:r>
        <w:rPr>
          <w:rFonts w:ascii="Arial" w:hAnsi="Arial" w:cs="Arial"/>
          <w:sz w:val="22"/>
          <w:szCs w:val="22"/>
        </w:rPr>
        <w:t>, Lobo should contemplate the following:</w:t>
      </w:r>
    </w:p>
    <w:p w14:paraId="5AFBBD6E" w14:textId="77777777" w:rsidR="00A06BC1" w:rsidRDefault="00A06BC1" w:rsidP="00397707">
      <w:pPr>
        <w:jc w:val="both"/>
        <w:rPr>
          <w:rFonts w:ascii="Arial" w:hAnsi="Arial" w:cs="Arial"/>
          <w:sz w:val="22"/>
          <w:szCs w:val="22"/>
        </w:rPr>
      </w:pPr>
    </w:p>
    <w:p w14:paraId="464D56B3" w14:textId="77777777" w:rsidR="00397707" w:rsidRDefault="00397707" w:rsidP="00530AAD">
      <w:pPr>
        <w:pStyle w:val="ListParagraph"/>
        <w:numPr>
          <w:ilvl w:val="0"/>
          <w:numId w:val="32"/>
        </w:numPr>
        <w:ind w:left="360"/>
        <w:jc w:val="both"/>
        <w:rPr>
          <w:rFonts w:ascii="Arial" w:hAnsi="Arial" w:cs="Arial"/>
          <w:sz w:val="22"/>
          <w:szCs w:val="22"/>
        </w:rPr>
      </w:pPr>
      <w:r>
        <w:rPr>
          <w:rFonts w:ascii="Arial" w:hAnsi="Arial" w:cs="Arial"/>
          <w:sz w:val="22"/>
          <w:szCs w:val="22"/>
        </w:rPr>
        <w:t xml:space="preserve">Adoption of Model Law or Cross Border insolvency treaty or convention between Encanto and </w:t>
      </w:r>
      <w:proofErr w:type="spellStart"/>
      <w:r>
        <w:rPr>
          <w:rFonts w:ascii="Arial" w:hAnsi="Arial" w:cs="Arial"/>
          <w:sz w:val="22"/>
          <w:szCs w:val="22"/>
        </w:rPr>
        <w:t>Asgard</w:t>
      </w:r>
      <w:proofErr w:type="spellEnd"/>
      <w:r>
        <w:rPr>
          <w:rFonts w:ascii="Arial" w:hAnsi="Arial" w:cs="Arial"/>
          <w:sz w:val="22"/>
          <w:szCs w:val="22"/>
        </w:rPr>
        <w:t>.</w:t>
      </w:r>
    </w:p>
    <w:p w14:paraId="2003E7DF" w14:textId="77777777" w:rsidR="00397707" w:rsidRDefault="00397707" w:rsidP="00530AAD">
      <w:pPr>
        <w:pStyle w:val="ListParagraph"/>
        <w:ind w:left="360"/>
        <w:jc w:val="both"/>
        <w:rPr>
          <w:rFonts w:ascii="Arial" w:hAnsi="Arial" w:cs="Arial"/>
          <w:sz w:val="22"/>
          <w:szCs w:val="22"/>
        </w:rPr>
      </w:pPr>
    </w:p>
    <w:p w14:paraId="50E31D7E" w14:textId="77777777" w:rsidR="00397707" w:rsidRPr="00B20BC5" w:rsidRDefault="00397707" w:rsidP="00530AAD">
      <w:pPr>
        <w:pStyle w:val="ListParagraph"/>
        <w:numPr>
          <w:ilvl w:val="0"/>
          <w:numId w:val="32"/>
        </w:numPr>
        <w:ind w:left="360"/>
        <w:jc w:val="both"/>
        <w:rPr>
          <w:rFonts w:ascii="Arial" w:hAnsi="Arial" w:cs="Arial"/>
          <w:sz w:val="22"/>
          <w:szCs w:val="22"/>
        </w:rPr>
      </w:pPr>
      <w:r w:rsidRPr="00B20BC5">
        <w:rPr>
          <w:rFonts w:ascii="Arial" w:hAnsi="Arial" w:cs="Arial"/>
          <w:sz w:val="22"/>
          <w:szCs w:val="22"/>
        </w:rPr>
        <w:t>Administra</w:t>
      </w:r>
      <w:r>
        <w:rPr>
          <w:rFonts w:ascii="Arial" w:hAnsi="Arial" w:cs="Arial"/>
          <w:sz w:val="22"/>
          <w:szCs w:val="22"/>
        </w:rPr>
        <w:t>tiv</w:t>
      </w:r>
      <w:r w:rsidRPr="00B20BC5">
        <w:rPr>
          <w:rFonts w:ascii="Arial" w:hAnsi="Arial" w:cs="Arial"/>
          <w:sz w:val="22"/>
          <w:szCs w:val="22"/>
        </w:rPr>
        <w:t xml:space="preserve">e claim or expense: </w:t>
      </w:r>
      <w:r>
        <w:rPr>
          <w:rFonts w:ascii="Arial" w:hAnsi="Arial" w:cs="Arial"/>
          <w:sz w:val="22"/>
          <w:szCs w:val="22"/>
        </w:rPr>
        <w:t>The</w:t>
      </w:r>
      <w:r w:rsidRPr="00B20BC5">
        <w:rPr>
          <w:rFonts w:ascii="Arial" w:hAnsi="Arial" w:cs="Arial"/>
          <w:sz w:val="22"/>
          <w:szCs w:val="22"/>
        </w:rPr>
        <w:t xml:space="preserve"> costs and expenses of the proceedings, such as remunerat</w:t>
      </w:r>
      <w:r>
        <w:rPr>
          <w:rFonts w:ascii="Arial" w:hAnsi="Arial" w:cs="Arial"/>
          <w:sz w:val="22"/>
          <w:szCs w:val="22"/>
        </w:rPr>
        <w:t>i</w:t>
      </w:r>
      <w:r w:rsidRPr="00B20BC5">
        <w:rPr>
          <w:rFonts w:ascii="Arial" w:hAnsi="Arial" w:cs="Arial"/>
          <w:sz w:val="22"/>
          <w:szCs w:val="22"/>
        </w:rPr>
        <w:t>on of the</w:t>
      </w:r>
      <w:r>
        <w:rPr>
          <w:rFonts w:ascii="Arial" w:hAnsi="Arial" w:cs="Arial"/>
          <w:sz w:val="22"/>
          <w:szCs w:val="22"/>
        </w:rPr>
        <w:t xml:space="preserve"> </w:t>
      </w:r>
      <w:r w:rsidRPr="00B20BC5">
        <w:rPr>
          <w:rFonts w:ascii="Arial" w:hAnsi="Arial" w:cs="Arial"/>
          <w:sz w:val="22"/>
          <w:szCs w:val="22"/>
        </w:rPr>
        <w:t>insolvency representative and any professionals employed by the insolvency representative, expenses for the continued operation of the debtor</w:t>
      </w:r>
      <w:r>
        <w:rPr>
          <w:rFonts w:ascii="Arial" w:hAnsi="Arial" w:cs="Arial"/>
          <w:sz w:val="22"/>
          <w:szCs w:val="22"/>
        </w:rPr>
        <w:t xml:space="preserve"> (FPPL)</w:t>
      </w:r>
      <w:r w:rsidRPr="00B20BC5">
        <w:rPr>
          <w:rFonts w:ascii="Arial" w:hAnsi="Arial" w:cs="Arial"/>
          <w:sz w:val="22"/>
          <w:szCs w:val="22"/>
        </w:rPr>
        <w:t>, debts arising from the exercise of the insolvency representative's functions and powers, costs arising from continuing contractual and legal obligations and costs of proceedings.</w:t>
      </w:r>
    </w:p>
    <w:p w14:paraId="33EF4F8E" w14:textId="77777777" w:rsidR="00397707" w:rsidRPr="009E54B3" w:rsidRDefault="00397707" w:rsidP="00530AAD">
      <w:pPr>
        <w:pStyle w:val="ListParagraph"/>
        <w:ind w:left="360"/>
        <w:jc w:val="both"/>
        <w:rPr>
          <w:rFonts w:ascii="Arial" w:hAnsi="Arial" w:cs="Arial"/>
          <w:sz w:val="22"/>
          <w:szCs w:val="22"/>
        </w:rPr>
      </w:pPr>
    </w:p>
    <w:p w14:paraId="7ECBB9D2" w14:textId="77777777" w:rsidR="00397707" w:rsidRPr="009E54B3" w:rsidRDefault="00397707" w:rsidP="00530AAD">
      <w:pPr>
        <w:pStyle w:val="ListParagraph"/>
        <w:numPr>
          <w:ilvl w:val="0"/>
          <w:numId w:val="32"/>
        </w:numPr>
        <w:ind w:left="360"/>
        <w:jc w:val="both"/>
        <w:rPr>
          <w:rFonts w:ascii="Arial" w:hAnsi="Arial" w:cs="Arial"/>
          <w:sz w:val="22"/>
          <w:szCs w:val="22"/>
        </w:rPr>
      </w:pPr>
      <w:r w:rsidRPr="009E54B3">
        <w:rPr>
          <w:rFonts w:ascii="Arial" w:hAnsi="Arial" w:cs="Arial"/>
          <w:sz w:val="22"/>
          <w:szCs w:val="22"/>
        </w:rPr>
        <w:t xml:space="preserve">Assets of the </w:t>
      </w:r>
      <w:r>
        <w:rPr>
          <w:rFonts w:ascii="Arial" w:hAnsi="Arial" w:cs="Arial"/>
          <w:sz w:val="22"/>
          <w:szCs w:val="22"/>
        </w:rPr>
        <w:t>FPPL</w:t>
      </w:r>
      <w:r w:rsidRPr="009E54B3">
        <w:rPr>
          <w:rFonts w:ascii="Arial" w:hAnsi="Arial" w:cs="Arial"/>
          <w:sz w:val="22"/>
          <w:szCs w:val="22"/>
        </w:rPr>
        <w:t xml:space="preserve">: </w:t>
      </w:r>
      <w:r>
        <w:rPr>
          <w:rFonts w:ascii="Arial" w:hAnsi="Arial" w:cs="Arial"/>
          <w:sz w:val="22"/>
          <w:szCs w:val="22"/>
        </w:rPr>
        <w:t>The p</w:t>
      </w:r>
      <w:r w:rsidRPr="009E54B3">
        <w:rPr>
          <w:rFonts w:ascii="Arial" w:hAnsi="Arial" w:cs="Arial"/>
          <w:sz w:val="22"/>
          <w:szCs w:val="22"/>
        </w:rPr>
        <w:t xml:space="preserve">roperty, rights and interests of the </w:t>
      </w:r>
      <w:r>
        <w:rPr>
          <w:rFonts w:ascii="Arial" w:hAnsi="Arial" w:cs="Arial"/>
          <w:sz w:val="22"/>
          <w:szCs w:val="22"/>
        </w:rPr>
        <w:t>FPPL</w:t>
      </w:r>
      <w:r w:rsidRPr="009E54B3">
        <w:rPr>
          <w:rFonts w:ascii="Arial" w:hAnsi="Arial" w:cs="Arial"/>
          <w:sz w:val="22"/>
          <w:szCs w:val="22"/>
        </w:rPr>
        <w:t>,</w:t>
      </w:r>
      <w:r>
        <w:rPr>
          <w:rFonts w:ascii="Arial" w:hAnsi="Arial" w:cs="Arial"/>
          <w:sz w:val="22"/>
          <w:szCs w:val="22"/>
        </w:rPr>
        <w:t xml:space="preserve"> </w:t>
      </w:r>
      <w:r w:rsidRPr="009E54B3">
        <w:rPr>
          <w:rFonts w:ascii="Arial" w:hAnsi="Arial" w:cs="Arial"/>
          <w:sz w:val="22"/>
          <w:szCs w:val="22"/>
        </w:rPr>
        <w:t>including</w:t>
      </w:r>
      <w:r>
        <w:rPr>
          <w:rFonts w:ascii="Arial" w:hAnsi="Arial" w:cs="Arial"/>
          <w:sz w:val="22"/>
          <w:szCs w:val="22"/>
        </w:rPr>
        <w:t xml:space="preserve"> </w:t>
      </w:r>
      <w:r w:rsidRPr="009E54B3">
        <w:rPr>
          <w:rFonts w:ascii="Arial" w:hAnsi="Arial" w:cs="Arial"/>
          <w:sz w:val="22"/>
          <w:szCs w:val="22"/>
        </w:rPr>
        <w:t xml:space="preserve">rights and interests in property, whether or not in the possession of the </w:t>
      </w:r>
      <w:r>
        <w:rPr>
          <w:rFonts w:ascii="Arial" w:hAnsi="Arial" w:cs="Arial"/>
          <w:sz w:val="22"/>
          <w:szCs w:val="22"/>
        </w:rPr>
        <w:t>FPPL</w:t>
      </w:r>
      <w:r w:rsidRPr="009E54B3">
        <w:rPr>
          <w:rFonts w:ascii="Arial" w:hAnsi="Arial" w:cs="Arial"/>
          <w:sz w:val="22"/>
          <w:szCs w:val="22"/>
        </w:rPr>
        <w:t>, tangible or</w:t>
      </w:r>
      <w:r>
        <w:rPr>
          <w:rFonts w:ascii="Arial" w:hAnsi="Arial" w:cs="Arial"/>
          <w:sz w:val="22"/>
          <w:szCs w:val="22"/>
        </w:rPr>
        <w:t xml:space="preserve"> </w:t>
      </w:r>
      <w:r w:rsidRPr="009E54B3">
        <w:rPr>
          <w:rFonts w:ascii="Arial" w:hAnsi="Arial" w:cs="Arial"/>
          <w:sz w:val="22"/>
          <w:szCs w:val="22"/>
        </w:rPr>
        <w:t>intangible, movable or immovable, including the debtor's inte</w:t>
      </w:r>
      <w:r>
        <w:rPr>
          <w:rFonts w:ascii="Arial" w:hAnsi="Arial" w:cs="Arial"/>
          <w:sz w:val="22"/>
          <w:szCs w:val="22"/>
        </w:rPr>
        <w:t>re</w:t>
      </w:r>
      <w:r w:rsidRPr="009E54B3">
        <w:rPr>
          <w:rFonts w:ascii="Arial" w:hAnsi="Arial" w:cs="Arial"/>
          <w:sz w:val="22"/>
          <w:szCs w:val="22"/>
        </w:rPr>
        <w:t>sts in encumbered assets or in third party-owned</w:t>
      </w:r>
    </w:p>
    <w:p w14:paraId="68A4B92E" w14:textId="77777777" w:rsidR="00397707" w:rsidRPr="006F1365" w:rsidRDefault="00397707" w:rsidP="00530AAD">
      <w:pPr>
        <w:jc w:val="both"/>
        <w:rPr>
          <w:rFonts w:ascii="Arial" w:hAnsi="Arial" w:cs="Arial"/>
          <w:sz w:val="22"/>
          <w:szCs w:val="22"/>
        </w:rPr>
      </w:pPr>
    </w:p>
    <w:p w14:paraId="1260F859" w14:textId="77777777" w:rsidR="00397707" w:rsidRPr="009E54B3" w:rsidRDefault="00397707" w:rsidP="00530AAD">
      <w:pPr>
        <w:pStyle w:val="ListParagraph"/>
        <w:numPr>
          <w:ilvl w:val="0"/>
          <w:numId w:val="32"/>
        </w:numPr>
        <w:ind w:left="360"/>
        <w:jc w:val="both"/>
        <w:rPr>
          <w:rFonts w:ascii="Arial" w:hAnsi="Arial" w:cs="Arial"/>
          <w:sz w:val="22"/>
          <w:szCs w:val="22"/>
        </w:rPr>
      </w:pPr>
      <w:r w:rsidRPr="009E54B3">
        <w:rPr>
          <w:rFonts w:ascii="Arial" w:hAnsi="Arial" w:cs="Arial"/>
          <w:sz w:val="22"/>
          <w:szCs w:val="22"/>
        </w:rPr>
        <w:t>Burdensome assets:</w:t>
      </w:r>
      <w:r>
        <w:rPr>
          <w:rFonts w:ascii="Arial" w:hAnsi="Arial" w:cs="Arial"/>
          <w:sz w:val="22"/>
          <w:szCs w:val="22"/>
        </w:rPr>
        <w:t xml:space="preserve"> Whether FPPL has any </w:t>
      </w:r>
      <w:r w:rsidRPr="009E54B3">
        <w:rPr>
          <w:rFonts w:ascii="Arial" w:hAnsi="Arial" w:cs="Arial"/>
          <w:sz w:val="22"/>
          <w:szCs w:val="22"/>
        </w:rPr>
        <w:t xml:space="preserve">assets that may </w:t>
      </w:r>
      <w:r>
        <w:rPr>
          <w:rFonts w:ascii="Arial" w:hAnsi="Arial" w:cs="Arial"/>
          <w:sz w:val="22"/>
          <w:szCs w:val="22"/>
        </w:rPr>
        <w:t>have</w:t>
      </w:r>
      <w:r w:rsidRPr="009E54B3">
        <w:rPr>
          <w:rFonts w:ascii="Arial" w:hAnsi="Arial" w:cs="Arial"/>
          <w:sz w:val="22"/>
          <w:szCs w:val="22"/>
        </w:rPr>
        <w:t xml:space="preserve"> no value or an</w:t>
      </w:r>
      <w:r>
        <w:rPr>
          <w:rFonts w:ascii="Arial" w:hAnsi="Arial" w:cs="Arial"/>
          <w:sz w:val="22"/>
          <w:szCs w:val="22"/>
        </w:rPr>
        <w:t xml:space="preserve"> </w:t>
      </w:r>
      <w:r w:rsidRPr="009E54B3">
        <w:rPr>
          <w:rFonts w:ascii="Arial" w:hAnsi="Arial" w:cs="Arial"/>
          <w:sz w:val="22"/>
          <w:szCs w:val="22"/>
        </w:rPr>
        <w:t>insignificant value to the insolvency estate or that are burdened in</w:t>
      </w:r>
      <w:r>
        <w:rPr>
          <w:rFonts w:ascii="Arial" w:hAnsi="Arial" w:cs="Arial"/>
          <w:sz w:val="22"/>
          <w:szCs w:val="22"/>
        </w:rPr>
        <w:t xml:space="preserve"> </w:t>
      </w:r>
      <w:r w:rsidRPr="009E54B3">
        <w:rPr>
          <w:rFonts w:ascii="Arial" w:hAnsi="Arial" w:cs="Arial"/>
          <w:sz w:val="22"/>
          <w:szCs w:val="22"/>
        </w:rPr>
        <w:t>such a wa</w:t>
      </w:r>
      <w:r>
        <w:rPr>
          <w:rFonts w:ascii="Arial" w:hAnsi="Arial" w:cs="Arial"/>
          <w:sz w:val="22"/>
          <w:szCs w:val="22"/>
        </w:rPr>
        <w:t xml:space="preserve">y </w:t>
      </w:r>
      <w:r w:rsidRPr="009E54B3">
        <w:rPr>
          <w:rFonts w:ascii="Arial" w:hAnsi="Arial" w:cs="Arial"/>
          <w:sz w:val="22"/>
          <w:szCs w:val="22"/>
        </w:rPr>
        <w:t xml:space="preserve">that retention would require expenditure that would exceed the proceeds of </w:t>
      </w:r>
      <w:proofErr w:type="spellStart"/>
      <w:r w:rsidRPr="009E54B3">
        <w:rPr>
          <w:rFonts w:ascii="Arial" w:hAnsi="Arial" w:cs="Arial"/>
          <w:sz w:val="22"/>
          <w:szCs w:val="22"/>
        </w:rPr>
        <w:t>realisation</w:t>
      </w:r>
      <w:proofErr w:type="spellEnd"/>
      <w:r w:rsidRPr="009E54B3">
        <w:rPr>
          <w:rFonts w:ascii="Arial" w:hAnsi="Arial" w:cs="Arial"/>
          <w:sz w:val="22"/>
          <w:szCs w:val="22"/>
        </w:rPr>
        <w:t xml:space="preserve"> of the asset or give rise to an onerous obligation or a liability to pay money.</w:t>
      </w:r>
    </w:p>
    <w:p w14:paraId="2D24319E" w14:textId="77777777" w:rsidR="00397707" w:rsidRPr="009E54B3" w:rsidRDefault="00397707" w:rsidP="00530AAD">
      <w:pPr>
        <w:pStyle w:val="ListParagraph"/>
        <w:ind w:left="360"/>
        <w:jc w:val="both"/>
        <w:rPr>
          <w:rFonts w:ascii="Arial" w:hAnsi="Arial" w:cs="Arial"/>
          <w:sz w:val="22"/>
          <w:szCs w:val="22"/>
        </w:rPr>
      </w:pPr>
    </w:p>
    <w:p w14:paraId="60905895" w14:textId="77777777" w:rsidR="00397707" w:rsidRDefault="00397707" w:rsidP="00530AAD">
      <w:pPr>
        <w:pStyle w:val="ListParagraph"/>
        <w:numPr>
          <w:ilvl w:val="0"/>
          <w:numId w:val="32"/>
        </w:numPr>
        <w:ind w:left="360"/>
        <w:jc w:val="both"/>
        <w:rPr>
          <w:rFonts w:ascii="Arial" w:hAnsi="Arial" w:cs="Arial"/>
          <w:sz w:val="22"/>
          <w:szCs w:val="22"/>
        </w:rPr>
      </w:pPr>
      <w:r w:rsidRPr="009E54B3">
        <w:rPr>
          <w:rFonts w:ascii="Arial" w:hAnsi="Arial" w:cs="Arial"/>
          <w:sz w:val="22"/>
          <w:szCs w:val="22"/>
        </w:rPr>
        <w:t xml:space="preserve">Cash proceeds: </w:t>
      </w:r>
      <w:r>
        <w:rPr>
          <w:rFonts w:ascii="Arial" w:hAnsi="Arial" w:cs="Arial"/>
          <w:sz w:val="22"/>
          <w:szCs w:val="22"/>
        </w:rPr>
        <w:t>Receivables/</w:t>
      </w:r>
      <w:r w:rsidRPr="009E54B3">
        <w:rPr>
          <w:rFonts w:ascii="Arial" w:hAnsi="Arial" w:cs="Arial"/>
          <w:sz w:val="22"/>
          <w:szCs w:val="22"/>
        </w:rPr>
        <w:t xml:space="preserve">proceeds </w:t>
      </w:r>
      <w:r>
        <w:rPr>
          <w:rFonts w:ascii="Arial" w:hAnsi="Arial" w:cs="Arial"/>
          <w:sz w:val="22"/>
          <w:szCs w:val="22"/>
        </w:rPr>
        <w:t xml:space="preserve">in case </w:t>
      </w:r>
      <w:r w:rsidRPr="009E54B3">
        <w:rPr>
          <w:rFonts w:ascii="Arial" w:hAnsi="Arial" w:cs="Arial"/>
          <w:sz w:val="22"/>
          <w:szCs w:val="22"/>
        </w:rPr>
        <w:t xml:space="preserve">of the sale of encumbered assets </w:t>
      </w:r>
      <w:r>
        <w:rPr>
          <w:rFonts w:ascii="Arial" w:hAnsi="Arial" w:cs="Arial"/>
          <w:sz w:val="22"/>
          <w:szCs w:val="22"/>
        </w:rPr>
        <w:t>during insolvency.</w:t>
      </w:r>
    </w:p>
    <w:p w14:paraId="1CA33255" w14:textId="77777777" w:rsidR="00397707" w:rsidRPr="00725292" w:rsidRDefault="00397707" w:rsidP="00530AAD">
      <w:pPr>
        <w:pStyle w:val="ListParagraph"/>
        <w:ind w:left="360"/>
        <w:rPr>
          <w:rFonts w:ascii="Arial" w:hAnsi="Arial" w:cs="Arial"/>
          <w:sz w:val="22"/>
          <w:szCs w:val="22"/>
        </w:rPr>
      </w:pPr>
    </w:p>
    <w:p w14:paraId="3BCEB76D" w14:textId="77777777" w:rsidR="00397707" w:rsidRPr="00C5119A" w:rsidRDefault="00397707" w:rsidP="00530AAD">
      <w:pPr>
        <w:pStyle w:val="ListParagraph"/>
        <w:numPr>
          <w:ilvl w:val="0"/>
          <w:numId w:val="32"/>
        </w:numPr>
        <w:ind w:left="360"/>
        <w:jc w:val="both"/>
        <w:rPr>
          <w:rFonts w:ascii="Arial" w:hAnsi="Arial" w:cs="Arial"/>
          <w:sz w:val="22"/>
          <w:szCs w:val="22"/>
        </w:rPr>
      </w:pPr>
      <w:r>
        <w:rPr>
          <w:rFonts w:ascii="Arial" w:hAnsi="Arial" w:cs="Arial"/>
          <w:sz w:val="22"/>
          <w:szCs w:val="22"/>
        </w:rPr>
        <w:t xml:space="preserve">Pari-passu: Creditors are paid </w:t>
      </w:r>
      <w:proofErr w:type="spellStart"/>
      <w:r>
        <w:rPr>
          <w:rFonts w:ascii="Arial" w:hAnsi="Arial" w:cs="Arial"/>
          <w:sz w:val="22"/>
          <w:szCs w:val="22"/>
        </w:rPr>
        <w:t>pari</w:t>
      </w:r>
      <w:proofErr w:type="spellEnd"/>
      <w:r>
        <w:rPr>
          <w:rFonts w:ascii="Arial" w:hAnsi="Arial" w:cs="Arial"/>
          <w:sz w:val="22"/>
          <w:szCs w:val="22"/>
        </w:rPr>
        <w:t xml:space="preserve">-passu, </w:t>
      </w:r>
      <w:proofErr w:type="spellStart"/>
      <w:r>
        <w:rPr>
          <w:rFonts w:ascii="Arial" w:hAnsi="Arial" w:cs="Arial"/>
          <w:sz w:val="22"/>
          <w:szCs w:val="22"/>
        </w:rPr>
        <w:t>i.e</w:t>
      </w:r>
      <w:proofErr w:type="spellEnd"/>
      <w:r>
        <w:rPr>
          <w:rFonts w:ascii="Arial" w:hAnsi="Arial" w:cs="Arial"/>
          <w:sz w:val="22"/>
          <w:szCs w:val="22"/>
        </w:rPr>
        <w:t xml:space="preserve"> on a proportionate basis out of the available assets based on their claims. </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bookmarkStart w:id="1" w:name="_Hlk119295524"/>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bookmarkEnd w:id="1"/>
    <w:p w14:paraId="57683B85" w14:textId="54C03A00" w:rsidR="001E1C34" w:rsidRDefault="001E1C34" w:rsidP="00692852">
      <w:pPr>
        <w:jc w:val="both"/>
        <w:rPr>
          <w:rFonts w:ascii="Avenir Next" w:hAnsi="Avenir Next" w:cs="Arial"/>
          <w:sz w:val="22"/>
          <w:szCs w:val="22"/>
          <w:lang w:val="en-GB"/>
        </w:rPr>
      </w:pPr>
    </w:p>
    <w:p w14:paraId="6E70270C" w14:textId="77777777" w:rsidR="00CE14E5" w:rsidRPr="00530AAD" w:rsidRDefault="00CE14E5" w:rsidP="00530AAD">
      <w:pPr>
        <w:jc w:val="both"/>
        <w:rPr>
          <w:rFonts w:ascii="Arial" w:hAnsi="Arial" w:cs="Arial"/>
          <w:sz w:val="22"/>
          <w:szCs w:val="22"/>
        </w:rPr>
      </w:pPr>
      <w:r w:rsidRPr="00530AAD">
        <w:rPr>
          <w:rFonts w:ascii="Arial" w:hAnsi="Arial" w:cs="Arial"/>
          <w:sz w:val="22"/>
          <w:szCs w:val="22"/>
        </w:rPr>
        <w:t>Westbrook, a strong proponent of universalism, has identified nine key issues in cross-border cases:</w:t>
      </w:r>
    </w:p>
    <w:p w14:paraId="5F96DDEF" w14:textId="77777777" w:rsidR="00CE14E5" w:rsidRPr="00CE14E5" w:rsidRDefault="00CE14E5" w:rsidP="00530AAD">
      <w:pPr>
        <w:pStyle w:val="ListParagraph"/>
        <w:numPr>
          <w:ilvl w:val="0"/>
          <w:numId w:val="35"/>
        </w:numPr>
        <w:jc w:val="both"/>
        <w:rPr>
          <w:rFonts w:ascii="Arial" w:hAnsi="Arial" w:cs="Arial"/>
          <w:sz w:val="22"/>
          <w:szCs w:val="22"/>
        </w:rPr>
      </w:pPr>
      <w:r w:rsidRPr="00CE14E5">
        <w:rPr>
          <w:rFonts w:ascii="Arial" w:hAnsi="Arial" w:cs="Arial"/>
          <w:sz w:val="22"/>
          <w:szCs w:val="22"/>
        </w:rPr>
        <w:t>Standing (locus standi) for (recognition of) the foreign representative;</w:t>
      </w:r>
    </w:p>
    <w:p w14:paraId="39CD0D4A" w14:textId="77777777" w:rsidR="00CE14E5" w:rsidRPr="00CE14E5" w:rsidRDefault="00CE14E5" w:rsidP="00530AAD">
      <w:pPr>
        <w:pStyle w:val="ListParagraph"/>
        <w:numPr>
          <w:ilvl w:val="0"/>
          <w:numId w:val="35"/>
        </w:numPr>
        <w:jc w:val="both"/>
        <w:rPr>
          <w:rFonts w:ascii="Arial" w:hAnsi="Arial" w:cs="Arial"/>
          <w:sz w:val="22"/>
          <w:szCs w:val="22"/>
        </w:rPr>
      </w:pPr>
      <w:r w:rsidRPr="00CE14E5">
        <w:rPr>
          <w:rFonts w:ascii="Arial" w:hAnsi="Arial" w:cs="Arial"/>
          <w:sz w:val="22"/>
          <w:szCs w:val="22"/>
        </w:rPr>
        <w:t>moratorium on creditor actions;</w:t>
      </w:r>
    </w:p>
    <w:p w14:paraId="0A83A634" w14:textId="77777777" w:rsidR="00CE14E5" w:rsidRPr="00CE14E5" w:rsidRDefault="00CE14E5" w:rsidP="00530AAD">
      <w:pPr>
        <w:pStyle w:val="ListParagraph"/>
        <w:numPr>
          <w:ilvl w:val="0"/>
          <w:numId w:val="35"/>
        </w:numPr>
        <w:jc w:val="both"/>
        <w:rPr>
          <w:rFonts w:ascii="Arial" w:hAnsi="Arial" w:cs="Arial"/>
          <w:sz w:val="22"/>
          <w:szCs w:val="22"/>
        </w:rPr>
      </w:pPr>
      <w:r w:rsidRPr="00CE14E5">
        <w:rPr>
          <w:rFonts w:ascii="Arial" w:hAnsi="Arial" w:cs="Arial"/>
          <w:sz w:val="22"/>
          <w:szCs w:val="22"/>
        </w:rPr>
        <w:t>creditor participation;</w:t>
      </w:r>
    </w:p>
    <w:p w14:paraId="778BD5F4" w14:textId="77777777" w:rsidR="00CE14E5" w:rsidRPr="00CE14E5" w:rsidRDefault="00CE14E5" w:rsidP="00530AAD">
      <w:pPr>
        <w:pStyle w:val="ListParagraph"/>
        <w:numPr>
          <w:ilvl w:val="0"/>
          <w:numId w:val="35"/>
        </w:numPr>
        <w:jc w:val="both"/>
        <w:rPr>
          <w:rFonts w:ascii="Arial" w:hAnsi="Arial" w:cs="Arial"/>
          <w:sz w:val="22"/>
          <w:szCs w:val="22"/>
        </w:rPr>
      </w:pPr>
      <w:r w:rsidRPr="00CE14E5">
        <w:rPr>
          <w:rFonts w:ascii="Arial" w:hAnsi="Arial" w:cs="Arial"/>
          <w:sz w:val="22"/>
          <w:szCs w:val="22"/>
        </w:rPr>
        <w:t>executory contracts;</w:t>
      </w:r>
    </w:p>
    <w:p w14:paraId="4A9BF344" w14:textId="77777777" w:rsidR="00CE14E5" w:rsidRPr="00CE14E5" w:rsidRDefault="00CE14E5" w:rsidP="00530AAD">
      <w:pPr>
        <w:pStyle w:val="ListParagraph"/>
        <w:numPr>
          <w:ilvl w:val="0"/>
          <w:numId w:val="35"/>
        </w:numPr>
        <w:jc w:val="both"/>
        <w:rPr>
          <w:rFonts w:ascii="Arial" w:hAnsi="Arial" w:cs="Arial"/>
          <w:sz w:val="22"/>
          <w:szCs w:val="22"/>
        </w:rPr>
      </w:pPr>
      <w:proofErr w:type="spellStart"/>
      <w:r w:rsidRPr="00CE14E5">
        <w:rPr>
          <w:rFonts w:ascii="Arial" w:hAnsi="Arial" w:cs="Arial"/>
          <w:sz w:val="22"/>
          <w:szCs w:val="22"/>
        </w:rPr>
        <w:t>co-ordinated</w:t>
      </w:r>
      <w:proofErr w:type="spellEnd"/>
      <w:r w:rsidRPr="00CE14E5">
        <w:rPr>
          <w:rFonts w:ascii="Arial" w:hAnsi="Arial" w:cs="Arial"/>
          <w:sz w:val="22"/>
          <w:szCs w:val="22"/>
        </w:rPr>
        <w:t xml:space="preserve"> claims procedures;</w:t>
      </w:r>
    </w:p>
    <w:p w14:paraId="5BD05AD5" w14:textId="77777777" w:rsidR="00CE14E5" w:rsidRPr="00CE14E5" w:rsidRDefault="00CE14E5" w:rsidP="00530AAD">
      <w:pPr>
        <w:pStyle w:val="ListParagraph"/>
        <w:numPr>
          <w:ilvl w:val="0"/>
          <w:numId w:val="35"/>
        </w:numPr>
        <w:jc w:val="both"/>
        <w:rPr>
          <w:rFonts w:ascii="Arial" w:hAnsi="Arial" w:cs="Arial"/>
          <w:sz w:val="22"/>
          <w:szCs w:val="22"/>
        </w:rPr>
      </w:pPr>
      <w:r w:rsidRPr="00CE14E5">
        <w:rPr>
          <w:rFonts w:ascii="Arial" w:hAnsi="Arial" w:cs="Arial"/>
          <w:sz w:val="22"/>
          <w:szCs w:val="22"/>
        </w:rPr>
        <w:t>priorities and preferences;</w:t>
      </w:r>
    </w:p>
    <w:p w14:paraId="63398321" w14:textId="77777777" w:rsidR="00CE14E5" w:rsidRPr="00CE14E5" w:rsidRDefault="00CE14E5" w:rsidP="00530AAD">
      <w:pPr>
        <w:pStyle w:val="ListParagraph"/>
        <w:numPr>
          <w:ilvl w:val="0"/>
          <w:numId w:val="35"/>
        </w:numPr>
        <w:jc w:val="both"/>
        <w:rPr>
          <w:rFonts w:ascii="Arial" w:hAnsi="Arial" w:cs="Arial"/>
          <w:sz w:val="22"/>
          <w:szCs w:val="22"/>
        </w:rPr>
      </w:pPr>
      <w:r w:rsidRPr="00CE14E5">
        <w:rPr>
          <w:rFonts w:ascii="Arial" w:hAnsi="Arial" w:cs="Arial"/>
          <w:sz w:val="22"/>
          <w:szCs w:val="22"/>
        </w:rPr>
        <w:t>avoidance provision powers;</w:t>
      </w:r>
    </w:p>
    <w:p w14:paraId="30687C74" w14:textId="77777777" w:rsidR="00CE14E5" w:rsidRPr="00CE14E5" w:rsidRDefault="00CE14E5" w:rsidP="00530AAD">
      <w:pPr>
        <w:pStyle w:val="ListParagraph"/>
        <w:numPr>
          <w:ilvl w:val="0"/>
          <w:numId w:val="35"/>
        </w:numPr>
        <w:jc w:val="both"/>
        <w:rPr>
          <w:rFonts w:ascii="Arial" w:hAnsi="Arial" w:cs="Arial"/>
          <w:sz w:val="22"/>
          <w:szCs w:val="22"/>
        </w:rPr>
      </w:pPr>
      <w:r w:rsidRPr="00CE14E5">
        <w:rPr>
          <w:rFonts w:ascii="Arial" w:hAnsi="Arial" w:cs="Arial"/>
          <w:sz w:val="22"/>
          <w:szCs w:val="22"/>
        </w:rPr>
        <w:t>discharges; and</w:t>
      </w:r>
    </w:p>
    <w:p w14:paraId="337B4476" w14:textId="77777777" w:rsidR="00CE14E5" w:rsidRPr="00CE14E5" w:rsidRDefault="00CE14E5" w:rsidP="00530AAD">
      <w:pPr>
        <w:pStyle w:val="ListParagraph"/>
        <w:numPr>
          <w:ilvl w:val="0"/>
          <w:numId w:val="35"/>
        </w:numPr>
        <w:jc w:val="both"/>
        <w:rPr>
          <w:rFonts w:ascii="Arial" w:hAnsi="Arial" w:cs="Arial"/>
          <w:sz w:val="22"/>
          <w:szCs w:val="22"/>
        </w:rPr>
      </w:pPr>
      <w:r w:rsidRPr="00CE14E5">
        <w:rPr>
          <w:rFonts w:ascii="Arial" w:hAnsi="Arial" w:cs="Arial"/>
          <w:sz w:val="22"/>
          <w:szCs w:val="22"/>
        </w:rPr>
        <w:t>conflict-of-law issues.</w:t>
      </w:r>
    </w:p>
    <w:p w14:paraId="1AFE1FF0" w14:textId="77777777" w:rsidR="00CE14E5" w:rsidRPr="00CE14E5" w:rsidRDefault="00CE14E5" w:rsidP="00CE14E5">
      <w:pPr>
        <w:jc w:val="both"/>
        <w:rPr>
          <w:rFonts w:ascii="Arial" w:hAnsi="Arial" w:cs="Arial"/>
          <w:sz w:val="22"/>
          <w:szCs w:val="22"/>
        </w:rPr>
      </w:pPr>
    </w:p>
    <w:p w14:paraId="221BEF17" w14:textId="77777777" w:rsidR="00CE14E5" w:rsidRPr="00CE14E5" w:rsidRDefault="00CE14E5" w:rsidP="00CE14E5">
      <w:pPr>
        <w:jc w:val="both"/>
        <w:rPr>
          <w:rFonts w:ascii="Arial" w:hAnsi="Arial" w:cs="Arial"/>
          <w:sz w:val="22"/>
          <w:szCs w:val="22"/>
        </w:rPr>
      </w:pPr>
      <w:r w:rsidRPr="00CE14E5">
        <w:rPr>
          <w:rFonts w:ascii="Arial" w:hAnsi="Arial" w:cs="Arial"/>
          <w:sz w:val="22"/>
          <w:szCs w:val="22"/>
          <w:lang w:val="en-GB"/>
        </w:rPr>
        <w:t>International insolvency instruments that have been developed to assist with respect to difficulties</w:t>
      </w:r>
      <w:r w:rsidRPr="00CE14E5">
        <w:rPr>
          <w:rFonts w:ascii="Arial" w:hAnsi="Arial" w:cs="Arial"/>
          <w:sz w:val="22"/>
          <w:szCs w:val="22"/>
        </w:rPr>
        <w:t xml:space="preserve"> in cross-border insolvency:</w:t>
      </w:r>
    </w:p>
    <w:p w14:paraId="24B001F9" w14:textId="77777777" w:rsidR="00CE14E5" w:rsidRPr="00CE14E5" w:rsidRDefault="00CE14E5" w:rsidP="00CE14E5">
      <w:pPr>
        <w:jc w:val="both"/>
        <w:rPr>
          <w:rFonts w:ascii="Arial" w:hAnsi="Arial" w:cs="Arial"/>
          <w:sz w:val="22"/>
          <w:szCs w:val="22"/>
        </w:rPr>
      </w:pPr>
    </w:p>
    <w:p w14:paraId="0F488547" w14:textId="77777777" w:rsidR="00CE14E5" w:rsidRPr="00CE14E5" w:rsidRDefault="00CE14E5" w:rsidP="00530AAD">
      <w:pPr>
        <w:pStyle w:val="ListParagraph"/>
        <w:numPr>
          <w:ilvl w:val="0"/>
          <w:numId w:val="33"/>
        </w:numPr>
        <w:ind w:left="360"/>
        <w:jc w:val="both"/>
        <w:rPr>
          <w:rFonts w:ascii="Arial" w:hAnsi="Arial" w:cs="Arial"/>
          <w:sz w:val="22"/>
          <w:szCs w:val="22"/>
        </w:rPr>
      </w:pPr>
      <w:r w:rsidRPr="00CE14E5">
        <w:rPr>
          <w:rFonts w:ascii="Arial" w:hAnsi="Arial" w:cs="Arial"/>
          <w:sz w:val="22"/>
          <w:szCs w:val="22"/>
        </w:rPr>
        <w:t>Domestic Dimension: Domestic laws addresses circumstances where a company engaged in trade and commerce becomes insolvent. However, these dimensions only cater debtors operating within the state and do not cater in a comprehensive way with the international or cross-border dimensions.</w:t>
      </w:r>
    </w:p>
    <w:p w14:paraId="6C2DA3C5" w14:textId="77777777" w:rsidR="00CE14E5" w:rsidRPr="00CE14E5" w:rsidRDefault="00CE14E5" w:rsidP="00530AAD">
      <w:pPr>
        <w:pStyle w:val="ListParagraph"/>
        <w:ind w:left="360"/>
        <w:jc w:val="both"/>
        <w:rPr>
          <w:rFonts w:ascii="Arial" w:hAnsi="Arial" w:cs="Arial"/>
          <w:sz w:val="22"/>
          <w:szCs w:val="22"/>
        </w:rPr>
      </w:pPr>
    </w:p>
    <w:p w14:paraId="2DF0B880" w14:textId="77777777" w:rsidR="00CE14E5" w:rsidRPr="00CE14E5" w:rsidRDefault="00CE14E5" w:rsidP="00530AAD">
      <w:pPr>
        <w:pStyle w:val="ListParagraph"/>
        <w:numPr>
          <w:ilvl w:val="0"/>
          <w:numId w:val="33"/>
        </w:numPr>
        <w:ind w:left="360"/>
        <w:jc w:val="both"/>
        <w:rPr>
          <w:rFonts w:ascii="Arial" w:hAnsi="Arial" w:cs="Arial"/>
          <w:sz w:val="22"/>
          <w:szCs w:val="22"/>
        </w:rPr>
      </w:pPr>
      <w:r w:rsidRPr="00CE14E5">
        <w:rPr>
          <w:rFonts w:ascii="Arial" w:hAnsi="Arial" w:cs="Arial"/>
          <w:sz w:val="22"/>
          <w:szCs w:val="22"/>
        </w:rPr>
        <w:t>International Dimension: In the case of international insolvency matters, which may be thought of as a sub-set of international trade law, various States have ratified or acceded to treaties or conventions which import into their domestic laws principles to resolve insolvency issues that have a connection with another State. If this has not occurred, then the State's own private international law principles will determine the three pertinent questions of forum, recognition and enforcement and, importantly, the choice of insolvency (or related) law that will resolve the matter for the debtor, creditors or other parties involved.</w:t>
      </w:r>
    </w:p>
    <w:p w14:paraId="06E2CAC3" w14:textId="77777777" w:rsidR="00CE14E5" w:rsidRPr="00CE14E5" w:rsidRDefault="00CE14E5" w:rsidP="00530AAD">
      <w:pPr>
        <w:pStyle w:val="ListParagraph"/>
        <w:ind w:left="360"/>
        <w:jc w:val="both"/>
        <w:rPr>
          <w:rFonts w:ascii="Arial" w:hAnsi="Arial" w:cs="Arial"/>
          <w:sz w:val="22"/>
          <w:szCs w:val="22"/>
        </w:rPr>
      </w:pPr>
    </w:p>
    <w:p w14:paraId="45896086" w14:textId="77777777" w:rsidR="00CE14E5" w:rsidRPr="00CE14E5" w:rsidRDefault="00CE14E5" w:rsidP="00530AAD">
      <w:pPr>
        <w:pStyle w:val="ListParagraph"/>
        <w:numPr>
          <w:ilvl w:val="0"/>
          <w:numId w:val="33"/>
        </w:numPr>
        <w:ind w:left="360"/>
        <w:jc w:val="both"/>
        <w:rPr>
          <w:rFonts w:ascii="Arial" w:hAnsi="Arial" w:cs="Arial"/>
          <w:sz w:val="22"/>
          <w:szCs w:val="22"/>
        </w:rPr>
      </w:pPr>
      <w:r w:rsidRPr="00CE14E5">
        <w:rPr>
          <w:rFonts w:ascii="Arial" w:hAnsi="Arial" w:cs="Arial"/>
          <w:sz w:val="22"/>
          <w:szCs w:val="22"/>
        </w:rPr>
        <w:t>Treaties and Conventions: Classic public international instruments are treaties and conventions to which States become signatories and as such bind themselves and affect their domestic law accordingly. As part of domestic laws enforceable in the courts, these may then form part of a State's hard law on insolvency.</w:t>
      </w:r>
    </w:p>
    <w:p w14:paraId="4248CBAC" w14:textId="77777777" w:rsidR="00CE14E5" w:rsidRPr="00CE14E5" w:rsidRDefault="00CE14E5" w:rsidP="00530AAD">
      <w:pPr>
        <w:pStyle w:val="ListParagraph"/>
        <w:ind w:left="360"/>
        <w:jc w:val="both"/>
        <w:rPr>
          <w:rFonts w:ascii="Arial" w:hAnsi="Arial" w:cs="Arial"/>
          <w:sz w:val="22"/>
          <w:szCs w:val="22"/>
        </w:rPr>
      </w:pPr>
    </w:p>
    <w:p w14:paraId="7DBA5AE6" w14:textId="77777777" w:rsidR="00CE14E5" w:rsidRPr="00CE14E5" w:rsidRDefault="00CE14E5" w:rsidP="00530AAD">
      <w:pPr>
        <w:pStyle w:val="ListParagraph"/>
        <w:numPr>
          <w:ilvl w:val="0"/>
          <w:numId w:val="33"/>
        </w:numPr>
        <w:ind w:left="360"/>
        <w:jc w:val="both"/>
        <w:rPr>
          <w:rFonts w:ascii="Arial" w:hAnsi="Arial" w:cs="Arial"/>
          <w:sz w:val="22"/>
          <w:szCs w:val="22"/>
        </w:rPr>
      </w:pPr>
      <w:r w:rsidRPr="00CE14E5">
        <w:rPr>
          <w:rFonts w:ascii="Arial" w:hAnsi="Arial" w:cs="Arial"/>
          <w:sz w:val="22"/>
          <w:szCs w:val="22"/>
        </w:rPr>
        <w:t xml:space="preserve">Soft Law: Most success is achieved by </w:t>
      </w:r>
      <w:proofErr w:type="gramStart"/>
      <w:r w:rsidRPr="00CE14E5">
        <w:rPr>
          <w:rFonts w:ascii="Arial" w:hAnsi="Arial" w:cs="Arial"/>
          <w:sz w:val="22"/>
          <w:szCs w:val="22"/>
        </w:rPr>
        <w:t>Soft</w:t>
      </w:r>
      <w:proofErr w:type="gramEnd"/>
      <w:r w:rsidRPr="00CE14E5">
        <w:rPr>
          <w:rFonts w:ascii="Arial" w:hAnsi="Arial" w:cs="Arial"/>
          <w:sz w:val="22"/>
          <w:szCs w:val="22"/>
        </w:rPr>
        <w:t xml:space="preserve"> law solutions to international insolvencies. </w:t>
      </w:r>
      <w:proofErr w:type="spellStart"/>
      <w:r w:rsidRPr="00CE14E5">
        <w:rPr>
          <w:rFonts w:ascii="Arial" w:hAnsi="Arial" w:cs="Arial"/>
          <w:sz w:val="22"/>
          <w:szCs w:val="22"/>
        </w:rPr>
        <w:t>Eg.</w:t>
      </w:r>
      <w:proofErr w:type="spellEnd"/>
      <w:r w:rsidRPr="00CE14E5">
        <w:rPr>
          <w:rFonts w:ascii="Arial" w:hAnsi="Arial" w:cs="Arial"/>
          <w:sz w:val="22"/>
          <w:szCs w:val="22"/>
        </w:rPr>
        <w:t xml:space="preserve"> UNCITRAL Model law on Cross-Border Insolvency.</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bookmarkStart w:id="2" w:name="_Hlk119298851"/>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bookmarkEnd w:id="2"/>
    <w:p w14:paraId="058DD72D" w14:textId="7C517728" w:rsidR="004E1D03" w:rsidRDefault="004E1D03" w:rsidP="00692852">
      <w:pPr>
        <w:ind w:left="720" w:hanging="720"/>
        <w:jc w:val="both"/>
        <w:rPr>
          <w:rFonts w:ascii="Avenir Next" w:hAnsi="Avenir Next" w:cs="Arial"/>
          <w:sz w:val="22"/>
          <w:szCs w:val="22"/>
          <w:highlight w:val="cyan"/>
          <w:lang w:val="en-GB"/>
        </w:rPr>
      </w:pPr>
    </w:p>
    <w:p w14:paraId="5E0DA911" w14:textId="77777777" w:rsidR="003370C4" w:rsidRDefault="003370C4" w:rsidP="003370C4">
      <w:pPr>
        <w:jc w:val="both"/>
        <w:rPr>
          <w:rFonts w:ascii="Arial" w:hAnsi="Arial" w:cs="Arial"/>
          <w:sz w:val="22"/>
          <w:szCs w:val="22"/>
        </w:rPr>
      </w:pPr>
      <w:r>
        <w:rPr>
          <w:rFonts w:ascii="Arial" w:hAnsi="Arial" w:cs="Arial"/>
          <w:sz w:val="22"/>
          <w:szCs w:val="22"/>
        </w:rPr>
        <w:t xml:space="preserve">With effect from December 31, 2020, the </w:t>
      </w:r>
      <w:r w:rsidRPr="00CD10BE">
        <w:rPr>
          <w:rFonts w:ascii="Arial" w:hAnsi="Arial" w:cs="Arial"/>
          <w:sz w:val="22"/>
          <w:szCs w:val="22"/>
        </w:rPr>
        <w:t xml:space="preserve">European Insolvency Regulation </w:t>
      </w:r>
      <w:r>
        <w:rPr>
          <w:rFonts w:ascii="Arial" w:hAnsi="Arial" w:cs="Arial"/>
          <w:sz w:val="22"/>
          <w:szCs w:val="22"/>
        </w:rPr>
        <w:t xml:space="preserve">(EIR) </w:t>
      </w:r>
      <w:r w:rsidRPr="00CD10BE">
        <w:rPr>
          <w:rFonts w:ascii="Arial" w:hAnsi="Arial" w:cs="Arial"/>
          <w:sz w:val="22"/>
          <w:szCs w:val="22"/>
        </w:rPr>
        <w:t>Recast</w:t>
      </w:r>
      <w:r>
        <w:rPr>
          <w:rFonts w:ascii="Arial" w:hAnsi="Arial" w:cs="Arial"/>
          <w:sz w:val="22"/>
          <w:szCs w:val="22"/>
        </w:rPr>
        <w:t xml:space="preserve"> ceased to apply in UK following its exit from the European union. </w:t>
      </w:r>
    </w:p>
    <w:p w14:paraId="4D1BDBCD" w14:textId="77777777" w:rsidR="003370C4" w:rsidRDefault="003370C4" w:rsidP="003370C4">
      <w:pPr>
        <w:jc w:val="both"/>
        <w:rPr>
          <w:rFonts w:ascii="Arial" w:hAnsi="Arial" w:cs="Arial"/>
          <w:sz w:val="22"/>
          <w:szCs w:val="22"/>
        </w:rPr>
      </w:pPr>
    </w:p>
    <w:p w14:paraId="40CC1B8B" w14:textId="77777777" w:rsidR="003370C4" w:rsidRPr="00F6351C" w:rsidRDefault="003370C4" w:rsidP="003370C4">
      <w:pPr>
        <w:jc w:val="both"/>
        <w:rPr>
          <w:rFonts w:ascii="Arial" w:hAnsi="Arial" w:cs="Arial"/>
          <w:sz w:val="22"/>
          <w:szCs w:val="22"/>
        </w:rPr>
      </w:pPr>
      <w:r w:rsidRPr="00F6351C">
        <w:rPr>
          <w:rFonts w:ascii="Arial" w:hAnsi="Arial" w:cs="Arial"/>
          <w:sz w:val="22"/>
          <w:szCs w:val="22"/>
        </w:rPr>
        <w:t>Lobo may consider opening proceedings in another country in Europe. However, the following additional information shall be required viz.</w:t>
      </w:r>
    </w:p>
    <w:p w14:paraId="714975B1" w14:textId="77777777" w:rsidR="003370C4" w:rsidRPr="00F6351C" w:rsidRDefault="003370C4" w:rsidP="003370C4">
      <w:pPr>
        <w:jc w:val="both"/>
        <w:rPr>
          <w:rFonts w:ascii="Arial" w:hAnsi="Arial" w:cs="Arial"/>
          <w:sz w:val="22"/>
          <w:szCs w:val="22"/>
        </w:rPr>
      </w:pPr>
    </w:p>
    <w:p w14:paraId="2A34EB1B" w14:textId="77777777" w:rsidR="003370C4" w:rsidRDefault="003370C4" w:rsidP="003370C4">
      <w:pPr>
        <w:pStyle w:val="ListParagraph"/>
        <w:numPr>
          <w:ilvl w:val="0"/>
          <w:numId w:val="34"/>
        </w:numPr>
        <w:jc w:val="both"/>
        <w:rPr>
          <w:rFonts w:ascii="Arial" w:hAnsi="Arial" w:cs="Arial"/>
          <w:sz w:val="22"/>
          <w:szCs w:val="22"/>
        </w:rPr>
      </w:pPr>
      <w:r w:rsidRPr="00F6351C">
        <w:rPr>
          <w:rFonts w:ascii="Arial" w:hAnsi="Arial" w:cs="Arial"/>
          <w:sz w:val="22"/>
          <w:szCs w:val="22"/>
        </w:rPr>
        <w:t>Centre of the debtor's (FFPL’s) main interests (</w:t>
      </w:r>
      <w:proofErr w:type="spellStart"/>
      <w:r w:rsidRPr="00F6351C">
        <w:rPr>
          <w:rFonts w:ascii="Arial" w:hAnsi="Arial" w:cs="Arial"/>
          <w:sz w:val="22"/>
          <w:szCs w:val="22"/>
        </w:rPr>
        <w:t>COMl</w:t>
      </w:r>
      <w:proofErr w:type="spellEnd"/>
      <w:r w:rsidRPr="00F6351C">
        <w:rPr>
          <w:rFonts w:ascii="Arial" w:hAnsi="Arial" w:cs="Arial"/>
          <w:sz w:val="22"/>
          <w:szCs w:val="22"/>
        </w:rPr>
        <w:t xml:space="preserve">) </w:t>
      </w:r>
    </w:p>
    <w:p w14:paraId="4B2C428D" w14:textId="77777777" w:rsidR="003370C4" w:rsidRPr="00F6351C" w:rsidRDefault="003370C4" w:rsidP="003370C4">
      <w:pPr>
        <w:pStyle w:val="ListParagraph"/>
        <w:numPr>
          <w:ilvl w:val="0"/>
          <w:numId w:val="34"/>
        </w:numPr>
        <w:jc w:val="both"/>
        <w:rPr>
          <w:rFonts w:ascii="Arial" w:hAnsi="Arial" w:cs="Arial"/>
          <w:sz w:val="22"/>
          <w:szCs w:val="22"/>
        </w:rPr>
      </w:pPr>
      <w:r w:rsidRPr="00F6351C">
        <w:rPr>
          <w:rFonts w:ascii="Arial" w:hAnsi="Arial" w:cs="Arial"/>
          <w:sz w:val="22"/>
          <w:szCs w:val="22"/>
        </w:rPr>
        <w:t>Establishment of Debtor (FFPL): Anyplace of operations where the Debtor (FFPL) carries out a non-transitory economic activity with human means and assets</w:t>
      </w:r>
    </w:p>
    <w:p w14:paraId="706B6C45" w14:textId="77777777" w:rsidR="003370C4" w:rsidRDefault="003370C4" w:rsidP="003370C4">
      <w:pPr>
        <w:jc w:val="both"/>
        <w:rPr>
          <w:rFonts w:ascii="Arial" w:hAnsi="Arial" w:cs="Arial"/>
          <w:sz w:val="22"/>
          <w:szCs w:val="22"/>
        </w:rPr>
      </w:pPr>
    </w:p>
    <w:p w14:paraId="64257D3D" w14:textId="77777777" w:rsidR="003370C4" w:rsidRPr="00101A8B" w:rsidRDefault="003370C4" w:rsidP="003370C4">
      <w:pPr>
        <w:jc w:val="both"/>
        <w:rPr>
          <w:rFonts w:ascii="Arial" w:hAnsi="Arial" w:cs="Arial"/>
          <w:sz w:val="22"/>
          <w:szCs w:val="22"/>
        </w:rPr>
      </w:pPr>
      <w:r w:rsidRPr="00101A8B">
        <w:rPr>
          <w:rFonts w:ascii="Arial" w:hAnsi="Arial" w:cs="Arial"/>
          <w:sz w:val="22"/>
          <w:szCs w:val="22"/>
        </w:rPr>
        <w:t xml:space="preserve">The </w:t>
      </w:r>
      <w:r>
        <w:rPr>
          <w:rFonts w:ascii="Arial" w:hAnsi="Arial" w:cs="Arial"/>
          <w:sz w:val="22"/>
          <w:szCs w:val="22"/>
        </w:rPr>
        <w:t>(</w:t>
      </w:r>
      <w:r w:rsidRPr="00101A8B">
        <w:rPr>
          <w:rFonts w:ascii="Arial" w:hAnsi="Arial" w:cs="Arial"/>
          <w:sz w:val="22"/>
          <w:szCs w:val="22"/>
        </w:rPr>
        <w:t>EIR</w:t>
      </w:r>
      <w:r>
        <w:rPr>
          <w:rFonts w:ascii="Arial" w:hAnsi="Arial" w:cs="Arial"/>
          <w:sz w:val="22"/>
          <w:szCs w:val="22"/>
        </w:rPr>
        <w:t>) Recast</w:t>
      </w:r>
      <w:r w:rsidRPr="00101A8B">
        <w:rPr>
          <w:rFonts w:ascii="Arial" w:hAnsi="Arial" w:cs="Arial"/>
          <w:sz w:val="22"/>
          <w:szCs w:val="22"/>
        </w:rPr>
        <w:t xml:space="preserve"> allocates jurisdictional competence to the courts of a member State within which</w:t>
      </w:r>
      <w:r>
        <w:rPr>
          <w:rFonts w:ascii="Arial" w:hAnsi="Arial" w:cs="Arial"/>
          <w:sz w:val="22"/>
          <w:szCs w:val="22"/>
        </w:rPr>
        <w:t xml:space="preserve"> </w:t>
      </w:r>
      <w:r w:rsidRPr="00101A8B">
        <w:rPr>
          <w:rFonts w:ascii="Arial" w:hAnsi="Arial" w:cs="Arial"/>
          <w:sz w:val="22"/>
          <w:szCs w:val="22"/>
        </w:rPr>
        <w:t>is situated the "</w:t>
      </w:r>
      <w:proofErr w:type="spellStart"/>
      <w:r w:rsidRPr="00101A8B">
        <w:rPr>
          <w:rFonts w:ascii="Arial" w:hAnsi="Arial" w:cs="Arial"/>
          <w:sz w:val="22"/>
          <w:szCs w:val="22"/>
        </w:rPr>
        <w:t>centre</w:t>
      </w:r>
      <w:proofErr w:type="spellEnd"/>
      <w:r w:rsidRPr="00101A8B">
        <w:rPr>
          <w:rFonts w:ascii="Arial" w:hAnsi="Arial" w:cs="Arial"/>
          <w:sz w:val="22"/>
          <w:szCs w:val="22"/>
        </w:rPr>
        <w:t xml:space="preserve"> of the debtor's main</w:t>
      </w:r>
      <w:r>
        <w:rPr>
          <w:rFonts w:ascii="Arial" w:hAnsi="Arial" w:cs="Arial"/>
          <w:sz w:val="22"/>
          <w:szCs w:val="22"/>
        </w:rPr>
        <w:t xml:space="preserve"> </w:t>
      </w:r>
      <w:r w:rsidRPr="00101A8B">
        <w:rPr>
          <w:rFonts w:ascii="Arial" w:hAnsi="Arial" w:cs="Arial"/>
          <w:sz w:val="22"/>
          <w:szCs w:val="22"/>
        </w:rPr>
        <w:t>interests" (</w:t>
      </w:r>
      <w:proofErr w:type="spellStart"/>
      <w:r w:rsidRPr="00101A8B">
        <w:rPr>
          <w:rFonts w:ascii="Arial" w:hAnsi="Arial" w:cs="Arial"/>
          <w:sz w:val="22"/>
          <w:szCs w:val="22"/>
        </w:rPr>
        <w:t>COMl</w:t>
      </w:r>
      <w:proofErr w:type="spellEnd"/>
      <w:r w:rsidRPr="00101A8B">
        <w:rPr>
          <w:rFonts w:ascii="Arial" w:hAnsi="Arial" w:cs="Arial"/>
          <w:sz w:val="22"/>
          <w:szCs w:val="22"/>
        </w:rPr>
        <w:t xml:space="preserve">). </w:t>
      </w:r>
      <w:r>
        <w:rPr>
          <w:rFonts w:ascii="Arial" w:hAnsi="Arial" w:cs="Arial"/>
          <w:sz w:val="22"/>
          <w:szCs w:val="22"/>
        </w:rPr>
        <w:t>T</w:t>
      </w:r>
      <w:r w:rsidRPr="00101A8B">
        <w:rPr>
          <w:rFonts w:ascii="Arial" w:hAnsi="Arial" w:cs="Arial"/>
          <w:sz w:val="22"/>
          <w:szCs w:val="22"/>
        </w:rPr>
        <w:t>he EIR allocates primary</w:t>
      </w:r>
    </w:p>
    <w:p w14:paraId="0D4275D7" w14:textId="77777777" w:rsidR="003370C4" w:rsidRPr="00101A8B" w:rsidRDefault="003370C4" w:rsidP="003370C4">
      <w:pPr>
        <w:jc w:val="both"/>
        <w:rPr>
          <w:rFonts w:ascii="Arial" w:hAnsi="Arial" w:cs="Arial"/>
          <w:sz w:val="22"/>
          <w:szCs w:val="22"/>
        </w:rPr>
      </w:pPr>
      <w:r w:rsidRPr="00101A8B">
        <w:rPr>
          <w:rFonts w:ascii="Arial" w:hAnsi="Arial" w:cs="Arial"/>
          <w:sz w:val="22"/>
          <w:szCs w:val="22"/>
        </w:rPr>
        <w:t>jurisdict</w:t>
      </w:r>
      <w:r>
        <w:rPr>
          <w:rFonts w:ascii="Arial" w:hAnsi="Arial" w:cs="Arial"/>
          <w:sz w:val="22"/>
          <w:szCs w:val="22"/>
        </w:rPr>
        <w:t>i</w:t>
      </w:r>
      <w:r w:rsidRPr="00101A8B">
        <w:rPr>
          <w:rFonts w:ascii="Arial" w:hAnsi="Arial" w:cs="Arial"/>
          <w:sz w:val="22"/>
          <w:szCs w:val="22"/>
        </w:rPr>
        <w:t>on based</w:t>
      </w:r>
      <w:r>
        <w:rPr>
          <w:rFonts w:ascii="Arial" w:hAnsi="Arial" w:cs="Arial"/>
          <w:sz w:val="22"/>
          <w:szCs w:val="22"/>
        </w:rPr>
        <w:t xml:space="preserve"> </w:t>
      </w:r>
      <w:r w:rsidRPr="00101A8B">
        <w:rPr>
          <w:rFonts w:ascii="Arial" w:hAnsi="Arial" w:cs="Arial"/>
          <w:sz w:val="22"/>
          <w:szCs w:val="22"/>
        </w:rPr>
        <w:t>on</w:t>
      </w:r>
      <w:r>
        <w:rPr>
          <w:rFonts w:ascii="Arial" w:hAnsi="Arial" w:cs="Arial"/>
          <w:sz w:val="22"/>
          <w:szCs w:val="22"/>
        </w:rPr>
        <w:t xml:space="preserve"> </w:t>
      </w:r>
      <w:r w:rsidRPr="00101A8B">
        <w:rPr>
          <w:rFonts w:ascii="Arial" w:hAnsi="Arial" w:cs="Arial"/>
          <w:sz w:val="22"/>
          <w:szCs w:val="22"/>
        </w:rPr>
        <w:t xml:space="preserve">the </w:t>
      </w:r>
      <w:proofErr w:type="spellStart"/>
      <w:r w:rsidRPr="00101A8B">
        <w:rPr>
          <w:rFonts w:ascii="Arial" w:hAnsi="Arial" w:cs="Arial"/>
          <w:sz w:val="22"/>
          <w:szCs w:val="22"/>
        </w:rPr>
        <w:t>centre</w:t>
      </w:r>
      <w:proofErr w:type="spellEnd"/>
      <w:r w:rsidRPr="00101A8B">
        <w:rPr>
          <w:rFonts w:ascii="Arial" w:hAnsi="Arial" w:cs="Arial"/>
          <w:sz w:val="22"/>
          <w:szCs w:val="22"/>
        </w:rPr>
        <w:t xml:space="preserve"> of the debtor's main interests (main proceedings)</w:t>
      </w:r>
      <w:r>
        <w:rPr>
          <w:rFonts w:ascii="Arial" w:hAnsi="Arial" w:cs="Arial"/>
          <w:sz w:val="22"/>
          <w:szCs w:val="22"/>
        </w:rPr>
        <w:t>. Further</w:t>
      </w:r>
      <w:r w:rsidRPr="00101A8B">
        <w:rPr>
          <w:rFonts w:ascii="Arial" w:hAnsi="Arial" w:cs="Arial"/>
          <w:sz w:val="22"/>
          <w:szCs w:val="22"/>
        </w:rPr>
        <w:t xml:space="preserve">, </w:t>
      </w:r>
      <w:r>
        <w:rPr>
          <w:rFonts w:ascii="Arial" w:hAnsi="Arial" w:cs="Arial"/>
          <w:sz w:val="22"/>
          <w:szCs w:val="22"/>
        </w:rPr>
        <w:t>it</w:t>
      </w:r>
      <w:r w:rsidRPr="00101A8B">
        <w:rPr>
          <w:rFonts w:ascii="Arial" w:hAnsi="Arial" w:cs="Arial"/>
          <w:sz w:val="22"/>
          <w:szCs w:val="22"/>
        </w:rPr>
        <w:t xml:space="preserve"> </w:t>
      </w:r>
      <w:proofErr w:type="gramStart"/>
      <w:r w:rsidRPr="00101A8B">
        <w:rPr>
          <w:rFonts w:ascii="Arial" w:hAnsi="Arial" w:cs="Arial"/>
          <w:sz w:val="22"/>
          <w:szCs w:val="22"/>
        </w:rPr>
        <w:t>allow</w:t>
      </w:r>
      <w:proofErr w:type="gramEnd"/>
      <w:r w:rsidRPr="00101A8B">
        <w:rPr>
          <w:rFonts w:ascii="Arial" w:hAnsi="Arial" w:cs="Arial"/>
          <w:sz w:val="22"/>
          <w:szCs w:val="22"/>
        </w:rPr>
        <w:t xml:space="preserve"> for the possibility of subsidiary territorial proceedings in other member States</w:t>
      </w:r>
      <w:r>
        <w:rPr>
          <w:rFonts w:ascii="Arial" w:hAnsi="Arial" w:cs="Arial"/>
          <w:sz w:val="22"/>
          <w:szCs w:val="22"/>
        </w:rPr>
        <w:t xml:space="preserve">, </w:t>
      </w:r>
      <w:r w:rsidRPr="00101A8B">
        <w:rPr>
          <w:rFonts w:ascii="Arial" w:hAnsi="Arial" w:cs="Arial"/>
          <w:sz w:val="22"/>
          <w:szCs w:val="22"/>
        </w:rPr>
        <w:t>where the debtor has an "establishment".</w:t>
      </w:r>
      <w:r>
        <w:rPr>
          <w:rFonts w:ascii="Arial" w:hAnsi="Arial" w:cs="Arial"/>
          <w:sz w:val="22"/>
          <w:szCs w:val="22"/>
        </w:rPr>
        <w:t xml:space="preserve"> </w:t>
      </w:r>
      <w:r w:rsidRPr="00101A8B">
        <w:rPr>
          <w:rFonts w:ascii="Arial" w:hAnsi="Arial" w:cs="Arial"/>
          <w:sz w:val="22"/>
          <w:szCs w:val="22"/>
        </w:rPr>
        <w:t>Such subsidiary proceedings may be either "independent proceedings", opened prior to the main proceedings, or "secondary proceedings", opened subsequent to the bankruptcy adjudication</w:t>
      </w:r>
      <w:r>
        <w:rPr>
          <w:rFonts w:ascii="Arial" w:hAnsi="Arial" w:cs="Arial"/>
          <w:sz w:val="22"/>
          <w:szCs w:val="22"/>
        </w:rPr>
        <w:t xml:space="preserve"> </w:t>
      </w:r>
      <w:r w:rsidRPr="00101A8B">
        <w:rPr>
          <w:rFonts w:ascii="Arial" w:hAnsi="Arial" w:cs="Arial"/>
          <w:sz w:val="22"/>
          <w:szCs w:val="22"/>
        </w:rPr>
        <w:t>in</w:t>
      </w:r>
      <w:r>
        <w:rPr>
          <w:rFonts w:ascii="Arial" w:hAnsi="Arial" w:cs="Arial"/>
          <w:sz w:val="22"/>
          <w:szCs w:val="22"/>
        </w:rPr>
        <w:t xml:space="preserve"> </w:t>
      </w:r>
      <w:r w:rsidRPr="00101A8B">
        <w:rPr>
          <w:rFonts w:ascii="Arial" w:hAnsi="Arial" w:cs="Arial"/>
          <w:sz w:val="22"/>
          <w:szCs w:val="22"/>
        </w:rPr>
        <w:t xml:space="preserve">the State with the </w:t>
      </w:r>
      <w:proofErr w:type="spellStart"/>
      <w:r w:rsidRPr="00101A8B">
        <w:rPr>
          <w:rFonts w:ascii="Arial" w:hAnsi="Arial" w:cs="Arial"/>
          <w:sz w:val="22"/>
          <w:szCs w:val="22"/>
        </w:rPr>
        <w:t>centre</w:t>
      </w:r>
      <w:proofErr w:type="spellEnd"/>
      <w:r w:rsidRPr="00101A8B">
        <w:rPr>
          <w:rFonts w:ascii="Arial" w:hAnsi="Arial" w:cs="Arial"/>
          <w:sz w:val="22"/>
          <w:szCs w:val="22"/>
        </w:rPr>
        <w:t xml:space="preserve"> of main interests.</w:t>
      </w:r>
    </w:p>
    <w:p w14:paraId="4E74BD85" w14:textId="402EEB4E" w:rsidR="001E1C34" w:rsidRPr="00AB63DE" w:rsidRDefault="001E1C34" w:rsidP="001E1C34">
      <w:pPr>
        <w:ind w:left="720" w:hanging="720"/>
        <w:jc w:val="both"/>
        <w:rPr>
          <w:rFonts w:ascii="Avenir Next" w:hAnsi="Avenir Next" w:cs="Arial"/>
          <w:color w:val="808080" w:themeColor="background1" w:themeShade="80"/>
          <w:sz w:val="22"/>
          <w:szCs w:val="22"/>
          <w:lang w:val="en-GB"/>
        </w:rPr>
      </w:pP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2E0CB43" w:rsidR="001E1C34" w:rsidRPr="004216EA" w:rsidRDefault="001E1C34" w:rsidP="00692852">
      <w:pPr>
        <w:ind w:left="720" w:hanging="720"/>
        <w:jc w:val="both"/>
        <w:rPr>
          <w:rFonts w:ascii="Avenir Next" w:hAnsi="Avenir Next" w:cs="Arial"/>
          <w:sz w:val="22"/>
          <w:szCs w:val="22"/>
          <w:highlight w:val="cyan"/>
          <w:lang w:val="en-GB"/>
        </w:rPr>
      </w:pPr>
    </w:p>
    <w:p w14:paraId="0412FBE7" w14:textId="05AF4886" w:rsidR="001E23FD" w:rsidRPr="00530AAD" w:rsidRDefault="00C606C3" w:rsidP="00530AAD">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sectPr w:rsidR="001E23FD" w:rsidRPr="00530AAD" w:rsidSect="0052732A">
      <w:footerReference w:type="even" r:id="rId13"/>
      <w:footerReference w:type="defaul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5F9E5" w14:textId="77777777" w:rsidR="00395FE0" w:rsidRDefault="00395FE0" w:rsidP="00241B44">
      <w:r>
        <w:separator/>
      </w:r>
    </w:p>
  </w:endnote>
  <w:endnote w:type="continuationSeparator" w:id="0">
    <w:p w14:paraId="59F8AD42" w14:textId="77777777" w:rsidR="00395FE0" w:rsidRDefault="00395FE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563AA3A7"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3DEEBE14" w:rsidR="00B64A85" w:rsidRPr="00297BDF" w:rsidRDefault="00E11AE1" w:rsidP="0052732A">
    <w:pPr>
      <w:pStyle w:val="Footer"/>
      <w:ind w:right="360"/>
      <w:rPr>
        <w:rFonts w:ascii="Avenir Next" w:hAnsi="Avenir Next" w:cs="Arial"/>
        <w:sz w:val="22"/>
        <w:szCs w:val="22"/>
      </w:rPr>
    </w:pPr>
    <w:r w:rsidRPr="00E11AE1">
      <w:rPr>
        <w:rFonts w:ascii="Avenir Next" w:hAnsi="Avenir Next" w:cs="Arial"/>
        <w:sz w:val="22"/>
        <w:szCs w:val="22"/>
      </w:rPr>
      <w:t>202223-944</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3A549" w14:textId="77777777" w:rsidR="00395FE0" w:rsidRDefault="00395FE0" w:rsidP="00241B44">
      <w:r>
        <w:separator/>
      </w:r>
    </w:p>
  </w:footnote>
  <w:footnote w:type="continuationSeparator" w:id="0">
    <w:p w14:paraId="1A493C63" w14:textId="77777777" w:rsidR="00395FE0" w:rsidRDefault="00395FE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FEE"/>
    <w:multiLevelType w:val="hybridMultilevel"/>
    <w:tmpl w:val="A6BE5256"/>
    <w:lvl w:ilvl="0" w:tplc="B93223A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8792F97"/>
    <w:multiLevelType w:val="hybridMultilevel"/>
    <w:tmpl w:val="878ED98E"/>
    <w:lvl w:ilvl="0" w:tplc="74C63CC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0A0E5E2E"/>
    <w:multiLevelType w:val="hybridMultilevel"/>
    <w:tmpl w:val="0CD23C9E"/>
    <w:lvl w:ilvl="0" w:tplc="89AE7F7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3917AF"/>
    <w:multiLevelType w:val="hybridMultilevel"/>
    <w:tmpl w:val="1D603968"/>
    <w:lvl w:ilvl="0" w:tplc="08ECC28C">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2455092E"/>
    <w:multiLevelType w:val="hybridMultilevel"/>
    <w:tmpl w:val="F82C3F0C"/>
    <w:lvl w:ilvl="0" w:tplc="DE9A47F6">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B995741"/>
    <w:multiLevelType w:val="hybridMultilevel"/>
    <w:tmpl w:val="FD3C86D0"/>
    <w:lvl w:ilvl="0" w:tplc="222AE8A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F043B0"/>
    <w:multiLevelType w:val="hybridMultilevel"/>
    <w:tmpl w:val="3CCCD204"/>
    <w:lvl w:ilvl="0" w:tplc="FB1273F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3C22E8F"/>
    <w:multiLevelType w:val="hybridMultilevel"/>
    <w:tmpl w:val="35D0C7E8"/>
    <w:lvl w:ilvl="0" w:tplc="0E88E96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8383F7D"/>
    <w:multiLevelType w:val="hybridMultilevel"/>
    <w:tmpl w:val="8B606C3C"/>
    <w:lvl w:ilvl="0" w:tplc="F48C599E">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8C1E21"/>
    <w:multiLevelType w:val="hybridMultilevel"/>
    <w:tmpl w:val="91C017F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CD2070B"/>
    <w:multiLevelType w:val="hybridMultilevel"/>
    <w:tmpl w:val="91C017F8"/>
    <w:lvl w:ilvl="0" w:tplc="15D84D8E">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6693716">
    <w:abstractNumId w:val="27"/>
  </w:num>
  <w:num w:numId="2" w16cid:durableId="343829715">
    <w:abstractNumId w:val="33"/>
  </w:num>
  <w:num w:numId="3" w16cid:durableId="322783002">
    <w:abstractNumId w:val="6"/>
  </w:num>
  <w:num w:numId="4" w16cid:durableId="985665274">
    <w:abstractNumId w:val="7"/>
  </w:num>
  <w:num w:numId="5" w16cid:durableId="1295209885">
    <w:abstractNumId w:val="23"/>
  </w:num>
  <w:num w:numId="6" w16cid:durableId="2043092431">
    <w:abstractNumId w:val="29"/>
  </w:num>
  <w:num w:numId="7" w16cid:durableId="1737438097">
    <w:abstractNumId w:val="14"/>
  </w:num>
  <w:num w:numId="8" w16cid:durableId="828861183">
    <w:abstractNumId w:val="34"/>
  </w:num>
  <w:num w:numId="9" w16cid:durableId="1605844694">
    <w:abstractNumId w:val="13"/>
  </w:num>
  <w:num w:numId="10" w16cid:durableId="1946112849">
    <w:abstractNumId w:val="30"/>
  </w:num>
  <w:num w:numId="11" w16cid:durableId="865141803">
    <w:abstractNumId w:val="12"/>
  </w:num>
  <w:num w:numId="12" w16cid:durableId="1828014574">
    <w:abstractNumId w:val="32"/>
  </w:num>
  <w:num w:numId="13" w16cid:durableId="881404522">
    <w:abstractNumId w:val="22"/>
  </w:num>
  <w:num w:numId="14" w16cid:durableId="286282450">
    <w:abstractNumId w:val="21"/>
  </w:num>
  <w:num w:numId="15" w16cid:durableId="2023361327">
    <w:abstractNumId w:val="9"/>
  </w:num>
  <w:num w:numId="16" w16cid:durableId="1529638539">
    <w:abstractNumId w:val="24"/>
  </w:num>
  <w:num w:numId="17" w16cid:durableId="2085832430">
    <w:abstractNumId w:val="18"/>
  </w:num>
  <w:num w:numId="18" w16cid:durableId="1155102958">
    <w:abstractNumId w:val="20"/>
  </w:num>
  <w:num w:numId="19" w16cid:durableId="578103474">
    <w:abstractNumId w:val="26"/>
  </w:num>
  <w:num w:numId="20" w16cid:durableId="1851750414">
    <w:abstractNumId w:val="11"/>
  </w:num>
  <w:num w:numId="21" w16cid:durableId="1467629281">
    <w:abstractNumId w:val="16"/>
  </w:num>
  <w:num w:numId="22" w16cid:durableId="446051082">
    <w:abstractNumId w:val="2"/>
  </w:num>
  <w:num w:numId="23" w16cid:durableId="17316629">
    <w:abstractNumId w:val="25"/>
  </w:num>
  <w:num w:numId="24" w16cid:durableId="1553344341">
    <w:abstractNumId w:val="4"/>
  </w:num>
  <w:num w:numId="25" w16cid:durableId="1813136262">
    <w:abstractNumId w:val="19"/>
  </w:num>
  <w:num w:numId="26" w16cid:durableId="1489977756">
    <w:abstractNumId w:val="5"/>
  </w:num>
  <w:num w:numId="27" w16cid:durableId="1549998202">
    <w:abstractNumId w:val="17"/>
  </w:num>
  <w:num w:numId="28" w16cid:durableId="655496400">
    <w:abstractNumId w:val="3"/>
  </w:num>
  <w:num w:numId="29" w16cid:durableId="718289568">
    <w:abstractNumId w:val="0"/>
  </w:num>
  <w:num w:numId="30" w16cid:durableId="1320769270">
    <w:abstractNumId w:val="31"/>
  </w:num>
  <w:num w:numId="31" w16cid:durableId="1005668103">
    <w:abstractNumId w:val="8"/>
  </w:num>
  <w:num w:numId="32" w16cid:durableId="1556962864">
    <w:abstractNumId w:val="15"/>
  </w:num>
  <w:num w:numId="33" w16cid:durableId="1479616202">
    <w:abstractNumId w:val="1"/>
  </w:num>
  <w:num w:numId="34" w16cid:durableId="216281273">
    <w:abstractNumId w:val="10"/>
  </w:num>
  <w:num w:numId="35" w16cid:durableId="188029090">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C2D14"/>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37405"/>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3F9E"/>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36D7"/>
    <w:rsid w:val="00334648"/>
    <w:rsid w:val="00336CA6"/>
    <w:rsid w:val="003370C4"/>
    <w:rsid w:val="0033768C"/>
    <w:rsid w:val="00337938"/>
    <w:rsid w:val="00340769"/>
    <w:rsid w:val="00341A65"/>
    <w:rsid w:val="00341AA6"/>
    <w:rsid w:val="00342E57"/>
    <w:rsid w:val="003500E5"/>
    <w:rsid w:val="00355B57"/>
    <w:rsid w:val="00361A0A"/>
    <w:rsid w:val="00361DF9"/>
    <w:rsid w:val="0036565C"/>
    <w:rsid w:val="0036625E"/>
    <w:rsid w:val="00367162"/>
    <w:rsid w:val="00372401"/>
    <w:rsid w:val="00372CD4"/>
    <w:rsid w:val="0037374A"/>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5FE0"/>
    <w:rsid w:val="00396821"/>
    <w:rsid w:val="00396CE5"/>
    <w:rsid w:val="00397707"/>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5CB"/>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04D7"/>
    <w:rsid w:val="00515756"/>
    <w:rsid w:val="00515F63"/>
    <w:rsid w:val="005177FE"/>
    <w:rsid w:val="0052263B"/>
    <w:rsid w:val="00524728"/>
    <w:rsid w:val="00524840"/>
    <w:rsid w:val="00525459"/>
    <w:rsid w:val="00525C99"/>
    <w:rsid w:val="0052732A"/>
    <w:rsid w:val="00527527"/>
    <w:rsid w:val="00530010"/>
    <w:rsid w:val="00530AAD"/>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932"/>
    <w:rsid w:val="00555C4D"/>
    <w:rsid w:val="00560534"/>
    <w:rsid w:val="00560861"/>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4981"/>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694D"/>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1D16"/>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0E53"/>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5226"/>
    <w:rsid w:val="008473AA"/>
    <w:rsid w:val="00852883"/>
    <w:rsid w:val="00852F37"/>
    <w:rsid w:val="008571F6"/>
    <w:rsid w:val="00857A02"/>
    <w:rsid w:val="00861E51"/>
    <w:rsid w:val="00865EF4"/>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B7799"/>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06BC1"/>
    <w:rsid w:val="00A13F8F"/>
    <w:rsid w:val="00A149B7"/>
    <w:rsid w:val="00A177BC"/>
    <w:rsid w:val="00A17930"/>
    <w:rsid w:val="00A2274A"/>
    <w:rsid w:val="00A235B7"/>
    <w:rsid w:val="00A249AC"/>
    <w:rsid w:val="00A27A7A"/>
    <w:rsid w:val="00A301D1"/>
    <w:rsid w:val="00A31881"/>
    <w:rsid w:val="00A40529"/>
    <w:rsid w:val="00A407EF"/>
    <w:rsid w:val="00A411B7"/>
    <w:rsid w:val="00A43CC5"/>
    <w:rsid w:val="00A45800"/>
    <w:rsid w:val="00A46B4C"/>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55B"/>
    <w:rsid w:val="00AF5899"/>
    <w:rsid w:val="00B0123F"/>
    <w:rsid w:val="00B04004"/>
    <w:rsid w:val="00B12F13"/>
    <w:rsid w:val="00B14819"/>
    <w:rsid w:val="00B17AA9"/>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97DD8"/>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2F40"/>
    <w:rsid w:val="00C750BA"/>
    <w:rsid w:val="00C7736C"/>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14E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7C59"/>
    <w:rsid w:val="00D60215"/>
    <w:rsid w:val="00D60874"/>
    <w:rsid w:val="00D6231C"/>
    <w:rsid w:val="00D63EFD"/>
    <w:rsid w:val="00D6588F"/>
    <w:rsid w:val="00D676F1"/>
    <w:rsid w:val="00D714E4"/>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1AE1"/>
    <w:rsid w:val="00E12C13"/>
    <w:rsid w:val="00E15BA9"/>
    <w:rsid w:val="00E161D2"/>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E7AE3"/>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231E"/>
    <w:rsid w:val="00F73426"/>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082D"/>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styleId="UnresolvedMention">
    <w:name w:val="Unresolved Mention"/>
    <w:basedOn w:val="DefaultParagraphFont"/>
    <w:uiPriority w:val="99"/>
    <w:semiHidden/>
    <w:unhideWhenUsed/>
    <w:rsid w:val="00510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holarship.law.upenn.edu/cgi/viewcontent.cgi?article=7663&amp;context=penn_law_revie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12</Pages>
  <Words>4510</Words>
  <Characters>25713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Dimple Mandaniyan</cp:lastModifiedBy>
  <cp:revision>24</cp:revision>
  <cp:lastPrinted>2020-06-12T02:43:00Z</cp:lastPrinted>
  <dcterms:created xsi:type="dcterms:W3CDTF">2022-07-27T13:31:00Z</dcterms:created>
  <dcterms:modified xsi:type="dcterms:W3CDTF">2022-11-14T13:53:00Z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