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enabsatz"/>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4553C6" w:rsidRDefault="002D2356" w:rsidP="008071D5">
      <w:pPr>
        <w:pStyle w:val="Listenabsatz"/>
        <w:numPr>
          <w:ilvl w:val="0"/>
          <w:numId w:val="15"/>
        </w:numPr>
        <w:ind w:left="425" w:hanging="357"/>
        <w:jc w:val="both"/>
        <w:rPr>
          <w:rFonts w:ascii="Avenir Next" w:hAnsi="Avenir Next" w:cs="Arial"/>
          <w:sz w:val="22"/>
          <w:szCs w:val="22"/>
          <w:highlight w:val="yellow"/>
        </w:rPr>
      </w:pPr>
      <w:r w:rsidRPr="004553C6">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4553C6">
        <w:rPr>
          <w:rFonts w:ascii="Avenir Next" w:hAnsi="Avenir Next" w:cs="Arial"/>
          <w:sz w:val="22"/>
          <w:szCs w:val="22"/>
          <w:highlight w:val="yellow"/>
          <w:vertAlign w:val="superscript"/>
        </w:rPr>
        <w:t>th</w:t>
      </w:r>
      <w:r w:rsidRPr="004553C6">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enabsatz"/>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enabsatz"/>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EE2569" w:rsidRDefault="002D2356" w:rsidP="008071D5">
      <w:pPr>
        <w:pStyle w:val="Listenabsatz"/>
        <w:numPr>
          <w:ilvl w:val="0"/>
          <w:numId w:val="16"/>
        </w:numPr>
        <w:ind w:left="426"/>
        <w:jc w:val="both"/>
        <w:rPr>
          <w:rFonts w:ascii="Avenir Next" w:hAnsi="Avenir Next" w:cs="Arial"/>
          <w:sz w:val="22"/>
          <w:szCs w:val="22"/>
          <w:highlight w:val="yellow"/>
        </w:rPr>
      </w:pPr>
      <w:r w:rsidRPr="00EE2569">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enabsatz"/>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enabsatz"/>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enabsatz"/>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lastRenderedPageBreak/>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1A0F25" w:rsidRDefault="002D2356" w:rsidP="008071D5">
      <w:pPr>
        <w:pStyle w:val="Listenabsatz"/>
        <w:numPr>
          <w:ilvl w:val="0"/>
          <w:numId w:val="17"/>
        </w:numPr>
        <w:ind w:left="426"/>
        <w:jc w:val="both"/>
        <w:rPr>
          <w:rFonts w:ascii="Avenir Next" w:hAnsi="Avenir Next" w:cs="Arial"/>
          <w:sz w:val="22"/>
          <w:szCs w:val="22"/>
          <w:highlight w:val="yellow"/>
        </w:rPr>
      </w:pPr>
      <w:r w:rsidRPr="001A0F25">
        <w:rPr>
          <w:rFonts w:ascii="Avenir Next" w:hAnsi="Avenir Next" w:cs="Arial"/>
          <w:sz w:val="22"/>
          <w:szCs w:val="22"/>
          <w:highlight w:val="yellow"/>
        </w:rPr>
        <w:t xml:space="preserve">This statement is true since England has the unified 1986 Insolvency </w:t>
      </w:r>
      <w:proofErr w:type="gramStart"/>
      <w:r w:rsidRPr="001A0F25">
        <w:rPr>
          <w:rFonts w:ascii="Avenir Next" w:hAnsi="Avenir Next" w:cs="Arial"/>
          <w:sz w:val="22"/>
          <w:szCs w:val="22"/>
          <w:highlight w:val="yellow"/>
        </w:rPr>
        <w:t>Act</w:t>
      </w:r>
      <w:proofErr w:type="gramEnd"/>
      <w:r w:rsidRPr="001A0F25">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enabsatz"/>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enabsatz"/>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enabsatz"/>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enabsatz"/>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spellStart"/>
      <w:proofErr w:type="gramStart"/>
      <w:r w:rsidRPr="00CC5ECB">
        <w:rPr>
          <w:rFonts w:ascii="Avenir Next" w:hAnsi="Avenir Next" w:cs="Arial"/>
          <w:sz w:val="22"/>
          <w:szCs w:val="22"/>
        </w:rPr>
        <w:t>ie</w:t>
      </w:r>
      <w:proofErr w:type="spellEnd"/>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C67DDC" w:rsidRDefault="00466ED6" w:rsidP="008071D5">
      <w:pPr>
        <w:pStyle w:val="Listenabsatz"/>
        <w:numPr>
          <w:ilvl w:val="0"/>
          <w:numId w:val="18"/>
        </w:numPr>
        <w:ind w:left="426"/>
        <w:jc w:val="both"/>
        <w:rPr>
          <w:rFonts w:ascii="Avenir Next" w:hAnsi="Avenir Next" w:cs="Arial"/>
          <w:sz w:val="22"/>
          <w:szCs w:val="22"/>
          <w:highlight w:val="yellow"/>
        </w:rPr>
      </w:pPr>
      <w:r w:rsidRPr="00C67DDC">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enabsatz"/>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enabsatz"/>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F179D8" w:rsidRDefault="002D2356" w:rsidP="008071D5">
      <w:pPr>
        <w:pStyle w:val="Listenabsatz"/>
        <w:numPr>
          <w:ilvl w:val="0"/>
          <w:numId w:val="19"/>
        </w:numPr>
        <w:ind w:left="425" w:hanging="357"/>
        <w:jc w:val="both"/>
        <w:rPr>
          <w:rFonts w:ascii="Avenir Next" w:hAnsi="Avenir Next" w:cs="Arial"/>
          <w:sz w:val="22"/>
          <w:szCs w:val="22"/>
          <w:highlight w:val="yellow"/>
        </w:rPr>
      </w:pPr>
      <w:r w:rsidRPr="00F179D8">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enabsatz"/>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enabsatz"/>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enabsatz"/>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In a local liquidation commenced in that country, to what other area of domestic law can the local court refer </w:t>
      </w:r>
      <w:proofErr w:type="gramStart"/>
      <w:r w:rsidRPr="004216EA">
        <w:rPr>
          <w:rFonts w:ascii="Avenir Next" w:hAnsi="Avenir Next" w:cs="Arial"/>
          <w:sz w:val="22"/>
          <w:szCs w:val="22"/>
          <w:lang w:val="en-GB"/>
        </w:rPr>
        <w:t>in order to</w:t>
      </w:r>
      <w:proofErr w:type="gramEnd"/>
      <w:r w:rsidRPr="004216EA">
        <w:rPr>
          <w:rFonts w:ascii="Avenir Next" w:hAnsi="Avenir Next" w:cs="Arial"/>
          <w:sz w:val="22"/>
          <w:szCs w:val="22"/>
          <w:lang w:val="en-GB"/>
        </w:rPr>
        <w:t xml:space="preserve">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Pr="005F1B4E" w:rsidRDefault="002D2356" w:rsidP="008071D5">
      <w:pPr>
        <w:pStyle w:val="Listenabsatz"/>
        <w:numPr>
          <w:ilvl w:val="0"/>
          <w:numId w:val="20"/>
        </w:numPr>
        <w:ind w:left="426"/>
        <w:jc w:val="both"/>
        <w:rPr>
          <w:rFonts w:ascii="Avenir Next" w:eastAsiaTheme="minorHAnsi" w:hAnsi="Avenir Next" w:cs="Arial"/>
          <w:sz w:val="22"/>
          <w:szCs w:val="22"/>
          <w:highlight w:val="yellow"/>
          <w:lang w:val="en-GB"/>
        </w:rPr>
      </w:pPr>
      <w:r w:rsidRPr="005F1B4E">
        <w:rPr>
          <w:rFonts w:ascii="Avenir Next" w:eastAsiaTheme="minorHAnsi" w:hAnsi="Avenir Next" w:cs="Arial"/>
          <w:sz w:val="22"/>
          <w:szCs w:val="22"/>
          <w:highlight w:val="yellow"/>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enabsatz"/>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enabsatz"/>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5F1B4E" w:rsidRDefault="002D2356" w:rsidP="008071D5">
      <w:pPr>
        <w:pStyle w:val="Listenabsatz"/>
        <w:numPr>
          <w:ilvl w:val="0"/>
          <w:numId w:val="20"/>
        </w:numPr>
        <w:ind w:left="426"/>
        <w:jc w:val="both"/>
        <w:rPr>
          <w:rFonts w:ascii="Avenir Next" w:eastAsiaTheme="minorHAnsi" w:hAnsi="Avenir Next" w:cs="Arial"/>
          <w:sz w:val="22"/>
          <w:szCs w:val="22"/>
          <w:lang w:val="en-GB"/>
        </w:rPr>
      </w:pPr>
      <w:r w:rsidRPr="005F1B4E">
        <w:rPr>
          <w:rFonts w:ascii="Avenir Next" w:eastAsiaTheme="minorHAnsi" w:hAnsi="Avenir Next" w:cs="Arial"/>
          <w:sz w:val="22"/>
          <w:szCs w:val="22"/>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23E5ED8E" w:rsidR="002D2356"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46D73674" w14:textId="77777777" w:rsidR="001A66D0" w:rsidRPr="004216EA" w:rsidRDefault="001A66D0" w:rsidP="008071D5">
      <w:pPr>
        <w:jc w:val="both"/>
        <w:rPr>
          <w:rFonts w:ascii="Avenir Next" w:hAnsi="Avenir Next" w:cs="Arial"/>
          <w:sz w:val="22"/>
          <w:szCs w:val="22"/>
        </w:rPr>
      </w:pPr>
    </w:p>
    <w:p w14:paraId="021E73D1" w14:textId="74017493" w:rsidR="002D2356" w:rsidRDefault="009A0501" w:rsidP="008071D5">
      <w:pPr>
        <w:pStyle w:val="Listenabsatz"/>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enabsatz"/>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A556D4" w:rsidRDefault="009A0501" w:rsidP="008071D5">
      <w:pPr>
        <w:pStyle w:val="Listenabsatz"/>
        <w:numPr>
          <w:ilvl w:val="0"/>
          <w:numId w:val="21"/>
        </w:numPr>
        <w:ind w:left="426"/>
        <w:jc w:val="both"/>
        <w:rPr>
          <w:rFonts w:ascii="Avenir Next" w:eastAsiaTheme="minorHAnsi" w:hAnsi="Avenir Next" w:cs="Arial"/>
          <w:sz w:val="22"/>
          <w:szCs w:val="22"/>
          <w:highlight w:val="yellow"/>
          <w:lang w:val="en-GB"/>
        </w:rPr>
      </w:pPr>
      <w:r w:rsidRPr="00A556D4">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A556D4">
        <w:rPr>
          <w:rFonts w:ascii="Avenir Next" w:eastAsiaTheme="minorHAnsi" w:hAnsi="Avenir Next" w:cs="Arial"/>
          <w:sz w:val="22"/>
          <w:szCs w:val="22"/>
          <w:highlight w:val="yellow"/>
          <w:lang w:val="en-GB"/>
        </w:rPr>
        <w:t xml:space="preserve"> </w:t>
      </w:r>
      <w:r w:rsidRPr="00A556D4">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enabsatz"/>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enabsatz"/>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Pr="00356756" w:rsidRDefault="007F21A1" w:rsidP="008071D5">
      <w:pPr>
        <w:pStyle w:val="Listenabsatz"/>
        <w:numPr>
          <w:ilvl w:val="0"/>
          <w:numId w:val="22"/>
        </w:numPr>
        <w:ind w:left="426"/>
        <w:jc w:val="both"/>
        <w:rPr>
          <w:rFonts w:ascii="Avenir Next" w:eastAsiaTheme="minorHAnsi" w:hAnsi="Avenir Next" w:cs="Arial"/>
          <w:sz w:val="22"/>
          <w:szCs w:val="22"/>
          <w:lang w:val="en-GB"/>
        </w:rPr>
      </w:pPr>
      <w:r w:rsidRPr="00356756">
        <w:rPr>
          <w:rFonts w:ascii="Avenir Next" w:eastAsiaTheme="minorHAnsi" w:hAnsi="Avenir Next" w:cs="Arial"/>
          <w:sz w:val="22"/>
          <w:szCs w:val="22"/>
          <w:lang w:val="en-GB"/>
        </w:rPr>
        <w:t xml:space="preserve">It is private international law </w:t>
      </w:r>
      <w:r w:rsidR="000815BB" w:rsidRPr="00356756">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356756" w:rsidRDefault="003D3410" w:rsidP="008071D5">
      <w:pPr>
        <w:pStyle w:val="Listenabsatz"/>
        <w:numPr>
          <w:ilvl w:val="0"/>
          <w:numId w:val="22"/>
        </w:numPr>
        <w:ind w:left="426"/>
        <w:jc w:val="both"/>
        <w:rPr>
          <w:rFonts w:ascii="Avenir Next" w:eastAsiaTheme="minorHAnsi" w:hAnsi="Avenir Next" w:cs="Arial"/>
          <w:sz w:val="22"/>
          <w:szCs w:val="22"/>
          <w:highlight w:val="yellow"/>
          <w:lang w:val="en-GB"/>
        </w:rPr>
      </w:pPr>
      <w:r w:rsidRPr="00356756">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enabsatz"/>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enabsatz"/>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enabsatz"/>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enabsatz"/>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0B217E0A" w:rsidR="00F5239B" w:rsidRPr="004A31EA" w:rsidRDefault="00F5239B" w:rsidP="008071D5">
      <w:pPr>
        <w:pStyle w:val="Listenabsatz"/>
        <w:numPr>
          <w:ilvl w:val="0"/>
          <w:numId w:val="23"/>
        </w:numPr>
        <w:ind w:left="426"/>
        <w:jc w:val="both"/>
        <w:rPr>
          <w:rFonts w:ascii="Avenir Next" w:hAnsi="Avenir Next" w:cs="Arial"/>
          <w:sz w:val="22"/>
          <w:szCs w:val="22"/>
          <w:highlight w:val="yellow"/>
        </w:rPr>
      </w:pPr>
      <w:r w:rsidRPr="004A31EA">
        <w:rPr>
          <w:rFonts w:ascii="Avenir Next" w:hAnsi="Avenir Next" w:cs="Arial"/>
          <w:sz w:val="22"/>
          <w:szCs w:val="22"/>
          <w:highlight w:val="yellow"/>
        </w:rPr>
        <w:t xml:space="preserve">This statement is true because </w:t>
      </w:r>
      <w:r w:rsidR="007B5180" w:rsidRPr="004A31EA">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1EED0A6B" w14:textId="77777777" w:rsidR="00F44F25" w:rsidRPr="00F44F25" w:rsidRDefault="00F44F25" w:rsidP="00F44F25">
      <w:pPr>
        <w:ind w:left="66"/>
        <w:jc w:val="both"/>
        <w:rPr>
          <w:rFonts w:ascii="Avenir Next" w:hAnsi="Avenir Next" w:cs="Arial"/>
          <w:sz w:val="22"/>
          <w:szCs w:val="22"/>
        </w:rPr>
      </w:pP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enabsatz"/>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enabsatz"/>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enabsatz"/>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F504B1" w:rsidRDefault="009355DB" w:rsidP="008071D5">
      <w:pPr>
        <w:pStyle w:val="Listenabsatz"/>
        <w:numPr>
          <w:ilvl w:val="0"/>
          <w:numId w:val="24"/>
        </w:numPr>
        <w:ind w:left="426"/>
        <w:jc w:val="both"/>
        <w:rPr>
          <w:rFonts w:ascii="Avenir Next" w:hAnsi="Avenir Next" w:cs="Arial"/>
          <w:sz w:val="22"/>
          <w:szCs w:val="22"/>
          <w:highlight w:val="yellow"/>
        </w:rPr>
      </w:pPr>
      <w:r w:rsidRPr="00F504B1">
        <w:rPr>
          <w:rFonts w:ascii="Avenir Next" w:hAnsi="Avenir Next" w:cs="Arial"/>
          <w:sz w:val="22"/>
          <w:szCs w:val="22"/>
          <w:highlight w:val="yellow"/>
        </w:rPr>
        <w:t xml:space="preserve">This statement is true because </w:t>
      </w:r>
      <w:r w:rsidR="005C4FF2" w:rsidRPr="00F504B1">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727380D" w:rsidR="00CC7728"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69E5185" w14:textId="72AA2C76" w:rsidR="00F504B1" w:rsidRDefault="00F504B1" w:rsidP="00692852">
      <w:pPr>
        <w:jc w:val="both"/>
        <w:rPr>
          <w:rFonts w:ascii="Avenir Next" w:hAnsi="Avenir Next" w:cs="Arial"/>
          <w:sz w:val="22"/>
          <w:szCs w:val="22"/>
          <w:lang w:val="en-GB"/>
        </w:rPr>
      </w:pPr>
    </w:p>
    <w:p w14:paraId="1AC8AC66" w14:textId="77777777" w:rsidR="00B62D3D" w:rsidRPr="004216EA" w:rsidRDefault="00B62D3D" w:rsidP="00B62D3D">
      <w:pPr>
        <w:jc w:val="both"/>
        <w:rPr>
          <w:rFonts w:ascii="Avenir Next" w:hAnsi="Avenir Next" w:cs="Arial"/>
          <w:sz w:val="22"/>
          <w:szCs w:val="22"/>
        </w:rPr>
      </w:pPr>
      <w:r w:rsidRPr="00B62D3D">
        <w:rPr>
          <w:rFonts w:ascii="Avenir Next" w:hAnsi="Avenir Next" w:cs="Arial"/>
          <w:color w:val="808080" w:themeColor="background1" w:themeShade="80"/>
          <w:sz w:val="22"/>
          <w:szCs w:val="22"/>
          <w:lang w:val="en-GB"/>
        </w:rPr>
        <w:t xml:space="preserve">African insolvency law is still strongly influenced by the law introduced by the colonial powers. For this reason, the English legal tradition and thus also insolvency law based on the English model can be found in countries such as Nigeria, Kenya, Botswana and Zambia, as well as in some countries in the </w:t>
      </w:r>
      <w:r w:rsidRPr="00B62D3D">
        <w:rPr>
          <w:rFonts w:ascii="Avenir Next" w:hAnsi="Avenir Next" w:cs="Arial"/>
          <w:color w:val="808080" w:themeColor="background1" w:themeShade="80"/>
          <w:sz w:val="22"/>
          <w:szCs w:val="22"/>
          <w:lang w:val="en-GB"/>
        </w:rPr>
        <w:lastRenderedPageBreak/>
        <w:t>eastern part of Africa, such as Tanzania. Countries such as Angola and Mozambique, on the other hand, follow legal approaches from Portuguese law and consequently have an insolvency law system that follows civil law. The African countries of West Africa, which have a French influence, have a legal system that follows French law. Only a few countries, such as South Africa and Namibia, have a mixed legal system based on both Roman-Dutch law and English law.</w:t>
      </w: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09F61129" w14:textId="34DD6D9D" w:rsidR="00AB63DE" w:rsidRDefault="00AC3075" w:rsidP="00940B15">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2DC2F3A8" w14:textId="2B0A42C8" w:rsidR="00940B15" w:rsidRDefault="00940B15" w:rsidP="00940B15">
      <w:pPr>
        <w:jc w:val="both"/>
        <w:rPr>
          <w:rFonts w:ascii="Avenir Next" w:hAnsi="Avenir Next" w:cs="Arial"/>
          <w:sz w:val="22"/>
          <w:szCs w:val="22"/>
          <w:lang w:val="en-GB"/>
        </w:rPr>
      </w:pPr>
    </w:p>
    <w:p w14:paraId="3E9853E9" w14:textId="10DA800D" w:rsidR="00B62D3D" w:rsidRPr="00B62D3D" w:rsidRDefault="00B62D3D" w:rsidP="00B62D3D">
      <w:pPr>
        <w:jc w:val="both"/>
        <w:rPr>
          <w:rFonts w:ascii="Avenir Next" w:hAnsi="Avenir Next" w:cs="Arial"/>
          <w:color w:val="808080" w:themeColor="background1" w:themeShade="80"/>
          <w:sz w:val="22"/>
          <w:szCs w:val="22"/>
          <w:lang w:val="en-GB"/>
        </w:rPr>
      </w:pPr>
      <w:r w:rsidRPr="00B62D3D">
        <w:rPr>
          <w:rFonts w:ascii="Avenir Next" w:hAnsi="Avenir Next" w:cs="Arial"/>
          <w:color w:val="808080" w:themeColor="background1" w:themeShade="80"/>
          <w:sz w:val="22"/>
          <w:szCs w:val="22"/>
          <w:lang w:val="en-GB"/>
        </w:rPr>
        <w:t xml:space="preserve">The development of insolvency law in Southeast Asia experienced a significant boost </w:t>
      </w:r>
      <w:r w:rsidR="001C093E" w:rsidRPr="00B62D3D">
        <w:rPr>
          <w:rFonts w:ascii="Avenir Next" w:hAnsi="Avenir Next" w:cs="Arial"/>
          <w:color w:val="808080" w:themeColor="background1" w:themeShade="80"/>
          <w:sz w:val="22"/>
          <w:szCs w:val="22"/>
          <w:lang w:val="en-GB"/>
        </w:rPr>
        <w:t>because of</w:t>
      </w:r>
      <w:r w:rsidRPr="00B62D3D">
        <w:rPr>
          <w:rFonts w:ascii="Avenir Next" w:hAnsi="Avenir Next" w:cs="Arial"/>
          <w:color w:val="808080" w:themeColor="background1" w:themeShade="80"/>
          <w:sz w:val="22"/>
          <w:szCs w:val="22"/>
          <w:lang w:val="en-GB"/>
        </w:rPr>
        <w:t xml:space="preserve"> the financial crisis that occurred in East Asia in 1998, affecting Indonesia and Thailand in particular. This event gave rise to more numerous forms of insolvency law, and Thailand </w:t>
      </w:r>
      <w:r w:rsidR="001C093E" w:rsidRPr="00B62D3D">
        <w:rPr>
          <w:rFonts w:ascii="Avenir Next" w:hAnsi="Avenir Next" w:cs="Arial"/>
          <w:color w:val="808080" w:themeColor="background1" w:themeShade="80"/>
          <w:sz w:val="22"/>
          <w:szCs w:val="22"/>
          <w:lang w:val="en-GB"/>
        </w:rPr>
        <w:t>undertook</w:t>
      </w:r>
      <w:r w:rsidRPr="00B62D3D">
        <w:rPr>
          <w:rFonts w:ascii="Avenir Next" w:hAnsi="Avenir Next" w:cs="Arial"/>
          <w:color w:val="808080" w:themeColor="background1" w:themeShade="80"/>
          <w:sz w:val="22"/>
          <w:szCs w:val="22"/>
          <w:lang w:val="en-GB"/>
        </w:rPr>
        <w:t xml:space="preserve"> a revision of its own insolvency law.</w:t>
      </w:r>
    </w:p>
    <w:p w14:paraId="74D7F825" w14:textId="77777777" w:rsidR="00B62D3D" w:rsidRPr="00B62D3D" w:rsidRDefault="00B62D3D" w:rsidP="00B62D3D">
      <w:pPr>
        <w:jc w:val="both"/>
        <w:rPr>
          <w:rFonts w:ascii="Avenir Next" w:hAnsi="Avenir Next" w:cs="Arial"/>
          <w:color w:val="808080" w:themeColor="background1" w:themeShade="80"/>
          <w:sz w:val="22"/>
          <w:szCs w:val="22"/>
          <w:lang w:val="en-GB"/>
        </w:rPr>
      </w:pPr>
    </w:p>
    <w:p w14:paraId="1C578FDD" w14:textId="77777777" w:rsidR="00B62D3D" w:rsidRPr="00B62D3D" w:rsidRDefault="00B62D3D" w:rsidP="00B62D3D">
      <w:pPr>
        <w:jc w:val="both"/>
        <w:rPr>
          <w:rFonts w:ascii="Avenir Next" w:hAnsi="Avenir Next" w:cs="Arial"/>
          <w:color w:val="808080" w:themeColor="background1" w:themeShade="80"/>
          <w:sz w:val="22"/>
          <w:szCs w:val="22"/>
          <w:lang w:val="en-GB"/>
        </w:rPr>
      </w:pPr>
      <w:r w:rsidRPr="00B62D3D">
        <w:rPr>
          <w:rFonts w:ascii="Avenir Next" w:hAnsi="Avenir Next" w:cs="Arial"/>
          <w:color w:val="808080" w:themeColor="background1" w:themeShade="80"/>
          <w:sz w:val="22"/>
          <w:szCs w:val="22"/>
          <w:lang w:val="en-GB"/>
        </w:rPr>
        <w:t>Singapore has seen rapid development in the revision of its insolvency law. Singapore has become one of Southeast Asia's major players by enacting a new Insolvency Restructuring and Dissolution Law in October 2018 that merged consumer insolvency law as well as corporate insolvency law into a single law.</w:t>
      </w:r>
    </w:p>
    <w:p w14:paraId="6636E4D4" w14:textId="77777777" w:rsidR="00B62D3D" w:rsidRPr="00B62D3D" w:rsidRDefault="00B62D3D" w:rsidP="00B62D3D">
      <w:pPr>
        <w:jc w:val="both"/>
        <w:rPr>
          <w:rFonts w:ascii="Avenir Next" w:hAnsi="Avenir Next" w:cs="Arial"/>
          <w:color w:val="808080" w:themeColor="background1" w:themeShade="80"/>
          <w:sz w:val="22"/>
          <w:szCs w:val="22"/>
          <w:lang w:val="en-GB"/>
        </w:rPr>
      </w:pPr>
    </w:p>
    <w:p w14:paraId="43B0C8D3" w14:textId="004F0A30" w:rsidR="00940B15" w:rsidRPr="00940B15" w:rsidRDefault="00B62D3D" w:rsidP="00B62D3D">
      <w:pPr>
        <w:jc w:val="both"/>
        <w:rPr>
          <w:rFonts w:ascii="Avenir Next" w:hAnsi="Avenir Next" w:cs="Arial"/>
          <w:i/>
          <w:iCs/>
          <w:sz w:val="22"/>
          <w:szCs w:val="22"/>
          <w:lang w:val="en-GB"/>
        </w:rPr>
      </w:pPr>
      <w:r w:rsidRPr="00B62D3D">
        <w:rPr>
          <w:rFonts w:ascii="Avenir Next" w:hAnsi="Avenir Next" w:cs="Arial"/>
          <w:color w:val="808080" w:themeColor="background1" w:themeShade="80"/>
          <w:sz w:val="22"/>
          <w:szCs w:val="22"/>
          <w:lang w:val="en-GB"/>
        </w:rPr>
        <w:t>Another reform has emerged through the development of a soft law initiative in cooperation between the Asian Business Law Institute and the International Insolvency Institute. Together, these two institutes developed the Asian Principles of Business Restructuring, which reported a report on corporate restructuring and insolvency in the Southeast Asian region in 2020.</w:t>
      </w: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49984A27" w14:textId="006EA839" w:rsidR="00AB63DE" w:rsidRDefault="00FF0D81" w:rsidP="009219CE">
      <w:pPr>
        <w:jc w:val="both"/>
        <w:rPr>
          <w:rFonts w:ascii="Avenir Next" w:hAnsi="Avenir Next" w:cs="Arial"/>
          <w:color w:val="808080" w:themeColor="background1" w:themeShade="80"/>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303846C9" w14:textId="7A0049B6" w:rsidR="009219CE" w:rsidRDefault="009219CE" w:rsidP="009219CE">
      <w:pPr>
        <w:jc w:val="both"/>
        <w:rPr>
          <w:rFonts w:ascii="Avenir Next" w:hAnsi="Avenir Next" w:cs="Arial"/>
          <w:color w:val="808080" w:themeColor="background1" w:themeShade="80"/>
          <w:sz w:val="22"/>
          <w:szCs w:val="22"/>
          <w:lang w:val="en-GB"/>
        </w:rPr>
      </w:pPr>
    </w:p>
    <w:p w14:paraId="38B2DCC1" w14:textId="27500D41" w:rsidR="00B62D3D" w:rsidRPr="00B62D3D" w:rsidRDefault="00B62D3D" w:rsidP="00B62D3D">
      <w:pPr>
        <w:jc w:val="both"/>
        <w:rPr>
          <w:rFonts w:ascii="Avenir Next" w:hAnsi="Avenir Next" w:cs="Arial"/>
          <w:color w:val="808080" w:themeColor="background1" w:themeShade="80"/>
          <w:sz w:val="22"/>
          <w:szCs w:val="22"/>
          <w:lang w:val="en-GB"/>
        </w:rPr>
      </w:pPr>
      <w:r w:rsidRPr="00B62D3D">
        <w:rPr>
          <w:rFonts w:ascii="Avenir Next" w:hAnsi="Avenir Next" w:cs="Arial"/>
          <w:color w:val="808080" w:themeColor="background1" w:themeShade="80"/>
          <w:sz w:val="22"/>
          <w:szCs w:val="22"/>
          <w:lang w:val="en-GB"/>
        </w:rPr>
        <w:t xml:space="preserve">Initially, the United States and Canada worked toward a bilateral agreement </w:t>
      </w:r>
      <w:r w:rsidR="001C093E" w:rsidRPr="00B62D3D">
        <w:rPr>
          <w:rFonts w:ascii="Avenir Next" w:hAnsi="Avenir Next" w:cs="Arial"/>
          <w:color w:val="808080" w:themeColor="background1" w:themeShade="80"/>
          <w:sz w:val="22"/>
          <w:szCs w:val="22"/>
          <w:lang w:val="en-GB"/>
        </w:rPr>
        <w:t>in</w:t>
      </w:r>
      <w:r w:rsidRPr="00B62D3D">
        <w:rPr>
          <w:rFonts w:ascii="Avenir Next" w:hAnsi="Avenir Next" w:cs="Arial"/>
          <w:color w:val="808080" w:themeColor="background1" w:themeShade="80"/>
          <w:sz w:val="22"/>
          <w:szCs w:val="22"/>
          <w:lang w:val="en-GB"/>
        </w:rPr>
        <w:t xml:space="preserve"> cross-border insolvency in the 1970s. However, agreement could not be reached in this context due to overly ambitious goals. From a practical point of view, cooperation in the field of insolvency law has improved through the respective adoption of model law as well as special mechanisms such as the so-called protocols. This development was already preceded by bilateral cooperation and coordination based on the already existing legislation and case law around "comity".</w:t>
      </w:r>
    </w:p>
    <w:p w14:paraId="40CBB7CC" w14:textId="77777777" w:rsidR="00B62D3D" w:rsidRPr="00B62D3D" w:rsidRDefault="00B62D3D" w:rsidP="00B62D3D">
      <w:pPr>
        <w:jc w:val="both"/>
        <w:rPr>
          <w:rFonts w:ascii="Avenir Next" w:hAnsi="Avenir Next" w:cs="Arial"/>
          <w:color w:val="808080" w:themeColor="background1" w:themeShade="80"/>
          <w:sz w:val="22"/>
          <w:szCs w:val="22"/>
          <w:lang w:val="en-GB"/>
        </w:rPr>
      </w:pPr>
    </w:p>
    <w:p w14:paraId="6256E539" w14:textId="77777777" w:rsidR="00B62D3D" w:rsidRPr="00B62D3D" w:rsidRDefault="00B62D3D" w:rsidP="00B62D3D">
      <w:pPr>
        <w:jc w:val="both"/>
        <w:rPr>
          <w:rFonts w:ascii="Avenir Next" w:hAnsi="Avenir Next" w:cs="Arial"/>
          <w:color w:val="808080" w:themeColor="background1" w:themeShade="80"/>
          <w:sz w:val="22"/>
          <w:szCs w:val="22"/>
          <w:lang w:val="en-GB"/>
        </w:rPr>
      </w:pPr>
      <w:r w:rsidRPr="00B62D3D">
        <w:rPr>
          <w:rFonts w:ascii="Avenir Next" w:hAnsi="Avenir Next" w:cs="Arial"/>
          <w:color w:val="808080" w:themeColor="background1" w:themeShade="80"/>
          <w:sz w:val="22"/>
          <w:szCs w:val="22"/>
          <w:lang w:val="en-GB"/>
        </w:rPr>
        <w:t>A significant further step in cooperation with respect to cross-border insolvency matters is through an initiative of the American Law Institute (ALI), which was aimed at examining the treatment of international insolvency issues between North American Free Trade Agreement (NAFTA) countries. Principles for cooperation among NAFTA countries were developed, focusing on insolvency of corporations and other legal entities.</w:t>
      </w:r>
    </w:p>
    <w:p w14:paraId="3AA4ACED" w14:textId="77777777" w:rsidR="00B62D3D" w:rsidRPr="00B62D3D" w:rsidRDefault="00B62D3D" w:rsidP="00B62D3D">
      <w:pPr>
        <w:jc w:val="both"/>
        <w:rPr>
          <w:rFonts w:ascii="Avenir Next" w:hAnsi="Avenir Next" w:cs="Arial"/>
          <w:color w:val="808080" w:themeColor="background1" w:themeShade="80"/>
          <w:sz w:val="22"/>
          <w:szCs w:val="22"/>
          <w:lang w:val="en-GB"/>
        </w:rPr>
      </w:pPr>
    </w:p>
    <w:p w14:paraId="5A8AC52E" w14:textId="77777777" w:rsidR="00B62D3D" w:rsidRPr="00B62D3D" w:rsidRDefault="00B62D3D" w:rsidP="00B62D3D">
      <w:pPr>
        <w:jc w:val="both"/>
        <w:rPr>
          <w:rFonts w:ascii="Avenir Next" w:hAnsi="Avenir Next" w:cs="Arial"/>
          <w:color w:val="808080" w:themeColor="background1" w:themeShade="80"/>
          <w:sz w:val="22"/>
          <w:szCs w:val="22"/>
          <w:lang w:val="en-GB"/>
        </w:rPr>
      </w:pPr>
      <w:r w:rsidRPr="00B62D3D">
        <w:rPr>
          <w:rFonts w:ascii="Avenir Next" w:hAnsi="Avenir Next" w:cs="Arial"/>
          <w:color w:val="808080" w:themeColor="background1" w:themeShade="80"/>
          <w:sz w:val="22"/>
          <w:szCs w:val="22"/>
          <w:lang w:val="en-GB"/>
        </w:rPr>
        <w:t>In 2001, in the context of the ALI NAFTA Transnational Insolvency Project, " Guidelines for Communication between Courts in Cross-Border Cases" were developed and adopted by the International Insolvency Institute (III).</w:t>
      </w:r>
    </w:p>
    <w:p w14:paraId="18BB61AF" w14:textId="77777777" w:rsidR="00B62D3D" w:rsidRPr="00B62D3D" w:rsidRDefault="00B62D3D" w:rsidP="00B62D3D">
      <w:pPr>
        <w:jc w:val="both"/>
        <w:rPr>
          <w:rFonts w:ascii="Avenir Next" w:hAnsi="Avenir Next" w:cs="Arial"/>
          <w:color w:val="808080" w:themeColor="background1" w:themeShade="80"/>
          <w:sz w:val="22"/>
          <w:szCs w:val="22"/>
          <w:lang w:val="en-GB"/>
        </w:rPr>
      </w:pPr>
    </w:p>
    <w:p w14:paraId="679F4698" w14:textId="77777777" w:rsidR="00B62D3D" w:rsidRPr="00B62D3D" w:rsidRDefault="00B62D3D" w:rsidP="00B62D3D">
      <w:pPr>
        <w:jc w:val="both"/>
        <w:rPr>
          <w:rFonts w:ascii="Avenir Next" w:hAnsi="Avenir Next" w:cs="Arial"/>
          <w:color w:val="808080" w:themeColor="background1" w:themeShade="80"/>
          <w:sz w:val="22"/>
          <w:szCs w:val="22"/>
          <w:lang w:val="en-GB"/>
        </w:rPr>
      </w:pPr>
      <w:r w:rsidRPr="00B62D3D">
        <w:rPr>
          <w:rFonts w:ascii="Avenir Next" w:hAnsi="Avenir Next" w:cs="Arial"/>
          <w:color w:val="808080" w:themeColor="background1" w:themeShade="80"/>
          <w:sz w:val="22"/>
          <w:szCs w:val="22"/>
          <w:lang w:val="en-GB"/>
        </w:rPr>
        <w:lastRenderedPageBreak/>
        <w:t xml:space="preserve">In 2021, the ALI was able to state that the "Global Guidelines Applicable to Court-to-Court Communication in Cross-Border Cases" have played a leading role in the restructuring of airlines in cross-border </w:t>
      </w:r>
      <w:proofErr w:type="gramStart"/>
      <w:r w:rsidRPr="00B62D3D">
        <w:rPr>
          <w:rFonts w:ascii="Avenir Next" w:hAnsi="Avenir Next" w:cs="Arial"/>
          <w:color w:val="808080" w:themeColor="background1" w:themeShade="80"/>
          <w:sz w:val="22"/>
          <w:szCs w:val="22"/>
          <w:lang w:val="en-GB"/>
        </w:rPr>
        <w:t>cases in particular</w:t>
      </w:r>
      <w:proofErr w:type="gramEnd"/>
      <w:r w:rsidRPr="00B62D3D">
        <w:rPr>
          <w:rFonts w:ascii="Avenir Next" w:hAnsi="Avenir Next" w:cs="Arial"/>
          <w:color w:val="808080" w:themeColor="background1" w:themeShade="80"/>
          <w:sz w:val="22"/>
          <w:szCs w:val="22"/>
          <w:lang w:val="en-GB"/>
        </w:rPr>
        <w:t>.</w:t>
      </w: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332C30CF" w14:textId="77777777" w:rsidR="00F90B14" w:rsidRDefault="00AC3075" w:rsidP="00F90B14">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w:t>
      </w:r>
    </w:p>
    <w:p w14:paraId="17AB6D9F" w14:textId="77777777" w:rsidR="00F90B14" w:rsidRDefault="00F90B14" w:rsidP="00F90B14">
      <w:pPr>
        <w:rPr>
          <w:rFonts w:ascii="Avenir Next" w:hAnsi="Avenir Next" w:cs="Arial"/>
          <w:sz w:val="22"/>
          <w:szCs w:val="22"/>
          <w:lang w:val="en-GB"/>
        </w:rPr>
      </w:pPr>
    </w:p>
    <w:p w14:paraId="5E4C0F25" w14:textId="0C645E4B" w:rsidR="00C60E5B" w:rsidRDefault="00C60E5B" w:rsidP="00B62D3D">
      <w:pPr>
        <w:jc w:val="both"/>
        <w:rPr>
          <w:rFonts w:ascii="Avenir Next" w:hAnsi="Avenir Next" w:cs="Arial"/>
          <w:color w:val="808080" w:themeColor="background1" w:themeShade="80"/>
          <w:sz w:val="22"/>
          <w:szCs w:val="22"/>
          <w:lang w:val="en-GB"/>
        </w:rPr>
      </w:pPr>
      <w:r w:rsidRPr="00C60E5B">
        <w:rPr>
          <w:rFonts w:ascii="Avenir Next" w:hAnsi="Avenir Next" w:cs="Arial"/>
          <w:color w:val="808080" w:themeColor="background1" w:themeShade="80"/>
          <w:sz w:val="22"/>
          <w:szCs w:val="22"/>
          <w:lang w:val="en-GB"/>
        </w:rPr>
        <w:t xml:space="preserve">In the original civil law found in Roman law, a measure against a debtor was realized in enforcement against the debtor's "persons." A person who owed performance to a creditor and did not pay this debt offered his own body as repayment. The effect could be saved, sentenced to death or was sold as a slave. Between the 13th and 17th centuries, the principle of "bankruptcy" subsequently developed, which for the first time enforced </w:t>
      </w:r>
      <w:r w:rsidR="00AC7412">
        <w:rPr>
          <w:rFonts w:ascii="Avenir Next" w:hAnsi="Avenir Next" w:cs="Arial"/>
          <w:color w:val="808080" w:themeColor="background1" w:themeShade="80"/>
          <w:sz w:val="22"/>
          <w:szCs w:val="22"/>
          <w:lang w:val="en-GB"/>
        </w:rPr>
        <w:t>a</w:t>
      </w:r>
      <w:r w:rsidRPr="00C60E5B">
        <w:rPr>
          <w:rFonts w:ascii="Avenir Next" w:hAnsi="Avenir Next" w:cs="Arial"/>
          <w:color w:val="808080" w:themeColor="background1" w:themeShade="80"/>
          <w:sz w:val="22"/>
          <w:szCs w:val="22"/>
          <w:lang w:val="en-GB"/>
        </w:rPr>
        <w:t xml:space="preserve"> procedure in dealing with debtors in which enforcement was directed not against the person, but rather against the person's assets.</w:t>
      </w:r>
      <w:r>
        <w:rPr>
          <w:rFonts w:ascii="Avenir Next" w:hAnsi="Avenir Next" w:cs="Arial"/>
          <w:color w:val="808080" w:themeColor="background1" w:themeShade="80"/>
          <w:sz w:val="22"/>
          <w:szCs w:val="22"/>
          <w:lang w:val="en-GB"/>
        </w:rPr>
        <w:t xml:space="preserve"> </w:t>
      </w:r>
      <w:r w:rsidRPr="00C60E5B">
        <w:rPr>
          <w:rFonts w:ascii="Avenir Next" w:hAnsi="Avenir Next" w:cs="Arial"/>
          <w:color w:val="808080" w:themeColor="background1" w:themeShade="80"/>
          <w:sz w:val="22"/>
          <w:szCs w:val="22"/>
          <w:lang w:val="en-GB"/>
        </w:rPr>
        <w:t>However, the principle of bankruptcy was initially applied only to "merchants".</w:t>
      </w:r>
    </w:p>
    <w:p w14:paraId="3B45B933" w14:textId="77777777" w:rsidR="008511E9" w:rsidRDefault="008511E9" w:rsidP="00B62D3D">
      <w:pPr>
        <w:jc w:val="both"/>
        <w:rPr>
          <w:rFonts w:ascii="Avenir Next" w:hAnsi="Avenir Next" w:cs="Arial"/>
          <w:color w:val="808080" w:themeColor="background1" w:themeShade="80"/>
          <w:sz w:val="22"/>
          <w:szCs w:val="22"/>
          <w:lang w:val="en-GB"/>
        </w:rPr>
      </w:pPr>
    </w:p>
    <w:p w14:paraId="0C90498F" w14:textId="2A11D9C6" w:rsidR="00B62D3D" w:rsidRDefault="00C60E5B" w:rsidP="00B62D3D">
      <w:pPr>
        <w:jc w:val="both"/>
        <w:rPr>
          <w:rFonts w:ascii="Avenir Next" w:hAnsi="Avenir Next" w:cs="Arial"/>
          <w:color w:val="808080" w:themeColor="background1" w:themeShade="80"/>
          <w:sz w:val="22"/>
          <w:szCs w:val="22"/>
          <w:lang w:val="en-GB"/>
        </w:rPr>
      </w:pPr>
      <w:r w:rsidRPr="00C60E5B">
        <w:rPr>
          <w:rFonts w:ascii="Avenir Next" w:hAnsi="Avenir Next" w:cs="Arial"/>
          <w:color w:val="808080" w:themeColor="background1" w:themeShade="80"/>
          <w:sz w:val="22"/>
          <w:szCs w:val="22"/>
          <w:lang w:val="en-GB"/>
        </w:rPr>
        <w:t>The concept of bankruptcy was therefore a characteristic of insolvency law that was very clearly "creditor-friendly". Approaches that provided for debt discharge and were thus intended to give the debtor more perspective developed much later. The approach of civil law therefore represents an approach that is fundamentally "creditor-friendly".</w:t>
      </w:r>
      <w:r w:rsidR="00C75E08">
        <w:rPr>
          <w:rFonts w:ascii="Avenir Next" w:hAnsi="Avenir Next" w:cs="Arial"/>
          <w:color w:val="808080" w:themeColor="background1" w:themeShade="80"/>
          <w:sz w:val="22"/>
          <w:szCs w:val="22"/>
          <w:lang w:val="en-GB"/>
        </w:rPr>
        <w:t xml:space="preserve"> </w:t>
      </w:r>
      <w:r w:rsidR="00C75E08" w:rsidRPr="00C75E08">
        <w:rPr>
          <w:rFonts w:ascii="Avenir Next" w:hAnsi="Avenir Next" w:cs="Arial"/>
          <w:color w:val="808080" w:themeColor="background1" w:themeShade="80"/>
          <w:sz w:val="22"/>
          <w:szCs w:val="22"/>
          <w:lang w:val="en-GB"/>
        </w:rPr>
        <w:t xml:space="preserve">Countries whose insolvency law is based on the principles of civil law therefore practice an insolvency law that is </w:t>
      </w:r>
      <w:r w:rsidR="001C093E" w:rsidRPr="00C75E08">
        <w:rPr>
          <w:rFonts w:ascii="Avenir Next" w:hAnsi="Avenir Next" w:cs="Arial"/>
          <w:color w:val="808080" w:themeColor="background1" w:themeShade="80"/>
          <w:sz w:val="22"/>
          <w:szCs w:val="22"/>
          <w:lang w:val="en-GB"/>
        </w:rPr>
        <w:t>creditor friendly</w:t>
      </w:r>
      <w:r w:rsidR="00C75E08" w:rsidRPr="00C75E08">
        <w:rPr>
          <w:rFonts w:ascii="Avenir Next" w:hAnsi="Avenir Next" w:cs="Arial"/>
          <w:color w:val="808080" w:themeColor="background1" w:themeShade="80"/>
          <w:sz w:val="22"/>
          <w:szCs w:val="22"/>
          <w:lang w:val="en-GB"/>
        </w:rPr>
        <w:t>.</w:t>
      </w:r>
    </w:p>
    <w:p w14:paraId="3577AB69" w14:textId="4AF7A9BE" w:rsidR="00C75E08" w:rsidRDefault="00C75E08" w:rsidP="00B62D3D">
      <w:pPr>
        <w:jc w:val="both"/>
        <w:rPr>
          <w:rFonts w:ascii="Avenir Next" w:hAnsi="Avenir Next" w:cs="Arial"/>
          <w:color w:val="808080" w:themeColor="background1" w:themeShade="80"/>
          <w:sz w:val="22"/>
          <w:szCs w:val="22"/>
          <w:lang w:val="en-GB"/>
        </w:rPr>
      </w:pPr>
    </w:p>
    <w:p w14:paraId="6F453A0F" w14:textId="34B9FE1B" w:rsidR="00C22CEE" w:rsidRDefault="00C75E08" w:rsidP="00B62D3D">
      <w:pPr>
        <w:jc w:val="both"/>
        <w:rPr>
          <w:rFonts w:ascii="Avenir Next" w:hAnsi="Avenir Next" w:cs="Arial"/>
          <w:color w:val="808080" w:themeColor="background1" w:themeShade="80"/>
          <w:sz w:val="22"/>
          <w:szCs w:val="22"/>
          <w:lang w:val="en-GB"/>
        </w:rPr>
      </w:pPr>
      <w:r w:rsidRPr="00C75E08">
        <w:rPr>
          <w:rFonts w:ascii="Avenir Next" w:hAnsi="Avenir Next" w:cs="Arial"/>
          <w:color w:val="808080" w:themeColor="background1" w:themeShade="80"/>
          <w:sz w:val="22"/>
          <w:szCs w:val="22"/>
          <w:lang w:val="en-GB"/>
        </w:rPr>
        <w:t>In the first insolvency law, which is in the English law aspects, the debtor was also considered a "criminal", but the measures were aimed at the preservation of assets and the best equal distribution of assets to creditors. The main measure available to a defaulting debtor was "forced administration".</w:t>
      </w:r>
      <w:r>
        <w:rPr>
          <w:rFonts w:ascii="Avenir Next" w:hAnsi="Avenir Next" w:cs="Arial"/>
          <w:color w:val="808080" w:themeColor="background1" w:themeShade="80"/>
          <w:sz w:val="22"/>
          <w:szCs w:val="22"/>
          <w:lang w:val="en-GB"/>
        </w:rPr>
        <w:t xml:space="preserve"> </w:t>
      </w:r>
      <w:r w:rsidRPr="00C75E08">
        <w:rPr>
          <w:rFonts w:ascii="Avenir Next" w:hAnsi="Avenir Next" w:cs="Arial"/>
          <w:color w:val="808080" w:themeColor="background1" w:themeShade="80"/>
          <w:sz w:val="22"/>
          <w:szCs w:val="22"/>
          <w:lang w:val="en-GB"/>
        </w:rPr>
        <w:t xml:space="preserve">English law has always been very legislative </w:t>
      </w:r>
      <w:r w:rsidR="001C093E" w:rsidRPr="00C75E08">
        <w:rPr>
          <w:rFonts w:ascii="Avenir Next" w:hAnsi="Avenir Next" w:cs="Arial"/>
          <w:color w:val="808080" w:themeColor="background1" w:themeShade="80"/>
          <w:sz w:val="22"/>
          <w:szCs w:val="22"/>
          <w:lang w:val="en-GB"/>
        </w:rPr>
        <w:t>about</w:t>
      </w:r>
      <w:r w:rsidRPr="00C75E08">
        <w:rPr>
          <w:rFonts w:ascii="Avenir Next" w:hAnsi="Avenir Next" w:cs="Arial"/>
          <w:color w:val="808080" w:themeColor="background1" w:themeShade="80"/>
          <w:sz w:val="22"/>
          <w:szCs w:val="22"/>
          <w:lang w:val="en-GB"/>
        </w:rPr>
        <w:t xml:space="preserve"> insolvency. Significantly, the Statute of Ann of 1705 created for the first time a principle of statutory discharge of the debtor. Thus, a discharge of the debtor could be provided in any case if so-called "commissioners" confirmed the cooperation of the debtor</w:t>
      </w:r>
      <w:r w:rsidR="00C22CEE">
        <w:rPr>
          <w:rFonts w:ascii="Avenir Next" w:hAnsi="Avenir Next" w:cs="Arial"/>
          <w:color w:val="808080" w:themeColor="background1" w:themeShade="80"/>
          <w:sz w:val="22"/>
          <w:szCs w:val="22"/>
          <w:lang w:val="en-GB"/>
        </w:rPr>
        <w:t xml:space="preserve">. </w:t>
      </w:r>
      <w:r w:rsidR="00C22CEE" w:rsidRPr="00C22CEE">
        <w:rPr>
          <w:rFonts w:ascii="Avenir Next" w:hAnsi="Avenir Next" w:cs="Arial"/>
          <w:color w:val="808080" w:themeColor="background1" w:themeShade="80"/>
          <w:sz w:val="22"/>
          <w:szCs w:val="22"/>
          <w:lang w:val="en-GB"/>
        </w:rPr>
        <w:t>Further reforms of insolvency law under English law followed and as early as 1883 the office of the so-called "Official Receiver" was introduced, who administered the debtor's assets.</w:t>
      </w:r>
    </w:p>
    <w:p w14:paraId="1BAE5500" w14:textId="09FFAA49" w:rsidR="003F6BAD" w:rsidRDefault="003F6BAD" w:rsidP="00B62D3D">
      <w:pPr>
        <w:jc w:val="both"/>
        <w:rPr>
          <w:rFonts w:ascii="Avenir Next" w:hAnsi="Avenir Next" w:cs="Arial"/>
          <w:color w:val="808080" w:themeColor="background1" w:themeShade="80"/>
          <w:sz w:val="22"/>
          <w:szCs w:val="22"/>
          <w:lang w:val="en-GB"/>
        </w:rPr>
      </w:pPr>
    </w:p>
    <w:p w14:paraId="4B284C87" w14:textId="77545B50" w:rsidR="00C60E5B" w:rsidRDefault="003F6BAD" w:rsidP="00B62D3D">
      <w:pPr>
        <w:jc w:val="both"/>
        <w:rPr>
          <w:rFonts w:ascii="Avenir Next" w:hAnsi="Avenir Next" w:cs="Arial"/>
          <w:color w:val="808080" w:themeColor="background1" w:themeShade="80"/>
          <w:sz w:val="22"/>
          <w:szCs w:val="22"/>
          <w:lang w:val="en-GB"/>
        </w:rPr>
      </w:pPr>
      <w:r w:rsidRPr="003F6BAD">
        <w:rPr>
          <w:rFonts w:ascii="Avenir Next" w:hAnsi="Avenir Next" w:cs="Arial"/>
          <w:color w:val="808080" w:themeColor="background1" w:themeShade="80"/>
          <w:sz w:val="22"/>
          <w:szCs w:val="22"/>
          <w:lang w:val="en-GB"/>
        </w:rPr>
        <w:t xml:space="preserve">Consequently, English insolvency law was geared to the inclusion of the debtor in the insolvency proceedings at a very early stage. If the debtor cooperated, he was also offered the prospect of discharge at an early stage. </w:t>
      </w:r>
      <w:r w:rsidR="003B707E" w:rsidRPr="003B707E">
        <w:rPr>
          <w:rFonts w:ascii="Avenir Next" w:hAnsi="Avenir Next" w:cs="Arial"/>
          <w:color w:val="808080" w:themeColor="background1" w:themeShade="80"/>
          <w:sz w:val="22"/>
          <w:szCs w:val="22"/>
          <w:lang w:val="en-GB"/>
        </w:rPr>
        <w:t>Thus, English law has been rather "debtor-friendly" in its approach to insolvency law, and countries whose insolvency law has its origins in English law are consequently also allowed to have an insolvency law today that is more "debtor-friendly" in its outcome.</w:t>
      </w:r>
    </w:p>
    <w:p w14:paraId="7A3FFC14" w14:textId="03B67A63" w:rsidR="003B707E" w:rsidRDefault="003B707E" w:rsidP="00B62D3D">
      <w:pPr>
        <w:jc w:val="both"/>
        <w:rPr>
          <w:rFonts w:ascii="Avenir Next" w:hAnsi="Avenir Next" w:cs="Arial"/>
          <w:color w:val="808080" w:themeColor="background1" w:themeShade="80"/>
          <w:sz w:val="22"/>
          <w:szCs w:val="22"/>
          <w:lang w:val="en-GB"/>
        </w:rPr>
      </w:pPr>
    </w:p>
    <w:p w14:paraId="7BDA0B94" w14:textId="5A5C0D7B" w:rsidR="00FD048A" w:rsidRDefault="001C093E" w:rsidP="00FD048A">
      <w:pPr>
        <w:jc w:val="both"/>
        <w:rPr>
          <w:rFonts w:ascii="Avenir Next" w:hAnsi="Avenir Next" w:cs="Arial"/>
          <w:color w:val="808080" w:themeColor="background1" w:themeShade="80"/>
          <w:sz w:val="22"/>
          <w:szCs w:val="22"/>
          <w:lang w:val="en-GB"/>
        </w:rPr>
      </w:pPr>
      <w:r w:rsidRPr="00747908">
        <w:rPr>
          <w:rFonts w:ascii="Avenir Next" w:hAnsi="Avenir Next" w:cs="Arial"/>
          <w:color w:val="808080" w:themeColor="background1" w:themeShade="80"/>
          <w:sz w:val="22"/>
          <w:szCs w:val="22"/>
          <w:lang w:val="en-GB"/>
        </w:rPr>
        <w:t>To</w:t>
      </w:r>
      <w:r w:rsidR="00747908" w:rsidRPr="00747908">
        <w:rPr>
          <w:rFonts w:ascii="Avenir Next" w:hAnsi="Avenir Next" w:cs="Arial"/>
          <w:color w:val="808080" w:themeColor="background1" w:themeShade="80"/>
          <w:sz w:val="22"/>
          <w:szCs w:val="22"/>
          <w:lang w:val="en-GB"/>
        </w:rPr>
        <w:t xml:space="preserve"> create principles for the design of cross-border insolvency law, the focus must first always be on a detailed analysis of the insolvency law systems of the respective countries beyond whose borders an insolvency matter extends. The commonalities of the respective systems already provide a foundation for the principles of cross-border element. Regulations must be created against this where collisions of these insolvency law systems occur. Against the background of the above explanations, such collisions occur where a creditor-friendly system meets a debtor-friendly system.</w:t>
      </w:r>
      <w:r w:rsidR="00ED659E">
        <w:rPr>
          <w:rFonts w:ascii="Avenir Next" w:hAnsi="Avenir Next" w:cs="Arial"/>
          <w:color w:val="808080" w:themeColor="background1" w:themeShade="80"/>
          <w:sz w:val="22"/>
          <w:szCs w:val="22"/>
          <w:lang w:val="en-GB"/>
        </w:rPr>
        <w:t xml:space="preserve"> </w:t>
      </w:r>
    </w:p>
    <w:p w14:paraId="54C84CD6" w14:textId="77777777" w:rsidR="00C60E5B" w:rsidRDefault="00C60E5B" w:rsidP="00B62D3D">
      <w:pPr>
        <w:jc w:val="both"/>
        <w:rPr>
          <w:rFonts w:ascii="Avenir Next" w:hAnsi="Avenir Next" w:cs="Arial"/>
          <w:color w:val="808080" w:themeColor="background1" w:themeShade="80"/>
          <w:sz w:val="22"/>
          <w:szCs w:val="22"/>
          <w:lang w:val="en-GB"/>
        </w:rPr>
      </w:pPr>
    </w:p>
    <w:p w14:paraId="17847A2D" w14:textId="0ED67F9A" w:rsidR="00F90B14" w:rsidRDefault="00747908" w:rsidP="00747908">
      <w:pPr>
        <w:jc w:val="both"/>
        <w:rPr>
          <w:rFonts w:ascii="Avenir Next" w:hAnsi="Avenir Next" w:cs="Arial"/>
          <w:i/>
          <w:iCs/>
          <w:sz w:val="22"/>
          <w:szCs w:val="22"/>
          <w:lang w:val="en-GB"/>
        </w:rPr>
      </w:pPr>
      <w:r w:rsidRPr="00747908">
        <w:rPr>
          <w:rFonts w:ascii="Avenir Next" w:hAnsi="Avenir Next" w:cs="Arial"/>
          <w:color w:val="808080" w:themeColor="background1" w:themeShade="80"/>
          <w:sz w:val="22"/>
          <w:szCs w:val="22"/>
          <w:lang w:val="en-GB"/>
        </w:rPr>
        <w:t>In such a collision, situations may arise in which a creditor is timely secured in one country but could lose its claim in the other. Similarly, the debtor might be promised relief in one country while having no prospect of relief at all in the other. Such a mixed situation can lead to a flight of creditors to one system while the debtor flees to the other.</w:t>
      </w:r>
    </w:p>
    <w:p w14:paraId="7E9F61C4" w14:textId="0D9213B8" w:rsidR="00AB63DE" w:rsidRDefault="00AB63DE" w:rsidP="00692852">
      <w:pPr>
        <w:jc w:val="both"/>
        <w:rPr>
          <w:rFonts w:ascii="Avenir Next" w:hAnsi="Avenir Next" w:cs="Arial"/>
          <w:sz w:val="22"/>
          <w:szCs w:val="22"/>
          <w:lang w:val="en-GB"/>
        </w:rPr>
      </w:pPr>
    </w:p>
    <w:p w14:paraId="380B265A" w14:textId="1C584D75" w:rsidR="00FD048A" w:rsidRPr="004216EA" w:rsidRDefault="00BA4816" w:rsidP="00692852">
      <w:pPr>
        <w:jc w:val="both"/>
        <w:rPr>
          <w:rFonts w:ascii="Avenir Next" w:hAnsi="Avenir Next" w:cs="Arial"/>
          <w:sz w:val="22"/>
          <w:szCs w:val="22"/>
          <w:lang w:val="en-GB"/>
        </w:rPr>
      </w:pPr>
      <w:r w:rsidRPr="00BA4816">
        <w:rPr>
          <w:rFonts w:ascii="Avenir Next" w:hAnsi="Avenir Next" w:cs="Arial"/>
          <w:color w:val="808080" w:themeColor="background1" w:themeShade="80"/>
          <w:sz w:val="22"/>
          <w:szCs w:val="22"/>
          <w:lang w:val="en-GB"/>
        </w:rPr>
        <w:t xml:space="preserve">Since the respective insolvency law systems are regularly not only influenced by English law in terms of civil law, but also by numerous other aspects, including cultural aspects, which have an impact on the formulation of insolvency law, the solution cannot regularly be found in focusing on just one country and its insolvency law for the handling of an insolvency law system. </w:t>
      </w:r>
      <w:r w:rsidR="00FD048A" w:rsidRPr="00ED659E">
        <w:rPr>
          <w:rFonts w:ascii="Avenir Next" w:hAnsi="Avenir Next" w:cs="Arial"/>
          <w:color w:val="808080" w:themeColor="background1" w:themeShade="80"/>
          <w:sz w:val="22"/>
          <w:szCs w:val="22"/>
          <w:lang w:val="en-GB"/>
        </w:rPr>
        <w:t>What is needed is a structural framework with which an audit concept can be developed that takes account of the various insolvency law systems.</w:t>
      </w:r>
      <w:r w:rsidR="00A44083" w:rsidRPr="00A44083">
        <w:t xml:space="preserve"> </w:t>
      </w:r>
      <w:r w:rsidR="00A44083" w:rsidRPr="00A44083">
        <w:rPr>
          <w:rFonts w:ascii="Avenir Next" w:hAnsi="Avenir Next" w:cs="Arial"/>
          <w:color w:val="808080" w:themeColor="background1" w:themeShade="80"/>
          <w:sz w:val="22"/>
          <w:szCs w:val="22"/>
          <w:lang w:val="en-GB"/>
        </w:rPr>
        <w:t xml:space="preserve">The "UNCITRAL Legislative Guide on Insolvency Law" is therefore particularly suitable as an examination concept for the design of a cross-border insolvency </w:t>
      </w:r>
      <w:r w:rsidR="001C093E" w:rsidRPr="00A44083">
        <w:rPr>
          <w:rFonts w:ascii="Avenir Next" w:hAnsi="Avenir Next" w:cs="Arial"/>
          <w:color w:val="808080" w:themeColor="background1" w:themeShade="80"/>
          <w:sz w:val="22"/>
          <w:szCs w:val="22"/>
          <w:lang w:val="en-GB"/>
        </w:rPr>
        <w:t>law since</w:t>
      </w:r>
      <w:r w:rsidR="00A44083" w:rsidRPr="00A44083">
        <w:rPr>
          <w:rFonts w:ascii="Avenir Next" w:hAnsi="Avenir Next" w:cs="Arial"/>
          <w:color w:val="808080" w:themeColor="background1" w:themeShade="80"/>
          <w:sz w:val="22"/>
          <w:szCs w:val="22"/>
          <w:lang w:val="en-GB"/>
        </w:rPr>
        <w:t xml:space="preserve"> it offers just typified approaches for the design of such a legal framework.</w:t>
      </w: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w:t>
      </w:r>
      <w:proofErr w:type="spellStart"/>
      <w:r w:rsidRPr="004216EA">
        <w:rPr>
          <w:rFonts w:ascii="Avenir Next" w:hAnsi="Avenir Next" w:cs="Arial"/>
          <w:sz w:val="22"/>
          <w:szCs w:val="22"/>
        </w:rPr>
        <w:t>i</w:t>
      </w:r>
      <w:proofErr w:type="spellEnd"/>
      <w:r w:rsidRPr="004216EA">
        <w:rPr>
          <w:rFonts w:ascii="Avenir Next" w:hAnsi="Avenir Next" w:cs="Arial"/>
          <w:sz w:val="22"/>
          <w:szCs w:val="22"/>
        </w:rPr>
        <w:t>]s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262F429A" w14:textId="7BC0FE1F" w:rsidR="00C952A2" w:rsidRDefault="00A4744F" w:rsidP="00B62D3D">
      <w:pPr>
        <w:jc w:val="both"/>
        <w:rPr>
          <w:rFonts w:ascii="Avenir Next" w:hAnsi="Avenir Next" w:cs="Arial"/>
          <w:color w:val="808080" w:themeColor="background1" w:themeShade="80"/>
          <w:sz w:val="22"/>
          <w:szCs w:val="22"/>
          <w:lang w:val="en-GB"/>
        </w:rPr>
      </w:pPr>
      <w:r w:rsidRPr="00A4744F">
        <w:rPr>
          <w:rFonts w:ascii="Avenir Next" w:hAnsi="Avenir Next" w:cs="Arial"/>
          <w:color w:val="808080" w:themeColor="background1" w:themeShade="80"/>
          <w:sz w:val="22"/>
          <w:szCs w:val="22"/>
          <w:lang w:val="en-GB"/>
        </w:rPr>
        <w:t>This definition of international insolvency law therefore reaches its limits, since it speaks of "international aspects" which must be considered in cross-border insolvency cases. This reference already presupposes the existence of an international insolvency law or, more precisely, even of a clear international legal framework. Such a legal framework does not exist de facto.</w:t>
      </w:r>
    </w:p>
    <w:p w14:paraId="15B73957" w14:textId="77777777" w:rsidR="00B62D3D" w:rsidRPr="004216EA" w:rsidRDefault="00B62D3D" w:rsidP="00B62D3D">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47AD9520" w14:textId="77777777" w:rsidR="00D32474" w:rsidRDefault="00DE2BC4" w:rsidP="00692852">
      <w:pPr>
        <w:jc w:val="both"/>
      </w:pPr>
      <w:r w:rsidRPr="00DE2BC4">
        <w:rPr>
          <w:rFonts w:ascii="Avenir Next" w:hAnsi="Avenir Next" w:cs="Arial"/>
          <w:color w:val="808080" w:themeColor="background1" w:themeShade="80"/>
          <w:sz w:val="22"/>
          <w:szCs w:val="22"/>
          <w:lang w:val="en-GB"/>
        </w:rPr>
        <w:t>International treaties and conventions are instruments that serve to bind to data regarding the subjects regulated in the conventions and express themselves directly on the domestic law. Regulations from such conventions regularly become "hard domestic law".</w:t>
      </w:r>
      <w:r w:rsidR="00D32474" w:rsidRPr="00D32474">
        <w:t xml:space="preserve"> </w:t>
      </w:r>
    </w:p>
    <w:p w14:paraId="26E38554" w14:textId="77777777" w:rsidR="00D32474" w:rsidRDefault="00D32474" w:rsidP="00692852">
      <w:pPr>
        <w:jc w:val="both"/>
      </w:pPr>
    </w:p>
    <w:p w14:paraId="492D35CC" w14:textId="5201A0D8" w:rsidR="001E1C34" w:rsidRDefault="00D32474" w:rsidP="00692852">
      <w:pPr>
        <w:jc w:val="both"/>
        <w:rPr>
          <w:rFonts w:ascii="Avenir Next" w:hAnsi="Avenir Next" w:cs="Arial"/>
          <w:color w:val="808080" w:themeColor="background1" w:themeShade="80"/>
          <w:sz w:val="22"/>
          <w:szCs w:val="22"/>
          <w:lang w:val="en-GB"/>
        </w:rPr>
      </w:pPr>
      <w:r w:rsidRPr="00D32474">
        <w:rPr>
          <w:rFonts w:ascii="Avenir Next" w:hAnsi="Avenir Next" w:cs="Arial"/>
          <w:color w:val="808080" w:themeColor="background1" w:themeShade="80"/>
          <w:sz w:val="22"/>
          <w:szCs w:val="22"/>
          <w:lang w:val="en-GB"/>
        </w:rPr>
        <w:t>Such international conventions create facts and make it possible in an immediate way to establish a foundation for regulations to shape international insolvency law facts. Since such conventions can be concluded by an unlimited number of states, they are very well suited to creating legal certainty in cross-border situations over a large area, especially against the background of direct domestic binding.</w:t>
      </w:r>
    </w:p>
    <w:p w14:paraId="23846C8A" w14:textId="2A44BD74" w:rsidR="00D32474" w:rsidRDefault="00D32474" w:rsidP="00692852">
      <w:pPr>
        <w:jc w:val="both"/>
        <w:rPr>
          <w:rFonts w:ascii="Avenir Next" w:hAnsi="Avenir Next" w:cs="Arial"/>
          <w:color w:val="808080" w:themeColor="background1" w:themeShade="80"/>
          <w:sz w:val="22"/>
          <w:szCs w:val="22"/>
          <w:lang w:val="en-GB"/>
        </w:rPr>
      </w:pPr>
    </w:p>
    <w:p w14:paraId="2A24E462" w14:textId="7A19AC1E" w:rsidR="00D32474" w:rsidRDefault="00D32474" w:rsidP="00692852">
      <w:pPr>
        <w:jc w:val="both"/>
        <w:rPr>
          <w:rFonts w:ascii="Avenir Next" w:hAnsi="Avenir Next" w:cs="Arial"/>
          <w:color w:val="808080" w:themeColor="background1" w:themeShade="80"/>
          <w:sz w:val="22"/>
          <w:szCs w:val="22"/>
          <w:lang w:val="en-GB"/>
        </w:rPr>
      </w:pPr>
      <w:r w:rsidRPr="00D32474">
        <w:rPr>
          <w:rFonts w:ascii="Avenir Next" w:hAnsi="Avenir Next" w:cs="Arial"/>
          <w:color w:val="808080" w:themeColor="background1" w:themeShade="80"/>
          <w:sz w:val="22"/>
          <w:szCs w:val="22"/>
          <w:lang w:val="en-GB"/>
        </w:rPr>
        <w:t xml:space="preserve">A major barrier to such conventions is obviously the need for agreement between all the participating states, which have regularly established their own insolvency law systems, but which are limited by </w:t>
      </w:r>
      <w:r w:rsidRPr="00D32474">
        <w:rPr>
          <w:rFonts w:ascii="Avenir Next" w:hAnsi="Avenir Next" w:cs="Arial"/>
          <w:color w:val="808080" w:themeColor="background1" w:themeShade="80"/>
          <w:sz w:val="22"/>
          <w:szCs w:val="22"/>
          <w:lang w:val="en-GB"/>
        </w:rPr>
        <w:lastRenderedPageBreak/>
        <w:t xml:space="preserve">national borders. The </w:t>
      </w:r>
      <w:r w:rsidR="00283ADD" w:rsidRPr="00D32474">
        <w:rPr>
          <w:rFonts w:ascii="Avenir Next" w:hAnsi="Avenir Next" w:cs="Arial"/>
          <w:color w:val="808080" w:themeColor="background1" w:themeShade="80"/>
          <w:sz w:val="22"/>
          <w:szCs w:val="22"/>
          <w:lang w:val="en-GB"/>
        </w:rPr>
        <w:t>conventions</w:t>
      </w:r>
      <w:r w:rsidRPr="00D32474">
        <w:rPr>
          <w:rFonts w:ascii="Avenir Next" w:hAnsi="Avenir Next" w:cs="Arial"/>
          <w:color w:val="808080" w:themeColor="background1" w:themeShade="80"/>
          <w:sz w:val="22"/>
          <w:szCs w:val="22"/>
          <w:lang w:val="en-GB"/>
        </w:rPr>
        <w:t xml:space="preserve"> directly interfere with national law, which means that a piece of national sovereignty is always surrendered.</w:t>
      </w:r>
    </w:p>
    <w:p w14:paraId="5CE061A4" w14:textId="77777777" w:rsidR="00283ADD" w:rsidRDefault="00283ADD" w:rsidP="00283ADD">
      <w:pPr>
        <w:rPr>
          <w:rFonts w:ascii="Avenir Next" w:hAnsi="Avenir Next" w:cs="Arial"/>
          <w:color w:val="808080" w:themeColor="background1" w:themeShade="80"/>
          <w:sz w:val="22"/>
          <w:szCs w:val="22"/>
          <w:lang w:val="en-GB"/>
        </w:rPr>
      </w:pPr>
    </w:p>
    <w:p w14:paraId="175FEF99" w14:textId="3F2248AB" w:rsidR="00D32474" w:rsidRPr="004216EA" w:rsidRDefault="00283ADD" w:rsidP="00C618CF">
      <w:pPr>
        <w:rPr>
          <w:rFonts w:ascii="Avenir Next" w:hAnsi="Avenir Next"/>
          <w:sz w:val="22"/>
          <w:szCs w:val="22"/>
        </w:rPr>
      </w:pPr>
      <w:r w:rsidRPr="00283ADD">
        <w:rPr>
          <w:rFonts w:ascii="Avenir Next" w:hAnsi="Avenir Next" w:cs="Arial"/>
          <w:color w:val="808080" w:themeColor="background1" w:themeShade="80"/>
          <w:sz w:val="22"/>
          <w:szCs w:val="22"/>
          <w:lang w:val="en-GB"/>
        </w:rPr>
        <w:t>One of the few multilateral conventions that has gone down in history as a successful agreement is the Nordic Convention (1933) from the Scandinavian region.</w:t>
      </w:r>
      <w:r w:rsidR="00D36525" w:rsidRPr="00D36525">
        <w:t xml:space="preserve"> </w:t>
      </w:r>
      <w:r w:rsidR="00D36525" w:rsidRPr="00D36525">
        <w:rPr>
          <w:rFonts w:ascii="Avenir Next" w:hAnsi="Avenir Next" w:cs="Arial"/>
          <w:color w:val="808080" w:themeColor="background1" w:themeShade="80"/>
          <w:sz w:val="22"/>
          <w:szCs w:val="22"/>
          <w:lang w:val="en-GB"/>
        </w:rPr>
        <w:t xml:space="preserve">It is true that European efforts to reach an international convention to regulate cross-border insolvency matters were unsuccessful over a long period of time. The so-called Istanbul Convention, which came into being in 1990 and was also signed by eight states, was, despite its failure, a very important step for Europe in establishing insolvency law </w:t>
      </w:r>
      <w:proofErr w:type="gramStart"/>
      <w:r w:rsidR="00D36525" w:rsidRPr="00D36525">
        <w:rPr>
          <w:rFonts w:ascii="Avenir Next" w:hAnsi="Avenir Next" w:cs="Arial"/>
          <w:color w:val="808080" w:themeColor="background1" w:themeShade="80"/>
          <w:sz w:val="22"/>
          <w:szCs w:val="22"/>
          <w:lang w:val="en-GB"/>
        </w:rPr>
        <w:t>on the basis of</w:t>
      </w:r>
      <w:proofErr w:type="gramEnd"/>
      <w:r w:rsidR="00D36525" w:rsidRPr="00D36525">
        <w:rPr>
          <w:rFonts w:ascii="Avenir Next" w:hAnsi="Avenir Next" w:cs="Arial"/>
          <w:color w:val="808080" w:themeColor="background1" w:themeShade="80"/>
          <w:sz w:val="22"/>
          <w:szCs w:val="22"/>
          <w:lang w:val="en-GB"/>
        </w:rPr>
        <w:t xml:space="preserve"> a cross-border convention.</w:t>
      </w: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00CA7503" w:rsidR="001E1C34" w:rsidRDefault="00460E8F" w:rsidP="00460E8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r w:rsidRPr="00460E8F">
        <w:rPr>
          <w:rFonts w:ascii="Avenir Next" w:hAnsi="Avenir Next" w:cs="Arial"/>
          <w:color w:val="808080" w:themeColor="background1" w:themeShade="80"/>
          <w:sz w:val="22"/>
          <w:szCs w:val="22"/>
          <w:lang w:val="en-GB"/>
        </w:rPr>
        <w:t>Formal</w:t>
      </w:r>
      <w:r>
        <w:rPr>
          <w:rFonts w:ascii="Avenir Next" w:hAnsi="Avenir Next" w:cs="Arial"/>
          <w:color w:val="808080" w:themeColor="background1" w:themeShade="80"/>
          <w:sz w:val="22"/>
          <w:szCs w:val="22"/>
          <w:lang w:val="en-GB"/>
        </w:rPr>
        <w:t>”</w:t>
      </w:r>
      <w:r w:rsidRPr="00460E8F">
        <w:rPr>
          <w:rFonts w:ascii="Avenir Next" w:hAnsi="Avenir Next" w:cs="Arial"/>
          <w:color w:val="808080" w:themeColor="background1" w:themeShade="80"/>
          <w:sz w:val="22"/>
          <w:szCs w:val="22"/>
          <w:lang w:val="en-GB"/>
        </w:rPr>
        <w:t xml:space="preserve"> insolvency proceedings are those which are initiated in accordance with the rules of a statutory insolvency law and are strictly governed by the provisions of such statutory statutes.</w:t>
      </w:r>
      <w:r>
        <w:rPr>
          <w:rFonts w:ascii="Avenir Next" w:hAnsi="Avenir Next" w:cs="Arial"/>
          <w:color w:val="808080" w:themeColor="background1" w:themeShade="80"/>
          <w:sz w:val="22"/>
          <w:szCs w:val="22"/>
          <w:lang w:val="en-GB"/>
        </w:rPr>
        <w:t xml:space="preserve"> </w:t>
      </w:r>
      <w:r w:rsidR="008C2013" w:rsidRPr="008C2013">
        <w:rPr>
          <w:rFonts w:ascii="Avenir Next" w:hAnsi="Avenir Next" w:cs="Arial"/>
          <w:color w:val="808080" w:themeColor="background1" w:themeShade="80"/>
          <w:sz w:val="22"/>
          <w:szCs w:val="22"/>
          <w:lang w:val="en-GB"/>
        </w:rPr>
        <w:t xml:space="preserve">Formal proceedings regularly include simple insolvency proceedings as well as elements of liquidation, restructuring </w:t>
      </w:r>
      <w:proofErr w:type="gramStart"/>
      <w:r w:rsidR="008C2013" w:rsidRPr="008C2013">
        <w:rPr>
          <w:rFonts w:ascii="Avenir Next" w:hAnsi="Avenir Next" w:cs="Arial"/>
          <w:color w:val="808080" w:themeColor="background1" w:themeShade="80"/>
          <w:sz w:val="22"/>
          <w:szCs w:val="22"/>
          <w:lang w:val="en-GB"/>
        </w:rPr>
        <w:t>and also</w:t>
      </w:r>
      <w:proofErr w:type="gramEnd"/>
      <w:r w:rsidR="008C2013" w:rsidRPr="008C2013">
        <w:rPr>
          <w:rFonts w:ascii="Avenir Next" w:hAnsi="Avenir Next" w:cs="Arial"/>
          <w:color w:val="808080" w:themeColor="background1" w:themeShade="80"/>
          <w:sz w:val="22"/>
          <w:szCs w:val="22"/>
          <w:lang w:val="en-GB"/>
        </w:rPr>
        <w:t xml:space="preserve"> reorganization proceedings.</w:t>
      </w:r>
    </w:p>
    <w:p w14:paraId="71F7A8D6" w14:textId="45151526" w:rsidR="00902DD8" w:rsidRDefault="00902DD8" w:rsidP="00460E8F">
      <w:pPr>
        <w:jc w:val="both"/>
        <w:rPr>
          <w:rFonts w:ascii="Avenir Next" w:hAnsi="Avenir Next" w:cs="Arial"/>
          <w:color w:val="808080" w:themeColor="background1" w:themeShade="80"/>
          <w:sz w:val="22"/>
          <w:szCs w:val="22"/>
          <w:lang w:val="en-GB"/>
        </w:rPr>
      </w:pPr>
    </w:p>
    <w:p w14:paraId="54D93E7A" w14:textId="6A7A7E05" w:rsidR="00902DD8" w:rsidRDefault="00902DD8" w:rsidP="00460E8F">
      <w:pPr>
        <w:jc w:val="both"/>
        <w:rPr>
          <w:rFonts w:ascii="Avenir Next" w:hAnsi="Avenir Next" w:cs="Arial"/>
          <w:color w:val="808080" w:themeColor="background1" w:themeShade="80"/>
          <w:sz w:val="22"/>
          <w:szCs w:val="22"/>
          <w:lang w:val="en-GB"/>
        </w:rPr>
      </w:pPr>
      <w:r w:rsidRPr="00902DD8">
        <w:rPr>
          <w:rFonts w:ascii="Avenir Next" w:hAnsi="Avenir Next" w:cs="Arial"/>
          <w:color w:val="808080" w:themeColor="background1" w:themeShade="80"/>
          <w:sz w:val="22"/>
          <w:szCs w:val="22"/>
          <w:lang w:val="en-GB"/>
        </w:rPr>
        <w:t>Informal proceedings in connection with insolvency law are basically outside the statutory regulations and are carried out voluntarily between the parties involved in insolvency proceedings. In some cases, such proceedings are also supported by "formal" insolvency proceedings. Informal proceedings are regularly realized through agreements between the debtor and creditors that include aspects of restructuring.</w:t>
      </w:r>
    </w:p>
    <w:p w14:paraId="784170A9" w14:textId="018C045A" w:rsidR="000B0823" w:rsidRDefault="000B0823" w:rsidP="00460E8F">
      <w:pPr>
        <w:jc w:val="both"/>
        <w:rPr>
          <w:rFonts w:ascii="Avenir Next" w:hAnsi="Avenir Next" w:cs="Arial"/>
          <w:color w:val="808080" w:themeColor="background1" w:themeShade="80"/>
          <w:sz w:val="22"/>
          <w:szCs w:val="22"/>
          <w:lang w:val="en-GB"/>
        </w:rPr>
      </w:pPr>
    </w:p>
    <w:p w14:paraId="738F9508" w14:textId="462DB6B6" w:rsidR="000B0823" w:rsidRPr="00AB63DE" w:rsidRDefault="000B0823" w:rsidP="00460E8F">
      <w:pPr>
        <w:jc w:val="both"/>
        <w:rPr>
          <w:rFonts w:ascii="Avenir Next" w:hAnsi="Avenir Next" w:cs="Arial"/>
          <w:color w:val="808080" w:themeColor="background1" w:themeShade="80"/>
          <w:sz w:val="22"/>
          <w:szCs w:val="22"/>
          <w:lang w:val="en-GB"/>
        </w:rPr>
      </w:pPr>
      <w:r w:rsidRPr="000B0823">
        <w:rPr>
          <w:rFonts w:ascii="Avenir Next" w:hAnsi="Avenir Next" w:cs="Arial"/>
          <w:color w:val="808080" w:themeColor="background1" w:themeShade="80"/>
          <w:sz w:val="22"/>
          <w:szCs w:val="22"/>
          <w:lang w:val="en-GB"/>
        </w:rPr>
        <w:t xml:space="preserve">In the context of the planned "informal" agreement between FPPL and Lobo in the present case, it should first be emphasized that an agreement is made specifically only with the one creditor Logo. </w:t>
      </w:r>
      <w:proofErr w:type="gramStart"/>
      <w:r w:rsidRPr="000B0823">
        <w:rPr>
          <w:rFonts w:ascii="Avenir Next" w:hAnsi="Avenir Next" w:cs="Arial"/>
          <w:color w:val="808080" w:themeColor="background1" w:themeShade="80"/>
          <w:sz w:val="22"/>
          <w:szCs w:val="22"/>
          <w:lang w:val="en-GB"/>
        </w:rPr>
        <w:t>By making a payment agreement with Lobo, it</w:t>
      </w:r>
      <w:proofErr w:type="gramEnd"/>
      <w:r w:rsidRPr="000B0823">
        <w:rPr>
          <w:rFonts w:ascii="Avenir Next" w:hAnsi="Avenir Next" w:cs="Arial"/>
          <w:color w:val="808080" w:themeColor="background1" w:themeShade="80"/>
          <w:sz w:val="22"/>
          <w:szCs w:val="22"/>
          <w:lang w:val="en-GB"/>
        </w:rPr>
        <w:t xml:space="preserve"> can be changed that unrest occurs in the circle of other creditors. The advantage lies thereby substantially in the fact that economic and financial difficulties do not penetrate at first outward. In addition, it is regularly possible to keep costs considerably lower than in formal proceedings involving a court if agreements are reached with creditors. One disadvantage of the informal procedure is, of course, that no judicial measure can be created to </w:t>
      </w:r>
      <w:r w:rsidRPr="000B0823">
        <w:rPr>
          <w:rFonts w:ascii="Avenir Next" w:hAnsi="Avenir Next" w:cs="Arial"/>
          <w:color w:val="808080" w:themeColor="background1" w:themeShade="80"/>
          <w:sz w:val="22"/>
          <w:szCs w:val="22"/>
          <w:lang w:val="en-GB"/>
        </w:rPr>
        <w:lastRenderedPageBreak/>
        <w:t>prevent other creditors from also wishing to enforce their claims and possibly seeking recourse to court on their own.</w:t>
      </w:r>
    </w:p>
    <w:p w14:paraId="7CBF012E" w14:textId="77777777" w:rsidR="001E1C34" w:rsidRPr="004216EA" w:rsidRDefault="001E1C34"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29C98483" w14:textId="48E45F50" w:rsidR="00D404CA" w:rsidRDefault="00D404CA" w:rsidP="00D404CA">
      <w:pPr>
        <w:jc w:val="both"/>
        <w:rPr>
          <w:rFonts w:ascii="Avenir Next" w:hAnsi="Avenir Next" w:cs="Arial"/>
          <w:color w:val="808080" w:themeColor="background1" w:themeShade="80"/>
          <w:sz w:val="22"/>
          <w:szCs w:val="22"/>
          <w:lang w:val="en-GB"/>
        </w:rPr>
      </w:pPr>
      <w:r w:rsidRPr="00D404CA">
        <w:rPr>
          <w:rFonts w:ascii="Avenir Next" w:hAnsi="Avenir Next" w:cs="Arial"/>
          <w:color w:val="808080" w:themeColor="background1" w:themeShade="80"/>
          <w:sz w:val="22"/>
          <w:szCs w:val="22"/>
          <w:lang w:val="en-GB"/>
        </w:rPr>
        <w:t xml:space="preserve">If insolvency proceedings are opened in both countries concerned </w:t>
      </w:r>
      <w:proofErr w:type="gramStart"/>
      <w:r w:rsidRPr="00D404CA">
        <w:rPr>
          <w:rFonts w:ascii="Avenir Next" w:hAnsi="Avenir Next" w:cs="Arial"/>
          <w:color w:val="808080" w:themeColor="background1" w:themeShade="80"/>
          <w:sz w:val="22"/>
          <w:szCs w:val="22"/>
          <w:lang w:val="en-GB"/>
        </w:rPr>
        <w:t>with regard to</w:t>
      </w:r>
      <w:proofErr w:type="gramEnd"/>
      <w:r w:rsidRPr="00D404CA">
        <w:rPr>
          <w:rFonts w:ascii="Avenir Next" w:hAnsi="Avenir Next" w:cs="Arial"/>
          <w:color w:val="808080" w:themeColor="background1" w:themeShade="80"/>
          <w:sz w:val="22"/>
          <w:szCs w:val="22"/>
          <w:lang w:val="en-GB"/>
        </w:rPr>
        <w:t xml:space="preserve"> one and the same debtor in a cross-border insolvency case, the first essential question is how parallel insolvency proceedings against the same debtor can be coordinated and, in particular, whether the respective insolvency law systems provide for corresponding regulations for this case.</w:t>
      </w:r>
      <w:r>
        <w:rPr>
          <w:rFonts w:ascii="Avenir Next" w:hAnsi="Avenir Next" w:cs="Arial"/>
          <w:color w:val="808080" w:themeColor="background1" w:themeShade="80"/>
          <w:sz w:val="22"/>
          <w:szCs w:val="22"/>
          <w:lang w:val="en-GB"/>
        </w:rPr>
        <w:t xml:space="preserve"> </w:t>
      </w:r>
      <w:r w:rsidRPr="00D404CA">
        <w:rPr>
          <w:rFonts w:ascii="Avenir Next" w:hAnsi="Avenir Next" w:cs="Arial"/>
          <w:color w:val="808080" w:themeColor="background1" w:themeShade="80"/>
          <w:sz w:val="22"/>
          <w:szCs w:val="22"/>
          <w:lang w:val="en-GB"/>
        </w:rPr>
        <w:t xml:space="preserve">Whether the states involved have enacted their own national insolvency laws or whether one of the states is included in an international insolvency law association so that national and international insolvency law regulations exist, it will regularly have to be </w:t>
      </w:r>
      <w:proofErr w:type="gramStart"/>
      <w:r w:rsidRPr="00D404CA">
        <w:rPr>
          <w:rFonts w:ascii="Avenir Next" w:hAnsi="Avenir Next" w:cs="Arial"/>
          <w:color w:val="808080" w:themeColor="background1" w:themeShade="80"/>
          <w:sz w:val="22"/>
          <w:szCs w:val="22"/>
          <w:lang w:val="en-GB"/>
        </w:rPr>
        <w:t>taken into account</w:t>
      </w:r>
      <w:proofErr w:type="gramEnd"/>
      <w:r w:rsidRPr="00D404CA">
        <w:rPr>
          <w:rFonts w:ascii="Avenir Next" w:hAnsi="Avenir Next" w:cs="Arial"/>
          <w:color w:val="808080" w:themeColor="background1" w:themeShade="80"/>
          <w:sz w:val="22"/>
          <w:szCs w:val="22"/>
          <w:lang w:val="en-GB"/>
        </w:rPr>
        <w:t xml:space="preserve"> that in both systems a cross-border situation is not sufficiently assessed.</w:t>
      </w:r>
    </w:p>
    <w:p w14:paraId="7C295268" w14:textId="584B5185" w:rsidR="00D404CA" w:rsidRDefault="00D404CA" w:rsidP="00D404CA">
      <w:pPr>
        <w:jc w:val="both"/>
        <w:rPr>
          <w:rFonts w:ascii="Avenir Next" w:hAnsi="Avenir Next" w:cs="Arial"/>
          <w:color w:val="808080" w:themeColor="background1" w:themeShade="80"/>
          <w:sz w:val="22"/>
          <w:szCs w:val="22"/>
          <w:lang w:val="en-GB"/>
        </w:rPr>
      </w:pPr>
    </w:p>
    <w:p w14:paraId="5C835154" w14:textId="211B340D" w:rsidR="00D404CA" w:rsidRDefault="00C040B1" w:rsidP="00D404CA">
      <w:pPr>
        <w:jc w:val="both"/>
        <w:rPr>
          <w:rFonts w:ascii="Avenir Next" w:hAnsi="Avenir Next" w:cs="Arial"/>
          <w:color w:val="808080" w:themeColor="background1" w:themeShade="80"/>
          <w:sz w:val="22"/>
          <w:szCs w:val="22"/>
          <w:lang w:val="en-GB"/>
        </w:rPr>
      </w:pPr>
      <w:r w:rsidRPr="00C040B1">
        <w:rPr>
          <w:rFonts w:ascii="Avenir Next" w:hAnsi="Avenir Next" w:cs="Arial"/>
          <w:color w:val="808080" w:themeColor="background1" w:themeShade="80"/>
          <w:sz w:val="22"/>
          <w:szCs w:val="22"/>
          <w:lang w:val="en-GB"/>
        </w:rPr>
        <w:t>In the case of countries with their own insolvency law systems, a frequent problem is that the respective country regularly does not recognize foreign regulations or their effects.</w:t>
      </w:r>
      <w:r w:rsidR="00825430" w:rsidRPr="00825430">
        <w:t xml:space="preserve"> </w:t>
      </w:r>
      <w:r w:rsidR="00825430" w:rsidRPr="00825430">
        <w:rPr>
          <w:rFonts w:ascii="Avenir Next" w:hAnsi="Avenir Next" w:cs="Arial"/>
          <w:color w:val="808080" w:themeColor="background1" w:themeShade="80"/>
          <w:sz w:val="22"/>
          <w:szCs w:val="22"/>
          <w:lang w:val="en-GB"/>
        </w:rPr>
        <w:t>Often, different political motivations in the creation of these systems clash with the respective insolvency law systems. Thus, in a state where the focus of insolvency law is based on civil law, a creditor-friendly insolvency law may have prevailed. In the other state, on the other hand, an insolvency law may have prevailed that is, again, debtor friendly in terms of English law. This may result in a race to the bottom among creditors or in so-called "forum shopping", which may be a consequence of such conflicting systems.</w:t>
      </w:r>
    </w:p>
    <w:p w14:paraId="2BA89BCF" w14:textId="7E6E19CE" w:rsidR="00825430" w:rsidRDefault="00825430" w:rsidP="00D404CA">
      <w:pPr>
        <w:jc w:val="both"/>
        <w:rPr>
          <w:rFonts w:ascii="Avenir Next" w:hAnsi="Avenir Next" w:cs="Arial"/>
          <w:color w:val="808080" w:themeColor="background1" w:themeShade="80"/>
          <w:sz w:val="22"/>
          <w:szCs w:val="22"/>
          <w:lang w:val="en-GB"/>
        </w:rPr>
      </w:pPr>
    </w:p>
    <w:p w14:paraId="60E0EA39" w14:textId="05F18ACD" w:rsidR="00825430" w:rsidRDefault="00825430" w:rsidP="00D404CA">
      <w:pPr>
        <w:jc w:val="both"/>
        <w:rPr>
          <w:rFonts w:ascii="Avenir Next" w:hAnsi="Avenir Next" w:cs="Arial"/>
          <w:color w:val="808080" w:themeColor="background1" w:themeShade="80"/>
          <w:sz w:val="22"/>
          <w:szCs w:val="22"/>
          <w:lang w:val="en-GB"/>
        </w:rPr>
      </w:pPr>
      <w:r w:rsidRPr="00825430">
        <w:rPr>
          <w:rFonts w:ascii="Avenir Next" w:hAnsi="Avenir Next" w:cs="Arial"/>
          <w:color w:val="808080" w:themeColor="background1" w:themeShade="80"/>
          <w:sz w:val="22"/>
          <w:szCs w:val="22"/>
          <w:lang w:val="en-GB"/>
        </w:rPr>
        <w:t>Territorial approach in such a situation can consequently bring numerous problems.</w:t>
      </w:r>
      <w:r>
        <w:rPr>
          <w:rFonts w:ascii="Avenir Next" w:hAnsi="Avenir Next" w:cs="Arial"/>
          <w:color w:val="808080" w:themeColor="background1" w:themeShade="80"/>
          <w:sz w:val="22"/>
          <w:szCs w:val="22"/>
          <w:lang w:val="en-GB"/>
        </w:rPr>
        <w:t xml:space="preserve"> </w:t>
      </w:r>
      <w:r w:rsidR="00FC7ACD" w:rsidRPr="00FC7ACD">
        <w:rPr>
          <w:rFonts w:ascii="Avenir Next" w:hAnsi="Avenir Next" w:cs="Arial"/>
          <w:color w:val="808080" w:themeColor="background1" w:themeShade="80"/>
          <w:sz w:val="22"/>
          <w:szCs w:val="22"/>
          <w:lang w:val="en-GB"/>
        </w:rPr>
        <w:t>In such a situation of cross-border insolvency, the coordination of different insolvency law systems can be based on already established international initiatives, which were created just for such coordination.</w:t>
      </w:r>
      <w:r w:rsidR="008B196C" w:rsidRPr="008B196C">
        <w:t xml:space="preserve"> </w:t>
      </w:r>
      <w:r w:rsidR="008B196C" w:rsidRPr="008B196C">
        <w:rPr>
          <w:rFonts w:ascii="Avenir Next" w:hAnsi="Avenir Next" w:cs="Arial"/>
          <w:color w:val="808080" w:themeColor="background1" w:themeShade="80"/>
          <w:sz w:val="22"/>
          <w:szCs w:val="22"/>
          <w:lang w:val="en-GB"/>
        </w:rPr>
        <w:t xml:space="preserve">Once again, the "UNCITRAL Legislative Guide on Insolvency law" should be highlighted as it offers guidance to countries in such a conflict situation to enable coordination. The World Bank's "Principles for Effective Insolvency and Creditor/Debtor Regimes" and the European Union's project "Bankruptcy and fresh start: stigma on failure and legal consequences of bankruptcy" also serve the same purpose. These initiatives are to be consulted </w:t>
      </w:r>
      <w:proofErr w:type="gramStart"/>
      <w:r w:rsidR="008B196C" w:rsidRPr="008B196C">
        <w:rPr>
          <w:rFonts w:ascii="Avenir Next" w:hAnsi="Avenir Next" w:cs="Arial"/>
          <w:color w:val="808080" w:themeColor="background1" w:themeShade="80"/>
          <w:sz w:val="22"/>
          <w:szCs w:val="22"/>
          <w:lang w:val="en-GB"/>
        </w:rPr>
        <w:t>in particular if</w:t>
      </w:r>
      <w:proofErr w:type="gramEnd"/>
      <w:r w:rsidR="008B196C" w:rsidRPr="008B196C">
        <w:rPr>
          <w:rFonts w:ascii="Avenir Next" w:hAnsi="Avenir Next" w:cs="Arial"/>
          <w:color w:val="808080" w:themeColor="background1" w:themeShade="80"/>
          <w:sz w:val="22"/>
          <w:szCs w:val="22"/>
          <w:lang w:val="en-GB"/>
        </w:rPr>
        <w:t xml:space="preserve"> binding international regulations do not already exist among the countries involved in this cross-border insolvency situation.</w:t>
      </w:r>
      <w:r w:rsidR="007A7FC6">
        <w:rPr>
          <w:rFonts w:ascii="Avenir Next" w:hAnsi="Avenir Next" w:cs="Arial"/>
          <w:color w:val="808080" w:themeColor="background1" w:themeShade="80"/>
          <w:sz w:val="22"/>
          <w:szCs w:val="22"/>
          <w:lang w:val="en-GB"/>
        </w:rPr>
        <w:t xml:space="preserve"> </w:t>
      </w:r>
    </w:p>
    <w:p w14:paraId="1E66997D" w14:textId="611B2108" w:rsidR="007A7FC6" w:rsidRDefault="007A7FC6" w:rsidP="00D404CA">
      <w:pPr>
        <w:jc w:val="both"/>
        <w:rPr>
          <w:rFonts w:ascii="Avenir Next" w:hAnsi="Avenir Next" w:cs="Arial"/>
          <w:color w:val="808080" w:themeColor="background1" w:themeShade="80"/>
          <w:sz w:val="22"/>
          <w:szCs w:val="22"/>
          <w:lang w:val="en-GB"/>
        </w:rPr>
      </w:pPr>
    </w:p>
    <w:p w14:paraId="6D7E0649" w14:textId="00BC9E0D" w:rsidR="001E1C34" w:rsidRDefault="007A7FC6" w:rsidP="00692852">
      <w:pPr>
        <w:jc w:val="both"/>
        <w:rPr>
          <w:rFonts w:ascii="Avenir Next" w:hAnsi="Avenir Next" w:cs="Arial"/>
          <w:color w:val="808080" w:themeColor="background1" w:themeShade="80"/>
          <w:sz w:val="22"/>
          <w:szCs w:val="22"/>
          <w:lang w:val="en-GB"/>
        </w:rPr>
      </w:pPr>
      <w:r w:rsidRPr="007A7FC6">
        <w:rPr>
          <w:rFonts w:ascii="Avenir Next" w:hAnsi="Avenir Next" w:cs="Arial"/>
          <w:color w:val="808080" w:themeColor="background1" w:themeShade="80"/>
          <w:sz w:val="22"/>
          <w:szCs w:val="22"/>
          <w:lang w:val="en-GB"/>
        </w:rPr>
        <w:t>In my opinion, the above-mentioned guidelines contribute significantly to a positive development in the harmonisation of national insolvency law systems. Against the background of the potential for conflict in cross-border insolvency cases described above, there is an urgent need for concepts that create common structures for resolving insolvency issues. Since many countries are guided by national legislation, guidelines such as those from UNCITRAL or the World Bank can support harmonisation efforts.</w:t>
      </w: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w:t>
      </w:r>
      <w:r w:rsidR="00C07B0B" w:rsidRPr="004216EA">
        <w:rPr>
          <w:rFonts w:ascii="Avenir Next" w:hAnsi="Avenir Next" w:cs="Arial"/>
          <w:sz w:val="22"/>
          <w:szCs w:val="22"/>
          <w:lang w:val="en-GB"/>
        </w:rPr>
        <w:lastRenderedPageBreak/>
        <w:t>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00AB9E84" w14:textId="75CADB7D" w:rsidR="0016079A" w:rsidRDefault="00312A5C" w:rsidP="00312A5C">
      <w:pPr>
        <w:jc w:val="both"/>
        <w:rPr>
          <w:rFonts w:ascii="Avenir Next" w:hAnsi="Avenir Next" w:cs="Arial"/>
          <w:color w:val="808080" w:themeColor="background1" w:themeShade="80"/>
          <w:sz w:val="22"/>
          <w:szCs w:val="22"/>
          <w:lang w:val="en-GB"/>
        </w:rPr>
      </w:pPr>
      <w:r w:rsidRPr="00312A5C">
        <w:rPr>
          <w:rFonts w:ascii="Avenir Next" w:hAnsi="Avenir Next" w:cs="Arial"/>
          <w:color w:val="808080" w:themeColor="background1" w:themeShade="80"/>
          <w:sz w:val="22"/>
          <w:szCs w:val="22"/>
          <w:lang w:val="en-GB"/>
        </w:rPr>
        <w:t>The European Insolvency Regulation has been slightly amended and revised and is now implemented in Regulation (EU) 2015/848 of the European Parliament and of the Council of 20 May 2015 on insolvency proceedings (recast). A further change was made by Regulation 2021/2260 of 15 December 2021, which replaced Annexes A and B and entered into force for most Member States in January 2022.</w:t>
      </w:r>
    </w:p>
    <w:p w14:paraId="025334F6" w14:textId="77777777" w:rsidR="00312A5C" w:rsidRPr="0016079A" w:rsidRDefault="00312A5C" w:rsidP="00312A5C">
      <w:pPr>
        <w:jc w:val="both"/>
        <w:rPr>
          <w:rFonts w:ascii="Avenir Next" w:hAnsi="Avenir Next" w:cs="Arial"/>
          <w:color w:val="808080" w:themeColor="background1" w:themeShade="80"/>
          <w:sz w:val="22"/>
          <w:szCs w:val="22"/>
          <w:lang w:val="en-GB"/>
        </w:rPr>
      </w:pPr>
    </w:p>
    <w:p w14:paraId="653AA300" w14:textId="37CE802B" w:rsidR="0016079A" w:rsidRDefault="0010335F" w:rsidP="0010335F">
      <w:pPr>
        <w:jc w:val="both"/>
        <w:rPr>
          <w:rFonts w:ascii="Avenir Next" w:hAnsi="Avenir Next" w:cs="Arial"/>
          <w:color w:val="808080" w:themeColor="background1" w:themeShade="80"/>
          <w:sz w:val="22"/>
          <w:szCs w:val="22"/>
          <w:lang w:val="en-GB"/>
        </w:rPr>
      </w:pPr>
      <w:r w:rsidRPr="0010335F">
        <w:rPr>
          <w:rFonts w:ascii="Avenir Next" w:hAnsi="Avenir Next" w:cs="Arial"/>
          <w:color w:val="808080" w:themeColor="background1" w:themeShade="80"/>
          <w:sz w:val="22"/>
          <w:szCs w:val="22"/>
          <w:lang w:val="en-GB"/>
        </w:rPr>
        <w:t>The applicability of the European Insolvency Regulation to the United Kingdom ended at 23:00 on 31 December 2020 following the exit of the United Kingdom.</w:t>
      </w:r>
      <w:r w:rsidR="005222EF" w:rsidRPr="005222EF">
        <w:t xml:space="preserve"> </w:t>
      </w:r>
      <w:r w:rsidR="005222EF" w:rsidRPr="005222EF">
        <w:rPr>
          <w:rFonts w:ascii="Avenir Next" w:hAnsi="Avenir Next" w:cs="Arial"/>
          <w:color w:val="808080" w:themeColor="background1" w:themeShade="80"/>
          <w:sz w:val="22"/>
          <w:szCs w:val="22"/>
          <w:lang w:val="en-GB"/>
        </w:rPr>
        <w:t>Consequently, the recast European Insolvency Regulation does not apply to the insolvency proceedings opened in the United Kingdom on 30 June 2022 in respect of the assets of FPPL.</w:t>
      </w:r>
    </w:p>
    <w:p w14:paraId="0817BCB4" w14:textId="11AEF905" w:rsidR="008063E9" w:rsidRDefault="008063E9" w:rsidP="0010335F">
      <w:pPr>
        <w:jc w:val="both"/>
        <w:rPr>
          <w:rFonts w:ascii="Avenir Next" w:hAnsi="Avenir Next" w:cs="Arial"/>
          <w:color w:val="808080" w:themeColor="background1" w:themeShade="80"/>
          <w:sz w:val="22"/>
          <w:szCs w:val="22"/>
          <w:lang w:val="en-GB"/>
        </w:rPr>
      </w:pPr>
    </w:p>
    <w:p w14:paraId="0093EE11" w14:textId="5283B4B4" w:rsidR="008063E9" w:rsidRDefault="008063E9" w:rsidP="0010335F">
      <w:pPr>
        <w:jc w:val="both"/>
        <w:rPr>
          <w:rFonts w:ascii="Avenir Next" w:hAnsi="Avenir Next" w:cs="Arial"/>
          <w:color w:val="808080" w:themeColor="background1" w:themeShade="80"/>
          <w:sz w:val="22"/>
          <w:szCs w:val="22"/>
          <w:lang w:val="en-GB"/>
        </w:rPr>
      </w:pPr>
      <w:proofErr w:type="gramStart"/>
      <w:r w:rsidRPr="008063E9">
        <w:rPr>
          <w:rFonts w:ascii="Avenir Next" w:hAnsi="Avenir Next" w:cs="Arial"/>
          <w:color w:val="808080" w:themeColor="background1" w:themeShade="80"/>
          <w:sz w:val="22"/>
          <w:szCs w:val="22"/>
          <w:lang w:val="en-GB"/>
        </w:rPr>
        <w:t>Assuming that</w:t>
      </w:r>
      <w:proofErr w:type="gramEnd"/>
      <w:r w:rsidRPr="008063E9">
        <w:rPr>
          <w:rFonts w:ascii="Avenir Next" w:hAnsi="Avenir Next" w:cs="Arial"/>
          <w:color w:val="808080" w:themeColor="background1" w:themeShade="80"/>
          <w:sz w:val="22"/>
          <w:szCs w:val="22"/>
          <w:lang w:val="en-GB"/>
        </w:rPr>
        <w:t xml:space="preserve"> the European Insolvency Regulation could apply to the insolvency proceedings opened against FPPL's assets, this would have the following effect:</w:t>
      </w:r>
    </w:p>
    <w:p w14:paraId="21B83F40" w14:textId="345F3645" w:rsidR="008063E9" w:rsidRDefault="008063E9" w:rsidP="0010335F">
      <w:pPr>
        <w:jc w:val="both"/>
        <w:rPr>
          <w:rFonts w:ascii="Avenir Next" w:hAnsi="Avenir Next" w:cs="Arial"/>
          <w:color w:val="808080" w:themeColor="background1" w:themeShade="80"/>
          <w:sz w:val="22"/>
          <w:szCs w:val="22"/>
          <w:lang w:val="en-GB"/>
        </w:rPr>
      </w:pPr>
    </w:p>
    <w:p w14:paraId="43B1BB80" w14:textId="3BEB87D3" w:rsidR="008063E9" w:rsidRDefault="008063E9" w:rsidP="0010335F">
      <w:pPr>
        <w:jc w:val="both"/>
        <w:rPr>
          <w:rFonts w:ascii="Avenir Next" w:hAnsi="Avenir Next" w:cs="Arial"/>
          <w:color w:val="808080" w:themeColor="background1" w:themeShade="80"/>
          <w:sz w:val="22"/>
          <w:szCs w:val="22"/>
          <w:lang w:val="en-GB"/>
        </w:rPr>
      </w:pPr>
      <w:r w:rsidRPr="008063E9">
        <w:rPr>
          <w:rFonts w:ascii="Avenir Next" w:hAnsi="Avenir Next" w:cs="Arial"/>
          <w:color w:val="808080" w:themeColor="background1" w:themeShade="80"/>
          <w:sz w:val="22"/>
          <w:szCs w:val="22"/>
          <w:lang w:val="en-GB"/>
        </w:rPr>
        <w:t>Under the European Insolvency Regulation, the jurisdiction of an insolvency court in the Member State where the centre of the debtor's main interests is located (COMI) is generally provided for.</w:t>
      </w:r>
      <w:r w:rsidR="00CE3D75" w:rsidRPr="00CE3D75">
        <w:t xml:space="preserve"> </w:t>
      </w:r>
      <w:r w:rsidR="00CE3D75" w:rsidRPr="00CE3D75">
        <w:rPr>
          <w:rFonts w:ascii="Avenir Next" w:hAnsi="Avenir Next" w:cs="Arial"/>
          <w:color w:val="808080" w:themeColor="background1" w:themeShade="80"/>
          <w:sz w:val="22"/>
          <w:szCs w:val="22"/>
          <w:lang w:val="en-GB"/>
        </w:rPr>
        <w:t>The European Insolvency Regulation provides for the jurisdiction of an insolvency court in the Member State in which the centre of the debtor's main interests is located (COMI), leaving the possibility of conducting "territorial" ancillary proceedings in connection with a cross-border insolvency in another state. According to the European Insolvency Regulation, this applies if a branch exists in another state. These proceedings are then to be understood as ancillary proceedings or so-called secondary proceedings.</w:t>
      </w:r>
    </w:p>
    <w:p w14:paraId="55C687C3" w14:textId="3C532313" w:rsidR="00346F0D" w:rsidRDefault="00346F0D" w:rsidP="0010335F">
      <w:pPr>
        <w:jc w:val="both"/>
        <w:rPr>
          <w:rFonts w:ascii="Avenir Next" w:hAnsi="Avenir Next" w:cs="Arial"/>
          <w:color w:val="808080" w:themeColor="background1" w:themeShade="80"/>
          <w:sz w:val="22"/>
          <w:szCs w:val="22"/>
          <w:lang w:val="en-GB"/>
        </w:rPr>
      </w:pPr>
    </w:p>
    <w:p w14:paraId="5C756492" w14:textId="6A2C934D" w:rsidR="00346F0D" w:rsidRDefault="00D576A9" w:rsidP="0010335F">
      <w:pPr>
        <w:jc w:val="both"/>
        <w:rPr>
          <w:rFonts w:ascii="Avenir Next" w:hAnsi="Avenir Next" w:cs="Arial"/>
          <w:color w:val="808080" w:themeColor="background1" w:themeShade="80"/>
          <w:sz w:val="22"/>
          <w:szCs w:val="22"/>
          <w:lang w:val="en-GB"/>
        </w:rPr>
      </w:pPr>
      <w:r w:rsidRPr="00D576A9">
        <w:rPr>
          <w:rFonts w:ascii="Avenir Next" w:hAnsi="Avenir Next" w:cs="Arial"/>
          <w:color w:val="808080" w:themeColor="background1" w:themeShade="80"/>
          <w:sz w:val="22"/>
          <w:szCs w:val="22"/>
          <w:lang w:val="en-GB"/>
        </w:rPr>
        <w:t xml:space="preserve">For the present insolvency proceedings opened in the United Kingdom, this has the consequence that in the first step it would have to be examined where specifically FPPL has the centre of its </w:t>
      </w:r>
      <w:r w:rsidR="00A460B4">
        <w:rPr>
          <w:rFonts w:ascii="Avenir Next" w:hAnsi="Avenir Next" w:cs="Arial"/>
          <w:color w:val="808080" w:themeColor="background1" w:themeShade="80"/>
          <w:sz w:val="22"/>
          <w:szCs w:val="22"/>
          <w:lang w:val="en-GB"/>
        </w:rPr>
        <w:t>main</w:t>
      </w:r>
      <w:r w:rsidRPr="00D576A9">
        <w:rPr>
          <w:rFonts w:ascii="Avenir Next" w:hAnsi="Avenir Next" w:cs="Arial"/>
          <w:color w:val="808080" w:themeColor="background1" w:themeShade="80"/>
          <w:sz w:val="22"/>
          <w:szCs w:val="22"/>
          <w:lang w:val="en-GB"/>
        </w:rPr>
        <w:t xml:space="preserve"> interests. In accordance with the principle of the European Insolvency Regulation, the main insolvency proceedings would be conducted in this state. In all other states in which FPPL has branches and conducts business, which would also have to be determined in the next step, it would have to be examined whether proceedings or secondary insolvency proceedings would have to be opened. What is important here is what activities FPPL has pursued in these other states.</w:t>
      </w:r>
    </w:p>
    <w:p w14:paraId="4B1BD274" w14:textId="0565920C" w:rsidR="008A23AE" w:rsidRDefault="008A23AE" w:rsidP="0010335F">
      <w:pPr>
        <w:jc w:val="both"/>
        <w:rPr>
          <w:rFonts w:ascii="Avenir Next" w:hAnsi="Avenir Next" w:cs="Arial"/>
          <w:color w:val="808080" w:themeColor="background1" w:themeShade="80"/>
          <w:sz w:val="22"/>
          <w:szCs w:val="22"/>
          <w:lang w:val="en-GB"/>
        </w:rPr>
      </w:pPr>
    </w:p>
    <w:p w14:paraId="24A08B09" w14:textId="52831A91" w:rsidR="008A23AE" w:rsidRDefault="008A23AE" w:rsidP="0010335F">
      <w:pPr>
        <w:jc w:val="both"/>
        <w:rPr>
          <w:rFonts w:ascii="Avenir Next" w:hAnsi="Avenir Next" w:cs="Arial"/>
          <w:color w:val="808080" w:themeColor="background1" w:themeShade="80"/>
          <w:sz w:val="22"/>
          <w:szCs w:val="22"/>
          <w:lang w:val="en-GB"/>
        </w:rPr>
      </w:pPr>
      <w:r w:rsidRPr="008A23AE">
        <w:rPr>
          <w:rFonts w:ascii="Avenir Next" w:hAnsi="Avenir Next" w:cs="Arial"/>
          <w:color w:val="808080" w:themeColor="background1" w:themeShade="80"/>
          <w:sz w:val="22"/>
          <w:szCs w:val="22"/>
          <w:lang w:val="en-GB"/>
        </w:rPr>
        <w:t xml:space="preserve">Furthermore, it must be </w:t>
      </w:r>
      <w:proofErr w:type="gramStart"/>
      <w:r w:rsidRPr="008A23AE">
        <w:rPr>
          <w:rFonts w:ascii="Avenir Next" w:hAnsi="Avenir Next" w:cs="Arial"/>
          <w:color w:val="808080" w:themeColor="background1" w:themeShade="80"/>
          <w:sz w:val="22"/>
          <w:szCs w:val="22"/>
          <w:lang w:val="en-GB"/>
        </w:rPr>
        <w:t>taken into account</w:t>
      </w:r>
      <w:proofErr w:type="gramEnd"/>
      <w:r w:rsidRPr="008A23AE">
        <w:rPr>
          <w:rFonts w:ascii="Avenir Next" w:hAnsi="Avenir Next" w:cs="Arial"/>
          <w:color w:val="808080" w:themeColor="background1" w:themeShade="80"/>
          <w:sz w:val="22"/>
          <w:szCs w:val="22"/>
          <w:lang w:val="en-GB"/>
        </w:rPr>
        <w:t xml:space="preserve"> that the European Insolvency Regulation, as already emphasised, applies solely to members of the European Union. Insofar as the FPPL also operates branches or is otherwise active in countries that are not members of the European Union and has assets there, the European Insolvency Regulation does not apply, as in the example of the United Kingdom. In this case, it is necessary to work out precisely which other countries are affected and to determine whether there are certain guidelines in this country, such as those of UNCITRAL or the World Bank, which provide instruments for cross-border insolvencies. In this context, it is essential to find out whether the same guidelines are accepted between the countries concerned or whether there are further agreements between these countries.</w:t>
      </w:r>
    </w:p>
    <w:p w14:paraId="0A9F1847" w14:textId="147308FA" w:rsidR="001726A1" w:rsidRDefault="001726A1" w:rsidP="0010335F">
      <w:pPr>
        <w:jc w:val="both"/>
        <w:rPr>
          <w:rFonts w:ascii="Avenir Next" w:hAnsi="Avenir Next" w:cs="Arial"/>
          <w:color w:val="808080" w:themeColor="background1" w:themeShade="80"/>
          <w:sz w:val="22"/>
          <w:szCs w:val="22"/>
          <w:lang w:val="en-GB"/>
        </w:rPr>
      </w:pPr>
    </w:p>
    <w:p w14:paraId="1C2C269B" w14:textId="6F6FCFBD" w:rsidR="001726A1" w:rsidRPr="0016079A" w:rsidRDefault="001726A1" w:rsidP="0010335F">
      <w:pPr>
        <w:jc w:val="both"/>
        <w:rPr>
          <w:rFonts w:ascii="Avenir Next" w:hAnsi="Avenir Next" w:cs="Arial"/>
          <w:color w:val="808080" w:themeColor="background1" w:themeShade="80"/>
          <w:sz w:val="22"/>
          <w:szCs w:val="22"/>
          <w:lang w:val="en-GB"/>
        </w:rPr>
      </w:pPr>
      <w:r w:rsidRPr="001726A1">
        <w:rPr>
          <w:rFonts w:ascii="Avenir Next" w:hAnsi="Avenir Next" w:cs="Arial"/>
          <w:color w:val="808080" w:themeColor="background1" w:themeShade="80"/>
          <w:sz w:val="22"/>
          <w:szCs w:val="22"/>
          <w:lang w:val="en-GB"/>
        </w:rPr>
        <w:t xml:space="preserve">It is essential that the competent insolvency administrator, who was appointed when the insolvency proceedings over the FPPL's assets were opened, obtains information about any other insolvency proceedings that may already have been opened in other countries and quickly establishes contact </w:t>
      </w:r>
      <w:r w:rsidRPr="001726A1">
        <w:rPr>
          <w:rFonts w:ascii="Avenir Next" w:hAnsi="Avenir Next" w:cs="Arial"/>
          <w:color w:val="808080" w:themeColor="background1" w:themeShade="80"/>
          <w:sz w:val="22"/>
          <w:szCs w:val="22"/>
          <w:lang w:val="en-GB"/>
        </w:rPr>
        <w:lastRenderedPageBreak/>
        <w:t xml:space="preserve">with the responsible parties in these countries </w:t>
      </w:r>
      <w:proofErr w:type="gramStart"/>
      <w:r w:rsidRPr="001726A1">
        <w:rPr>
          <w:rFonts w:ascii="Avenir Next" w:hAnsi="Avenir Next" w:cs="Arial"/>
          <w:color w:val="808080" w:themeColor="background1" w:themeShade="80"/>
          <w:sz w:val="22"/>
          <w:szCs w:val="22"/>
          <w:lang w:val="en-GB"/>
        </w:rPr>
        <w:t>in order to</w:t>
      </w:r>
      <w:proofErr w:type="gramEnd"/>
      <w:r w:rsidRPr="001726A1">
        <w:rPr>
          <w:rFonts w:ascii="Avenir Next" w:hAnsi="Avenir Next" w:cs="Arial"/>
          <w:color w:val="808080" w:themeColor="background1" w:themeShade="80"/>
          <w:sz w:val="22"/>
          <w:szCs w:val="22"/>
          <w:lang w:val="en-GB"/>
        </w:rPr>
        <w:t xml:space="preserve"> promote the coordination of joint proceedings or cooperation between the various parties involved at an early stage.</w:t>
      </w:r>
    </w:p>
    <w:p w14:paraId="1395AAC6" w14:textId="05695B8E" w:rsidR="001E1C34" w:rsidRDefault="001E1C34" w:rsidP="00692852">
      <w:pPr>
        <w:ind w:left="720" w:hanging="720"/>
        <w:jc w:val="both"/>
        <w:rPr>
          <w:rFonts w:ascii="Avenir Next" w:hAnsi="Avenir Next" w:cs="Arial"/>
          <w:sz w:val="22"/>
          <w:szCs w:val="22"/>
          <w:highlight w:val="cyan"/>
          <w:lang w:val="en-GB"/>
        </w:rPr>
      </w:pPr>
    </w:p>
    <w:p w14:paraId="35EA0DE2" w14:textId="6F2372E3" w:rsidR="008A23AE" w:rsidRDefault="008A23AE" w:rsidP="00692852">
      <w:pPr>
        <w:ind w:left="720" w:hanging="720"/>
        <w:jc w:val="both"/>
        <w:rPr>
          <w:rFonts w:ascii="Avenir Next" w:hAnsi="Avenir Next" w:cs="Arial"/>
          <w:sz w:val="22"/>
          <w:szCs w:val="22"/>
          <w:highlight w:val="cyan"/>
          <w:lang w:val="en-GB"/>
        </w:rPr>
      </w:pPr>
    </w:p>
    <w:p w14:paraId="3DFB5BDC" w14:textId="77777777" w:rsidR="008A23AE" w:rsidRPr="004216EA" w:rsidRDefault="008A23AE"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13AF" w14:textId="77777777" w:rsidR="00D740FF" w:rsidRDefault="00D740FF" w:rsidP="00241B44">
      <w:r>
        <w:separator/>
      </w:r>
    </w:p>
  </w:endnote>
  <w:endnote w:type="continuationSeparator" w:id="0">
    <w:p w14:paraId="63AB8D7A" w14:textId="77777777" w:rsidR="00D740FF" w:rsidRDefault="00D740F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bCs/>
        <w:sz w:val="18"/>
        <w:szCs w:val="18"/>
      </w:rPr>
      <w:id w:val="-758512077"/>
      <w:docPartObj>
        <w:docPartGallery w:val="Page Numbers (Bottom of Page)"/>
        <w:docPartUnique/>
      </w:docPartObj>
    </w:sdtPr>
    <w:sdtContent>
      <w:p w14:paraId="0AAD6B61" w14:textId="77777777" w:rsidR="00B64A85" w:rsidRPr="00A31881" w:rsidRDefault="00B64A85" w:rsidP="0052732A">
        <w:pPr>
          <w:pStyle w:val="Fuzeile"/>
          <w:framePr w:wrap="none" w:vAnchor="text" w:hAnchor="margin" w:xAlign="right" w:y="1"/>
          <w:rPr>
            <w:rStyle w:val="Seitenzahl"/>
            <w:rFonts w:ascii="Arial" w:hAnsi="Arial" w:cs="Arial"/>
            <w:bCs/>
            <w:sz w:val="18"/>
            <w:szCs w:val="18"/>
          </w:rPr>
        </w:pPr>
        <w:r w:rsidRPr="00A31881">
          <w:rPr>
            <w:rStyle w:val="Seitenzahl"/>
            <w:rFonts w:ascii="Arial" w:hAnsi="Arial" w:cs="Arial"/>
            <w:bCs/>
            <w:sz w:val="18"/>
            <w:szCs w:val="18"/>
          </w:rPr>
          <w:t xml:space="preserve">Page </w:t>
        </w:r>
        <w:r w:rsidRPr="00A31881">
          <w:rPr>
            <w:rStyle w:val="Seitenzahl"/>
            <w:rFonts w:ascii="Arial" w:hAnsi="Arial" w:cs="Arial"/>
            <w:bCs/>
            <w:sz w:val="18"/>
            <w:szCs w:val="18"/>
          </w:rPr>
          <w:fldChar w:fldCharType="begin"/>
        </w:r>
        <w:r w:rsidRPr="00A31881">
          <w:rPr>
            <w:rStyle w:val="Seitenzahl"/>
            <w:rFonts w:ascii="Arial" w:hAnsi="Arial" w:cs="Arial"/>
            <w:bCs/>
            <w:sz w:val="18"/>
            <w:szCs w:val="18"/>
          </w:rPr>
          <w:instrText xml:space="preserve"> PAGE </w:instrText>
        </w:r>
        <w:r w:rsidRPr="00A31881">
          <w:rPr>
            <w:rStyle w:val="Seitenzahl"/>
            <w:rFonts w:ascii="Arial" w:hAnsi="Arial" w:cs="Arial"/>
            <w:bCs/>
            <w:sz w:val="18"/>
            <w:szCs w:val="18"/>
          </w:rPr>
          <w:fldChar w:fldCharType="separate"/>
        </w:r>
        <w:r w:rsidRPr="00A31881">
          <w:rPr>
            <w:rStyle w:val="Seitenzahl"/>
            <w:rFonts w:ascii="Arial" w:hAnsi="Arial" w:cs="Arial"/>
            <w:bCs/>
            <w:noProof/>
            <w:sz w:val="18"/>
            <w:szCs w:val="18"/>
          </w:rPr>
          <w:t>10</w:t>
        </w:r>
        <w:r w:rsidRPr="00A31881">
          <w:rPr>
            <w:rStyle w:val="Seitenzahl"/>
            <w:rFonts w:ascii="Arial" w:hAnsi="Arial" w:cs="Arial"/>
            <w:bCs/>
            <w:sz w:val="18"/>
            <w:szCs w:val="18"/>
          </w:rPr>
          <w:fldChar w:fldCharType="end"/>
        </w:r>
      </w:p>
    </w:sdtContent>
  </w:sdt>
  <w:p w14:paraId="39FD1B0B" w14:textId="131F514A" w:rsidR="00B64A85" w:rsidRPr="00A31881" w:rsidRDefault="00B64A85" w:rsidP="00FC7B47">
    <w:pPr>
      <w:pStyle w:val="Fuzeile"/>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venir Next" w:hAnsi="Avenir Next" w:cs="Arial"/>
        <w:sz w:val="22"/>
        <w:szCs w:val="22"/>
      </w:rPr>
      <w:id w:val="-2016673495"/>
      <w:docPartObj>
        <w:docPartGallery w:val="Page Numbers (Bottom of Page)"/>
        <w:docPartUnique/>
      </w:docPartObj>
    </w:sdtPr>
    <w:sdtEndPr>
      <w:rPr>
        <w:rStyle w:val="Seitenzahl"/>
        <w:rFonts w:ascii="Arial" w:hAnsi="Arial"/>
      </w:rPr>
    </w:sdtEndPr>
    <w:sdtContent>
      <w:p w14:paraId="532C33C7" w14:textId="27F0D173" w:rsidR="00B64A85" w:rsidRPr="00297BDF" w:rsidRDefault="00B64A85" w:rsidP="006E1CB0">
        <w:pPr>
          <w:pStyle w:val="Fuzeile"/>
          <w:framePr w:wrap="none" w:vAnchor="text" w:hAnchor="margin" w:xAlign="right" w:y="1"/>
          <w:rPr>
            <w:rStyle w:val="Seitenzahl"/>
            <w:rFonts w:ascii="Arial" w:hAnsi="Arial" w:cs="Arial"/>
            <w:sz w:val="22"/>
            <w:szCs w:val="22"/>
          </w:rPr>
        </w:pPr>
        <w:r w:rsidRPr="00297BDF">
          <w:rPr>
            <w:rStyle w:val="Seitenzahl"/>
            <w:rFonts w:ascii="Avenir Next" w:hAnsi="Avenir Next" w:cs="Arial"/>
            <w:sz w:val="22"/>
            <w:szCs w:val="22"/>
          </w:rPr>
          <w:t xml:space="preserve">Page </w:t>
        </w:r>
        <w:r w:rsidRPr="00297BDF">
          <w:rPr>
            <w:rStyle w:val="Seitenzahl"/>
            <w:rFonts w:ascii="Avenir Next" w:hAnsi="Avenir Next" w:cs="Arial"/>
            <w:sz w:val="22"/>
            <w:szCs w:val="22"/>
          </w:rPr>
          <w:fldChar w:fldCharType="begin"/>
        </w:r>
        <w:r w:rsidRPr="00297BDF">
          <w:rPr>
            <w:rStyle w:val="Seitenzahl"/>
            <w:rFonts w:ascii="Avenir Next" w:hAnsi="Avenir Next" w:cs="Arial"/>
            <w:sz w:val="22"/>
            <w:szCs w:val="22"/>
          </w:rPr>
          <w:instrText xml:space="preserve"> PAGE </w:instrText>
        </w:r>
        <w:r w:rsidRPr="00297BDF">
          <w:rPr>
            <w:rStyle w:val="Seitenzahl"/>
            <w:rFonts w:ascii="Avenir Next" w:hAnsi="Avenir Next" w:cs="Arial"/>
            <w:sz w:val="22"/>
            <w:szCs w:val="22"/>
          </w:rPr>
          <w:fldChar w:fldCharType="separate"/>
        </w:r>
        <w:r w:rsidR="00466ED6" w:rsidRPr="00297BDF">
          <w:rPr>
            <w:rStyle w:val="Seitenzahl"/>
            <w:rFonts w:ascii="Avenir Next" w:hAnsi="Avenir Next" w:cs="Arial"/>
            <w:noProof/>
            <w:sz w:val="22"/>
            <w:szCs w:val="22"/>
          </w:rPr>
          <w:t>2</w:t>
        </w:r>
        <w:r w:rsidRPr="00297BDF">
          <w:rPr>
            <w:rStyle w:val="Seitenzahl"/>
            <w:rFonts w:ascii="Avenir Next" w:hAnsi="Avenir Next" w:cs="Arial"/>
            <w:sz w:val="22"/>
            <w:szCs w:val="22"/>
          </w:rPr>
          <w:fldChar w:fldCharType="end"/>
        </w:r>
      </w:p>
    </w:sdtContent>
  </w:sdt>
  <w:p w14:paraId="12ABA5E1" w14:textId="79BF3AF4" w:rsidR="00B64A85" w:rsidRPr="00297BDF" w:rsidRDefault="00202D77" w:rsidP="0052732A">
    <w:pPr>
      <w:pStyle w:val="Fuzeile"/>
      <w:ind w:right="360"/>
      <w:rPr>
        <w:rFonts w:ascii="Avenir Next" w:hAnsi="Avenir Next" w:cs="Arial"/>
        <w:sz w:val="22"/>
        <w:szCs w:val="22"/>
      </w:rPr>
    </w:pPr>
    <w:r>
      <w:rPr>
        <w:rFonts w:ascii="Avenir Next" w:hAnsi="Avenir Next" w:cs="Arial"/>
        <w:sz w:val="22"/>
        <w:szCs w:val="22"/>
      </w:rPr>
      <w:t>202223-984</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DFDC" w14:textId="77777777" w:rsidR="00D740FF" w:rsidRDefault="00D740FF" w:rsidP="00241B44">
      <w:r>
        <w:separator/>
      </w:r>
    </w:p>
  </w:footnote>
  <w:footnote w:type="continuationSeparator" w:id="0">
    <w:p w14:paraId="0FBCBDA5" w14:textId="77777777" w:rsidR="00D740FF" w:rsidRDefault="00D740F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647766">
    <w:abstractNumId w:val="18"/>
  </w:num>
  <w:num w:numId="2" w16cid:durableId="62684562">
    <w:abstractNumId w:val="22"/>
  </w:num>
  <w:num w:numId="3" w16cid:durableId="912013292">
    <w:abstractNumId w:val="2"/>
  </w:num>
  <w:num w:numId="4" w16cid:durableId="1472795161">
    <w:abstractNumId w:val="3"/>
  </w:num>
  <w:num w:numId="5" w16cid:durableId="1993412531">
    <w:abstractNumId w:val="14"/>
  </w:num>
  <w:num w:numId="6" w16cid:durableId="266742850">
    <w:abstractNumId w:val="19"/>
  </w:num>
  <w:num w:numId="7" w16cid:durableId="1893498083">
    <w:abstractNumId w:val="8"/>
  </w:num>
  <w:num w:numId="8" w16cid:durableId="2055806496">
    <w:abstractNumId w:val="23"/>
  </w:num>
  <w:num w:numId="9" w16cid:durableId="1985424093">
    <w:abstractNumId w:val="7"/>
  </w:num>
  <w:num w:numId="10" w16cid:durableId="1130593973">
    <w:abstractNumId w:val="20"/>
  </w:num>
  <w:num w:numId="11" w16cid:durableId="1304503677">
    <w:abstractNumId w:val="6"/>
  </w:num>
  <w:num w:numId="12" w16cid:durableId="1610700874">
    <w:abstractNumId w:val="21"/>
  </w:num>
  <w:num w:numId="13" w16cid:durableId="208805734">
    <w:abstractNumId w:val="13"/>
  </w:num>
  <w:num w:numId="14" w16cid:durableId="435491552">
    <w:abstractNumId w:val="12"/>
  </w:num>
  <w:num w:numId="15" w16cid:durableId="977078079">
    <w:abstractNumId w:val="4"/>
  </w:num>
  <w:num w:numId="16" w16cid:durableId="1130051059">
    <w:abstractNumId w:val="15"/>
  </w:num>
  <w:num w:numId="17" w16cid:durableId="1092702867">
    <w:abstractNumId w:val="10"/>
  </w:num>
  <w:num w:numId="18" w16cid:durableId="1836260752">
    <w:abstractNumId w:val="11"/>
  </w:num>
  <w:num w:numId="19" w16cid:durableId="1431320270">
    <w:abstractNumId w:val="17"/>
  </w:num>
  <w:num w:numId="20" w16cid:durableId="1415276960">
    <w:abstractNumId w:val="5"/>
  </w:num>
  <w:num w:numId="21" w16cid:durableId="959607985">
    <w:abstractNumId w:val="9"/>
  </w:num>
  <w:num w:numId="22" w16cid:durableId="609239154">
    <w:abstractNumId w:val="0"/>
  </w:num>
  <w:num w:numId="23" w16cid:durableId="1813403323">
    <w:abstractNumId w:val="16"/>
  </w:num>
  <w:num w:numId="24" w16cid:durableId="7566333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D1EFDC-4114-4471-B4F4-15995C8CEB3E}"/>
    <w:docVar w:name="dgnword-eventsink" w:val="604106128"/>
  </w:docVars>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0823"/>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335F"/>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079A"/>
    <w:rsid w:val="00161F1B"/>
    <w:rsid w:val="001620AF"/>
    <w:rsid w:val="00162829"/>
    <w:rsid w:val="0016472D"/>
    <w:rsid w:val="00164B28"/>
    <w:rsid w:val="00166C30"/>
    <w:rsid w:val="001677CC"/>
    <w:rsid w:val="001726A1"/>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0F25"/>
    <w:rsid w:val="001A1E02"/>
    <w:rsid w:val="001A620B"/>
    <w:rsid w:val="001A66D0"/>
    <w:rsid w:val="001A716A"/>
    <w:rsid w:val="001A7E9A"/>
    <w:rsid w:val="001B0F70"/>
    <w:rsid w:val="001B5016"/>
    <w:rsid w:val="001B6CEE"/>
    <w:rsid w:val="001C093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2D77"/>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245E"/>
    <w:rsid w:val="00245EFB"/>
    <w:rsid w:val="002526C5"/>
    <w:rsid w:val="002529D2"/>
    <w:rsid w:val="0025386E"/>
    <w:rsid w:val="00254AB3"/>
    <w:rsid w:val="002638B0"/>
    <w:rsid w:val="0026510C"/>
    <w:rsid w:val="0026647A"/>
    <w:rsid w:val="002668D3"/>
    <w:rsid w:val="00266F17"/>
    <w:rsid w:val="002672D0"/>
    <w:rsid w:val="0026753A"/>
    <w:rsid w:val="00270D04"/>
    <w:rsid w:val="0027242B"/>
    <w:rsid w:val="0027299F"/>
    <w:rsid w:val="00275182"/>
    <w:rsid w:val="00275946"/>
    <w:rsid w:val="00276414"/>
    <w:rsid w:val="00276FEA"/>
    <w:rsid w:val="0028252D"/>
    <w:rsid w:val="00283AD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D798D"/>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2A5C"/>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1AB5"/>
    <w:rsid w:val="00342E57"/>
    <w:rsid w:val="00346F0D"/>
    <w:rsid w:val="003500E5"/>
    <w:rsid w:val="00355B57"/>
    <w:rsid w:val="00356756"/>
    <w:rsid w:val="00361A0A"/>
    <w:rsid w:val="00361DF9"/>
    <w:rsid w:val="0036565C"/>
    <w:rsid w:val="0036625E"/>
    <w:rsid w:val="00367162"/>
    <w:rsid w:val="003671AE"/>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B707E"/>
    <w:rsid w:val="003C1451"/>
    <w:rsid w:val="003C2017"/>
    <w:rsid w:val="003C4471"/>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3C22"/>
    <w:rsid w:val="003F500E"/>
    <w:rsid w:val="003F655E"/>
    <w:rsid w:val="003F6BAD"/>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53C6"/>
    <w:rsid w:val="004557EE"/>
    <w:rsid w:val="0045683E"/>
    <w:rsid w:val="00460E8F"/>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86C"/>
    <w:rsid w:val="00497CF9"/>
    <w:rsid w:val="004A27CB"/>
    <w:rsid w:val="004A31EA"/>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0560"/>
    <w:rsid w:val="005222EF"/>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3D49"/>
    <w:rsid w:val="005A43F4"/>
    <w:rsid w:val="005A4563"/>
    <w:rsid w:val="005A5ACB"/>
    <w:rsid w:val="005A726D"/>
    <w:rsid w:val="005B0BB2"/>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1B4E"/>
    <w:rsid w:val="005F244F"/>
    <w:rsid w:val="005F2D0B"/>
    <w:rsid w:val="005F453F"/>
    <w:rsid w:val="005F4B31"/>
    <w:rsid w:val="005F5449"/>
    <w:rsid w:val="005F6059"/>
    <w:rsid w:val="0060397D"/>
    <w:rsid w:val="00604723"/>
    <w:rsid w:val="00610388"/>
    <w:rsid w:val="00612092"/>
    <w:rsid w:val="00612CA5"/>
    <w:rsid w:val="00613926"/>
    <w:rsid w:val="00614858"/>
    <w:rsid w:val="006153EC"/>
    <w:rsid w:val="00620ACA"/>
    <w:rsid w:val="00621A17"/>
    <w:rsid w:val="0062260C"/>
    <w:rsid w:val="00622EB6"/>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08D"/>
    <w:rsid w:val="0065715A"/>
    <w:rsid w:val="006578EC"/>
    <w:rsid w:val="006643E7"/>
    <w:rsid w:val="006661EF"/>
    <w:rsid w:val="006746CB"/>
    <w:rsid w:val="00677AD4"/>
    <w:rsid w:val="00677AEB"/>
    <w:rsid w:val="00680EF2"/>
    <w:rsid w:val="006816A6"/>
    <w:rsid w:val="00682A3E"/>
    <w:rsid w:val="006850AE"/>
    <w:rsid w:val="00686C53"/>
    <w:rsid w:val="00687A1D"/>
    <w:rsid w:val="00692852"/>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2655"/>
    <w:rsid w:val="007333CC"/>
    <w:rsid w:val="007335D8"/>
    <w:rsid w:val="0073399A"/>
    <w:rsid w:val="007369C7"/>
    <w:rsid w:val="00741D74"/>
    <w:rsid w:val="00743531"/>
    <w:rsid w:val="007452BB"/>
    <w:rsid w:val="007462D9"/>
    <w:rsid w:val="00746A22"/>
    <w:rsid w:val="00747908"/>
    <w:rsid w:val="00751986"/>
    <w:rsid w:val="0075428A"/>
    <w:rsid w:val="00756ABD"/>
    <w:rsid w:val="007576A3"/>
    <w:rsid w:val="007603F5"/>
    <w:rsid w:val="00760A70"/>
    <w:rsid w:val="00760BB2"/>
    <w:rsid w:val="0076181C"/>
    <w:rsid w:val="00764DB0"/>
    <w:rsid w:val="0076576A"/>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A7FC6"/>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E9"/>
    <w:rsid w:val="00807119"/>
    <w:rsid w:val="008071D5"/>
    <w:rsid w:val="00807FE8"/>
    <w:rsid w:val="00811865"/>
    <w:rsid w:val="00814A55"/>
    <w:rsid w:val="0081547D"/>
    <w:rsid w:val="008228C8"/>
    <w:rsid w:val="0082483F"/>
    <w:rsid w:val="00825430"/>
    <w:rsid w:val="00827849"/>
    <w:rsid w:val="008279C0"/>
    <w:rsid w:val="008353E1"/>
    <w:rsid w:val="00841E70"/>
    <w:rsid w:val="00842CB5"/>
    <w:rsid w:val="00845226"/>
    <w:rsid w:val="008473AA"/>
    <w:rsid w:val="008511E9"/>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23AE"/>
    <w:rsid w:val="008A30C3"/>
    <w:rsid w:val="008A30EE"/>
    <w:rsid w:val="008A4DF2"/>
    <w:rsid w:val="008A6841"/>
    <w:rsid w:val="008A6CFE"/>
    <w:rsid w:val="008B196C"/>
    <w:rsid w:val="008B40E7"/>
    <w:rsid w:val="008B4681"/>
    <w:rsid w:val="008B4B58"/>
    <w:rsid w:val="008B5333"/>
    <w:rsid w:val="008B5476"/>
    <w:rsid w:val="008B6223"/>
    <w:rsid w:val="008C0772"/>
    <w:rsid w:val="008C165D"/>
    <w:rsid w:val="008C2013"/>
    <w:rsid w:val="008C4066"/>
    <w:rsid w:val="008C66E0"/>
    <w:rsid w:val="008D0122"/>
    <w:rsid w:val="008D3E17"/>
    <w:rsid w:val="008D5D34"/>
    <w:rsid w:val="008D7718"/>
    <w:rsid w:val="008E220E"/>
    <w:rsid w:val="008E3339"/>
    <w:rsid w:val="008E3ADC"/>
    <w:rsid w:val="008E64D3"/>
    <w:rsid w:val="008E6F11"/>
    <w:rsid w:val="008F20FC"/>
    <w:rsid w:val="008F3248"/>
    <w:rsid w:val="008F50C4"/>
    <w:rsid w:val="008F5FFE"/>
    <w:rsid w:val="0090037B"/>
    <w:rsid w:val="00902DD8"/>
    <w:rsid w:val="00905A43"/>
    <w:rsid w:val="009064FE"/>
    <w:rsid w:val="009078CE"/>
    <w:rsid w:val="009078FC"/>
    <w:rsid w:val="009108EF"/>
    <w:rsid w:val="00911C23"/>
    <w:rsid w:val="00912C79"/>
    <w:rsid w:val="00913FB9"/>
    <w:rsid w:val="00915010"/>
    <w:rsid w:val="0091528C"/>
    <w:rsid w:val="009173D1"/>
    <w:rsid w:val="009219CE"/>
    <w:rsid w:val="0092350E"/>
    <w:rsid w:val="00923CCC"/>
    <w:rsid w:val="00926D10"/>
    <w:rsid w:val="009275FE"/>
    <w:rsid w:val="009355DB"/>
    <w:rsid w:val="00940B15"/>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60B6"/>
    <w:rsid w:val="00997A85"/>
    <w:rsid w:val="009A0501"/>
    <w:rsid w:val="009A0F25"/>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31D"/>
    <w:rsid w:val="009E44C0"/>
    <w:rsid w:val="009E4DE3"/>
    <w:rsid w:val="009E50C1"/>
    <w:rsid w:val="009E6246"/>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4083"/>
    <w:rsid w:val="00A45800"/>
    <w:rsid w:val="00A460B4"/>
    <w:rsid w:val="00A46B4C"/>
    <w:rsid w:val="00A4744F"/>
    <w:rsid w:val="00A5117B"/>
    <w:rsid w:val="00A556D4"/>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877F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C7412"/>
    <w:rsid w:val="00AD0662"/>
    <w:rsid w:val="00AD1483"/>
    <w:rsid w:val="00AD1B6B"/>
    <w:rsid w:val="00AD331C"/>
    <w:rsid w:val="00AD57A5"/>
    <w:rsid w:val="00AD65A8"/>
    <w:rsid w:val="00AD74AD"/>
    <w:rsid w:val="00AD7A9A"/>
    <w:rsid w:val="00AE027F"/>
    <w:rsid w:val="00AE2E57"/>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38FC"/>
    <w:rsid w:val="00B3503B"/>
    <w:rsid w:val="00B378FA"/>
    <w:rsid w:val="00B42352"/>
    <w:rsid w:val="00B51227"/>
    <w:rsid w:val="00B51975"/>
    <w:rsid w:val="00B52E4D"/>
    <w:rsid w:val="00B54F90"/>
    <w:rsid w:val="00B55C9E"/>
    <w:rsid w:val="00B56B95"/>
    <w:rsid w:val="00B607DF"/>
    <w:rsid w:val="00B62D3D"/>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622"/>
    <w:rsid w:val="00B92D5B"/>
    <w:rsid w:val="00B9417E"/>
    <w:rsid w:val="00B948AE"/>
    <w:rsid w:val="00BA1648"/>
    <w:rsid w:val="00BA2637"/>
    <w:rsid w:val="00BA2919"/>
    <w:rsid w:val="00BA35FF"/>
    <w:rsid w:val="00BA4816"/>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0B1"/>
    <w:rsid w:val="00C04632"/>
    <w:rsid w:val="00C07B0B"/>
    <w:rsid w:val="00C15A16"/>
    <w:rsid w:val="00C1724E"/>
    <w:rsid w:val="00C20337"/>
    <w:rsid w:val="00C20AFE"/>
    <w:rsid w:val="00C22A25"/>
    <w:rsid w:val="00C22CEE"/>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0E5B"/>
    <w:rsid w:val="00C618CF"/>
    <w:rsid w:val="00C620F4"/>
    <w:rsid w:val="00C629CB"/>
    <w:rsid w:val="00C67DDC"/>
    <w:rsid w:val="00C71F4F"/>
    <w:rsid w:val="00C72848"/>
    <w:rsid w:val="00C750BA"/>
    <w:rsid w:val="00C75E08"/>
    <w:rsid w:val="00C7736C"/>
    <w:rsid w:val="00C80272"/>
    <w:rsid w:val="00C81AEB"/>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3D7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2474"/>
    <w:rsid w:val="00D35229"/>
    <w:rsid w:val="00D35ADE"/>
    <w:rsid w:val="00D35EAE"/>
    <w:rsid w:val="00D36525"/>
    <w:rsid w:val="00D404CA"/>
    <w:rsid w:val="00D4685B"/>
    <w:rsid w:val="00D576A9"/>
    <w:rsid w:val="00D57C59"/>
    <w:rsid w:val="00D60215"/>
    <w:rsid w:val="00D60874"/>
    <w:rsid w:val="00D63EFD"/>
    <w:rsid w:val="00D6588F"/>
    <w:rsid w:val="00D676F1"/>
    <w:rsid w:val="00D714E4"/>
    <w:rsid w:val="00D740FF"/>
    <w:rsid w:val="00D829EB"/>
    <w:rsid w:val="00D84752"/>
    <w:rsid w:val="00D86A74"/>
    <w:rsid w:val="00D86B3B"/>
    <w:rsid w:val="00D8748A"/>
    <w:rsid w:val="00D905E4"/>
    <w:rsid w:val="00D910D5"/>
    <w:rsid w:val="00D93196"/>
    <w:rsid w:val="00D931A2"/>
    <w:rsid w:val="00DA3F85"/>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5D01"/>
    <w:rsid w:val="00DD6923"/>
    <w:rsid w:val="00DD7AD7"/>
    <w:rsid w:val="00DE03AF"/>
    <w:rsid w:val="00DE097E"/>
    <w:rsid w:val="00DE121C"/>
    <w:rsid w:val="00DE2BC4"/>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034E"/>
    <w:rsid w:val="00E8272F"/>
    <w:rsid w:val="00E84DA5"/>
    <w:rsid w:val="00E84DD5"/>
    <w:rsid w:val="00E86549"/>
    <w:rsid w:val="00E86D64"/>
    <w:rsid w:val="00E86EEA"/>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D659E"/>
    <w:rsid w:val="00EE1A0E"/>
    <w:rsid w:val="00EE2569"/>
    <w:rsid w:val="00EE4971"/>
    <w:rsid w:val="00EE5A48"/>
    <w:rsid w:val="00EE5F7D"/>
    <w:rsid w:val="00EE628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179D8"/>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4F25"/>
    <w:rsid w:val="00F45599"/>
    <w:rsid w:val="00F504B1"/>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0B14"/>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ACD"/>
    <w:rsid w:val="00FC7B47"/>
    <w:rsid w:val="00FD0169"/>
    <w:rsid w:val="00FD035C"/>
    <w:rsid w:val="00FD048A"/>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30542"/>
  </w:style>
  <w:style w:type="paragraph" w:styleId="Listenabsatz">
    <w:name w:val="List Paragraph"/>
    <w:basedOn w:val="Standard"/>
    <w:uiPriority w:val="34"/>
    <w:qFormat/>
    <w:rsid w:val="00430FED"/>
    <w:pPr>
      <w:ind w:left="720"/>
      <w:contextualSpacing/>
    </w:pPr>
  </w:style>
  <w:style w:type="paragraph" w:styleId="Funoten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Standard"/>
    <w:link w:val="FunotentextZchn"/>
    <w:unhideWhenUsed/>
    <w:rsid w:val="00241B44"/>
    <w:rPr>
      <w:szCs w:val="20"/>
    </w:rPr>
  </w:style>
  <w:style w:type="character" w:customStyle="1" w:styleId="FunotentextZchn">
    <w:name w:val="Fußnotentext Zchn"/>
    <w:aliases w:val="fn Zchn,Fußnotentext Char Char Char Char Zchn,Fußnotentext Char Char Char Char Char Char Zchn,Fußnotentext Char Char Char Char Char Char Char Char Zchn,Fußnotentextf Zchn,footnotes Zchn,Footnote Text Char2 Char Zchn,Footnote Zchn"/>
    <w:basedOn w:val="Absatz-Standardschriftart"/>
    <w:link w:val="Funotentext"/>
    <w:rsid w:val="00241B44"/>
    <w:rPr>
      <w:sz w:val="20"/>
      <w:szCs w:val="20"/>
    </w:rPr>
  </w:style>
  <w:style w:type="character" w:styleId="Funotenzeichen">
    <w:name w:val="footnote reference"/>
    <w:aliases w:val="fr,Footnote Refernece,BVI fnr,callout,16 Point,Superscript 6 Point,Footnote Reference Superscript,Ref,de nota al pie,-E Fußnotenzeichen,number,SUPERS,EN Footnote Reference,-E Fuﬂnotenzeichen,-E Fuûnotenzeichen,Footnote numbe, BVI fnr"/>
    <w:basedOn w:val="Absatz-Standardschriftart"/>
    <w:unhideWhenUsed/>
    <w:qFormat/>
    <w:rsid w:val="00241B44"/>
    <w:rPr>
      <w:vertAlign w:val="superscript"/>
    </w:rPr>
  </w:style>
  <w:style w:type="character" w:styleId="Hyperlink">
    <w:name w:val="Hyperlink"/>
    <w:basedOn w:val="Absatz-Standardschriftart"/>
    <w:uiPriority w:val="99"/>
    <w:unhideWhenUsed/>
    <w:rsid w:val="00A047EE"/>
    <w:rPr>
      <w:color w:val="0563C1" w:themeColor="hyperlink"/>
      <w:u w:val="single"/>
    </w:rPr>
  </w:style>
  <w:style w:type="character" w:customStyle="1" w:styleId="UnresolvedMention1">
    <w:name w:val="Unresolved Mention1"/>
    <w:basedOn w:val="Absatz-Standardschriftart"/>
    <w:uiPriority w:val="99"/>
    <w:rsid w:val="00A047EE"/>
    <w:rPr>
      <w:color w:val="605E5C"/>
      <w:shd w:val="clear" w:color="auto" w:fill="E1DFDD"/>
    </w:rPr>
  </w:style>
  <w:style w:type="character" w:styleId="Kommentarzeichen">
    <w:name w:val="annotation reference"/>
    <w:basedOn w:val="Absatz-Standardschriftart"/>
    <w:uiPriority w:val="99"/>
    <w:semiHidden/>
    <w:unhideWhenUsed/>
    <w:rsid w:val="008B5333"/>
    <w:rPr>
      <w:sz w:val="16"/>
      <w:szCs w:val="16"/>
    </w:rPr>
  </w:style>
  <w:style w:type="paragraph" w:styleId="Kommentartext">
    <w:name w:val="annotation text"/>
    <w:basedOn w:val="Standard"/>
    <w:link w:val="KommentartextZchn"/>
    <w:uiPriority w:val="99"/>
    <w:unhideWhenUsed/>
    <w:rsid w:val="008B5333"/>
    <w:rPr>
      <w:szCs w:val="20"/>
    </w:rPr>
  </w:style>
  <w:style w:type="character" w:customStyle="1" w:styleId="KommentartextZchn">
    <w:name w:val="Kommentartext Zchn"/>
    <w:basedOn w:val="Absatz-Standardschriftart"/>
    <w:link w:val="Kommentartext"/>
    <w:uiPriority w:val="99"/>
    <w:rsid w:val="008B5333"/>
    <w:rPr>
      <w:rFonts w:eastAsia="Times New Roman"/>
      <w:sz w:val="20"/>
      <w:szCs w:val="20"/>
    </w:rPr>
  </w:style>
  <w:style w:type="paragraph" w:styleId="Kommentarthema">
    <w:name w:val="annotation subject"/>
    <w:basedOn w:val="Kommentartext"/>
    <w:next w:val="Kommentartext"/>
    <w:link w:val="KommentarthemaZchn"/>
    <w:uiPriority w:val="99"/>
    <w:semiHidden/>
    <w:unhideWhenUsed/>
    <w:rsid w:val="008B5333"/>
    <w:rPr>
      <w:b/>
      <w:bCs/>
    </w:rPr>
  </w:style>
  <w:style w:type="character" w:customStyle="1" w:styleId="KommentarthemaZchn">
    <w:name w:val="Kommentarthema Zchn"/>
    <w:basedOn w:val="KommentartextZchn"/>
    <w:link w:val="Kommentarthema"/>
    <w:uiPriority w:val="99"/>
    <w:semiHidden/>
    <w:rsid w:val="008B5333"/>
    <w:rPr>
      <w:rFonts w:eastAsia="Times New Roman"/>
      <w:b/>
      <w:bCs/>
      <w:sz w:val="20"/>
      <w:szCs w:val="20"/>
    </w:rPr>
  </w:style>
  <w:style w:type="paragraph" w:styleId="Sprechblasentext">
    <w:name w:val="Balloon Text"/>
    <w:basedOn w:val="Standard"/>
    <w:link w:val="SprechblasentextZchn"/>
    <w:uiPriority w:val="99"/>
    <w:semiHidden/>
    <w:unhideWhenUsed/>
    <w:rsid w:val="008B53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5333"/>
    <w:rPr>
      <w:rFonts w:ascii="Tahoma" w:eastAsia="Times New Roman" w:hAnsi="Tahoma" w:cs="Tahoma"/>
      <w:sz w:val="16"/>
      <w:szCs w:val="16"/>
    </w:rPr>
  </w:style>
  <w:style w:type="paragraph" w:styleId="Fuzeile">
    <w:name w:val="footer"/>
    <w:basedOn w:val="Standard"/>
    <w:link w:val="FuzeileZchn"/>
    <w:uiPriority w:val="99"/>
    <w:unhideWhenUsed/>
    <w:rsid w:val="00FC7B47"/>
    <w:pPr>
      <w:tabs>
        <w:tab w:val="center" w:pos="4513"/>
        <w:tab w:val="right" w:pos="9026"/>
      </w:tabs>
    </w:pPr>
  </w:style>
  <w:style w:type="character" w:customStyle="1" w:styleId="FuzeileZchn">
    <w:name w:val="Fußzeile Zchn"/>
    <w:basedOn w:val="Absatz-Standardschriftart"/>
    <w:link w:val="Fuzeile"/>
    <w:uiPriority w:val="99"/>
    <w:rsid w:val="00FC7B47"/>
    <w:rPr>
      <w:rFonts w:eastAsia="Times New Roman"/>
      <w:sz w:val="20"/>
    </w:rPr>
  </w:style>
  <w:style w:type="character" w:styleId="Seitenzahl">
    <w:name w:val="page number"/>
    <w:basedOn w:val="Absatz-Standardschriftart"/>
    <w:uiPriority w:val="99"/>
    <w:semiHidden/>
    <w:unhideWhenUsed/>
    <w:rsid w:val="00FC7B47"/>
  </w:style>
  <w:style w:type="paragraph" w:styleId="Kopfzeile">
    <w:name w:val="header"/>
    <w:basedOn w:val="Standard"/>
    <w:link w:val="KopfzeileZchn"/>
    <w:uiPriority w:val="99"/>
    <w:unhideWhenUsed/>
    <w:rsid w:val="00FC7B47"/>
    <w:pPr>
      <w:tabs>
        <w:tab w:val="center" w:pos="4513"/>
        <w:tab w:val="right" w:pos="9026"/>
      </w:tabs>
    </w:pPr>
  </w:style>
  <w:style w:type="character" w:customStyle="1" w:styleId="KopfzeileZchn">
    <w:name w:val="Kopfzeile Zchn"/>
    <w:basedOn w:val="Absatz-Standardschriftart"/>
    <w:link w:val="Kopfzeile"/>
    <w:uiPriority w:val="99"/>
    <w:rsid w:val="00FC7B47"/>
    <w:rPr>
      <w:rFonts w:eastAsia="Times New Roman"/>
      <w:sz w:val="20"/>
    </w:rPr>
  </w:style>
  <w:style w:type="character" w:customStyle="1" w:styleId="UnresolvedMention2">
    <w:name w:val="Unresolved Mention2"/>
    <w:basedOn w:val="Absatz-Standardschriftart"/>
    <w:uiPriority w:val="99"/>
    <w:semiHidden/>
    <w:unhideWhenUsed/>
    <w:rsid w:val="007333CC"/>
    <w:rPr>
      <w:color w:val="605E5C"/>
      <w:shd w:val="clear" w:color="auto" w:fill="E1DFDD"/>
    </w:rPr>
  </w:style>
  <w:style w:type="character" w:styleId="BesuchterLink">
    <w:name w:val="FollowedHyperlink"/>
    <w:basedOn w:val="Absatz-Standardschriftart"/>
    <w:uiPriority w:val="99"/>
    <w:semiHidden/>
    <w:unhideWhenUsed/>
    <w:rsid w:val="00E6452F"/>
    <w:rPr>
      <w:color w:val="954F72" w:themeColor="followedHyperlink"/>
      <w:u w:val="single"/>
    </w:rPr>
  </w:style>
  <w:style w:type="character" w:styleId="Fett">
    <w:name w:val="Strong"/>
    <w:basedOn w:val="Absatz-Standardschriftart"/>
    <w:uiPriority w:val="22"/>
    <w:qFormat/>
    <w:rsid w:val="00E6452F"/>
    <w:rPr>
      <w:b/>
      <w:bCs/>
    </w:rPr>
  </w:style>
  <w:style w:type="paragraph" w:styleId="StandardWeb">
    <w:name w:val="Normal (Web)"/>
    <w:basedOn w:val="Standard"/>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Standard"/>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Standard"/>
    <w:next w:val="Standard"/>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Standard"/>
    <w:next w:val="Standard"/>
    <w:qFormat/>
    <w:rsid w:val="001131C6"/>
    <w:pPr>
      <w:ind w:left="708"/>
    </w:pPr>
    <w:rPr>
      <w:rFonts w:ascii="Arial" w:eastAsiaTheme="minorEastAsia" w:hAnsi="Arial" w:cs="Arial"/>
      <w:sz w:val="22"/>
      <w:szCs w:val="22"/>
      <w:u w:color="FF0000"/>
      <w:lang w:val="en-GB"/>
    </w:rPr>
  </w:style>
  <w:style w:type="paragraph" w:styleId="berarbeitung">
    <w:name w:val="Revision"/>
    <w:hidden/>
    <w:uiPriority w:val="99"/>
    <w:semiHidden/>
    <w:rsid w:val="002173C5"/>
    <w:rPr>
      <w:rFonts w:eastAsia="Times New Roman"/>
      <w:sz w:val="20"/>
    </w:rPr>
  </w:style>
  <w:style w:type="paragraph" w:customStyle="1" w:styleId="legclearfix">
    <w:name w:val="legclearfix"/>
    <w:basedOn w:val="Standard"/>
    <w:rsid w:val="00AB1B60"/>
    <w:pPr>
      <w:spacing w:before="100" w:beforeAutospacing="1" w:after="100" w:afterAutospacing="1"/>
    </w:pPr>
    <w:rPr>
      <w:rFonts w:ascii="Times New Roman" w:hAnsi="Times New Roman" w:cs="Times New Roman"/>
      <w:sz w:val="24"/>
    </w:rPr>
  </w:style>
  <w:style w:type="character" w:customStyle="1" w:styleId="legds">
    <w:name w:val="legds"/>
    <w:basedOn w:val="Absatz-Standardschriftar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4616</Words>
  <Characters>29081</Characters>
  <Application>Microsoft Office Word</Application>
  <DocSecurity>0</DocSecurity>
  <Lines>242</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ATL</cp:lastModifiedBy>
  <cp:revision>105</cp:revision>
  <cp:lastPrinted>2020-06-12T02:43:00Z</cp:lastPrinted>
  <dcterms:created xsi:type="dcterms:W3CDTF">2022-10-06T15:28:00Z</dcterms:created>
  <dcterms:modified xsi:type="dcterms:W3CDTF">2022-10-20T08:15:00Z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