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FE1E45" w:rsidRDefault="002D2356" w:rsidP="008071D5">
      <w:pPr>
        <w:pStyle w:val="ListParagraph"/>
        <w:numPr>
          <w:ilvl w:val="0"/>
          <w:numId w:val="15"/>
        </w:numPr>
        <w:ind w:left="425" w:hanging="357"/>
        <w:jc w:val="both"/>
        <w:rPr>
          <w:rFonts w:ascii="Avenir Next" w:hAnsi="Avenir Next" w:cs="Arial"/>
          <w:sz w:val="22"/>
          <w:szCs w:val="22"/>
          <w:highlight w:val="yellow"/>
        </w:rPr>
      </w:pPr>
      <w:r w:rsidRPr="00FE1E45">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FE1E45">
        <w:rPr>
          <w:rFonts w:ascii="Avenir Next" w:hAnsi="Avenir Next" w:cs="Arial"/>
          <w:sz w:val="22"/>
          <w:szCs w:val="22"/>
          <w:highlight w:val="yellow"/>
          <w:vertAlign w:val="superscript"/>
        </w:rPr>
        <w:t>th</w:t>
      </w:r>
      <w:r w:rsidRPr="00FE1E45">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224ED" w:rsidRDefault="002D2356" w:rsidP="008071D5">
      <w:pPr>
        <w:pStyle w:val="ListParagraph"/>
        <w:numPr>
          <w:ilvl w:val="0"/>
          <w:numId w:val="16"/>
        </w:numPr>
        <w:ind w:left="426"/>
        <w:jc w:val="both"/>
        <w:rPr>
          <w:rFonts w:ascii="Avenir Next" w:hAnsi="Avenir Next" w:cs="Arial"/>
          <w:sz w:val="22"/>
          <w:szCs w:val="22"/>
          <w:highlight w:val="yellow"/>
        </w:rPr>
      </w:pPr>
      <w:r w:rsidRPr="00E224ED">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451DA7" w:rsidRDefault="002D2356" w:rsidP="008071D5">
      <w:pPr>
        <w:pStyle w:val="ListParagraph"/>
        <w:numPr>
          <w:ilvl w:val="0"/>
          <w:numId w:val="17"/>
        </w:numPr>
        <w:ind w:left="426"/>
        <w:jc w:val="both"/>
        <w:rPr>
          <w:rFonts w:ascii="Avenir Next" w:hAnsi="Avenir Next" w:cs="Arial"/>
          <w:sz w:val="22"/>
          <w:szCs w:val="22"/>
          <w:highlight w:val="yellow"/>
        </w:rPr>
      </w:pPr>
      <w:r w:rsidRPr="00451DA7">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7561D7" w:rsidRDefault="00466ED6" w:rsidP="008071D5">
      <w:pPr>
        <w:pStyle w:val="ListParagraph"/>
        <w:numPr>
          <w:ilvl w:val="0"/>
          <w:numId w:val="18"/>
        </w:numPr>
        <w:ind w:left="426"/>
        <w:jc w:val="both"/>
        <w:rPr>
          <w:rFonts w:ascii="Avenir Next" w:hAnsi="Avenir Next" w:cs="Arial"/>
          <w:sz w:val="22"/>
          <w:szCs w:val="22"/>
          <w:highlight w:val="yellow"/>
        </w:rPr>
      </w:pPr>
      <w:r w:rsidRPr="007561D7">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A75A1" w:rsidRDefault="002D2356" w:rsidP="008071D5">
      <w:pPr>
        <w:pStyle w:val="ListParagraph"/>
        <w:numPr>
          <w:ilvl w:val="0"/>
          <w:numId w:val="19"/>
        </w:numPr>
        <w:ind w:left="425" w:hanging="357"/>
        <w:jc w:val="both"/>
        <w:rPr>
          <w:rFonts w:ascii="Avenir Next" w:hAnsi="Avenir Next" w:cs="Arial"/>
          <w:sz w:val="22"/>
          <w:szCs w:val="22"/>
          <w:highlight w:val="yellow"/>
        </w:rPr>
      </w:pPr>
      <w:r w:rsidRPr="00AA75A1">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06235A"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06235A">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8E153D"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8E153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8E153D">
        <w:rPr>
          <w:rFonts w:ascii="Avenir Next" w:eastAsiaTheme="minorHAnsi" w:hAnsi="Avenir Next" w:cs="Arial"/>
          <w:sz w:val="22"/>
          <w:szCs w:val="22"/>
          <w:highlight w:val="yellow"/>
          <w:lang w:val="en-GB"/>
        </w:rPr>
        <w:t xml:space="preserve"> </w:t>
      </w:r>
      <w:r w:rsidRPr="008E153D">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CD24EA"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CD24EA">
        <w:rPr>
          <w:rFonts w:ascii="Avenir Next" w:eastAsiaTheme="minorHAnsi" w:hAnsi="Avenir Next" w:cs="Arial"/>
          <w:sz w:val="22"/>
          <w:szCs w:val="22"/>
          <w:lang w:val="en-GB"/>
        </w:rPr>
        <w:t xml:space="preserve">It is private international law </w:t>
      </w:r>
      <w:r w:rsidR="000815BB" w:rsidRPr="00CD24EA">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CD24EA"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CD24EA">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Pr="000949BF" w:rsidRDefault="00F5239B" w:rsidP="008071D5">
      <w:pPr>
        <w:pStyle w:val="ListParagraph"/>
        <w:numPr>
          <w:ilvl w:val="0"/>
          <w:numId w:val="23"/>
        </w:numPr>
        <w:ind w:left="426"/>
        <w:jc w:val="both"/>
        <w:rPr>
          <w:rFonts w:ascii="Avenir Next" w:hAnsi="Avenir Next" w:cs="Arial"/>
          <w:sz w:val="22"/>
          <w:szCs w:val="22"/>
        </w:rPr>
      </w:pPr>
      <w:r w:rsidRPr="000949BF">
        <w:rPr>
          <w:rFonts w:ascii="Avenir Next" w:hAnsi="Avenir Next" w:cs="Arial"/>
          <w:sz w:val="22"/>
          <w:szCs w:val="22"/>
        </w:rPr>
        <w:t xml:space="preserve">This statement is untrue because </w:t>
      </w:r>
      <w:r w:rsidR="008A15DA" w:rsidRPr="000949BF">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0949BF" w:rsidRDefault="00F5239B" w:rsidP="008071D5">
      <w:pPr>
        <w:pStyle w:val="ListParagraph"/>
        <w:numPr>
          <w:ilvl w:val="0"/>
          <w:numId w:val="23"/>
        </w:numPr>
        <w:ind w:left="426"/>
        <w:jc w:val="both"/>
        <w:rPr>
          <w:rFonts w:ascii="Avenir Next" w:hAnsi="Avenir Next" w:cs="Arial"/>
          <w:sz w:val="22"/>
          <w:szCs w:val="22"/>
          <w:highlight w:val="yellow"/>
        </w:rPr>
      </w:pPr>
      <w:r w:rsidRPr="000949BF">
        <w:rPr>
          <w:rFonts w:ascii="Avenir Next" w:hAnsi="Avenir Next" w:cs="Arial"/>
          <w:sz w:val="22"/>
          <w:szCs w:val="22"/>
          <w:highlight w:val="yellow"/>
        </w:rPr>
        <w:t xml:space="preserve">This statement is true because </w:t>
      </w:r>
      <w:r w:rsidR="007B5180" w:rsidRPr="000949BF">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F92E03" w:rsidRDefault="009355DB" w:rsidP="008071D5">
      <w:pPr>
        <w:pStyle w:val="ListParagraph"/>
        <w:numPr>
          <w:ilvl w:val="0"/>
          <w:numId w:val="24"/>
        </w:numPr>
        <w:ind w:left="426"/>
        <w:jc w:val="both"/>
        <w:rPr>
          <w:rFonts w:ascii="Avenir Next" w:hAnsi="Avenir Next" w:cs="Arial"/>
          <w:sz w:val="22"/>
          <w:szCs w:val="22"/>
          <w:highlight w:val="yellow"/>
        </w:rPr>
      </w:pPr>
      <w:r w:rsidRPr="00F92E03">
        <w:rPr>
          <w:rFonts w:ascii="Avenir Next" w:hAnsi="Avenir Next" w:cs="Arial"/>
          <w:sz w:val="22"/>
          <w:szCs w:val="22"/>
          <w:highlight w:val="yellow"/>
        </w:rPr>
        <w:t xml:space="preserve">This statement is true because </w:t>
      </w:r>
      <w:r w:rsidR="005C4FF2" w:rsidRPr="00F92E03">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6ED43E1A" w14:textId="3C48385F" w:rsidR="00280010" w:rsidRDefault="00F50103" w:rsidP="0028001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African countries still largely follow the laws of their respective former colonial masters. </w:t>
      </w:r>
      <w:r w:rsidR="006B5395">
        <w:rPr>
          <w:rFonts w:ascii="Avenir Next" w:hAnsi="Avenir Next" w:cs="Arial"/>
          <w:color w:val="808080" w:themeColor="background1" w:themeShade="80"/>
          <w:sz w:val="22"/>
          <w:szCs w:val="22"/>
          <w:lang w:val="en-GB"/>
        </w:rPr>
        <w:t xml:space="preserve">Therefore, the various insolvency law systems found in African jurisdictions would depend on the identity of each country’s former colonial master. </w:t>
      </w:r>
    </w:p>
    <w:p w14:paraId="66838CE7" w14:textId="77777777" w:rsidR="00280010" w:rsidRDefault="00280010" w:rsidP="00280010">
      <w:pPr>
        <w:ind w:left="720"/>
        <w:jc w:val="both"/>
        <w:rPr>
          <w:rFonts w:ascii="Avenir Next" w:hAnsi="Avenir Next" w:cs="Arial"/>
          <w:color w:val="808080" w:themeColor="background1" w:themeShade="80"/>
          <w:sz w:val="22"/>
          <w:szCs w:val="22"/>
          <w:lang w:val="en-GB"/>
        </w:rPr>
      </w:pPr>
    </w:p>
    <w:p w14:paraId="172A05FA" w14:textId="6438ABA3" w:rsidR="00280010" w:rsidRPr="00AB63DE" w:rsidRDefault="00280010" w:rsidP="0028001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Countries which were colonised by the UK such as Nigeria, </w:t>
      </w:r>
      <w:r w:rsidR="00F60AB1">
        <w:rPr>
          <w:rFonts w:ascii="Avenir Next" w:hAnsi="Avenir Next" w:cs="Arial"/>
          <w:color w:val="808080" w:themeColor="background1" w:themeShade="80"/>
          <w:sz w:val="22"/>
          <w:szCs w:val="22"/>
          <w:lang w:val="en-GB"/>
        </w:rPr>
        <w:t xml:space="preserve">Zambia and Tanzania have an English law tradition. On the other hand, countries such as Angola and Mozambique have a civil law tradition based on Portuguese law. </w:t>
      </w:r>
      <w:r w:rsidR="00245162">
        <w:rPr>
          <w:rFonts w:ascii="Avenir Next" w:hAnsi="Avenir Next" w:cs="Arial"/>
          <w:color w:val="808080" w:themeColor="background1" w:themeShade="80"/>
          <w:sz w:val="22"/>
          <w:szCs w:val="22"/>
          <w:lang w:val="en-GB"/>
        </w:rPr>
        <w:t xml:space="preserve">The Francophone countries of West Africa are steeped in French civil law. There are also countries which have mixed legal systems such as Namibia and South Africa, since both the Roman-Dutch (civil law) and English law have influenced their legal systems.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18B2A85" w:rsidR="00AB63DE" w:rsidRDefault="0053524F" w:rsidP="0045690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C1501">
        <w:rPr>
          <w:rFonts w:ascii="Avenir Next" w:hAnsi="Avenir Next" w:cs="Arial"/>
          <w:color w:val="808080" w:themeColor="background1" w:themeShade="80"/>
          <w:sz w:val="22"/>
          <w:szCs w:val="22"/>
          <w:lang w:val="en-GB"/>
        </w:rPr>
        <w:t>1998 financial crisis in East Asia gave rise to some insolvency law reforms</w:t>
      </w:r>
      <w:r w:rsidR="00DB09A5">
        <w:rPr>
          <w:rFonts w:ascii="Avenir Next" w:hAnsi="Avenir Next" w:cs="Arial"/>
          <w:color w:val="808080" w:themeColor="background1" w:themeShade="80"/>
          <w:sz w:val="22"/>
          <w:szCs w:val="22"/>
          <w:lang w:val="en-GB"/>
        </w:rPr>
        <w:t xml:space="preserve"> in countries affected by the crisis. </w:t>
      </w:r>
    </w:p>
    <w:p w14:paraId="6BFB83DE" w14:textId="77777777" w:rsidR="00456903" w:rsidRDefault="00456903" w:rsidP="00456903">
      <w:pPr>
        <w:ind w:left="720"/>
        <w:jc w:val="both"/>
        <w:rPr>
          <w:rFonts w:ascii="Avenir Next" w:hAnsi="Avenir Next" w:cs="Arial"/>
          <w:color w:val="808080" w:themeColor="background1" w:themeShade="80"/>
          <w:sz w:val="22"/>
          <w:szCs w:val="22"/>
          <w:lang w:val="en-GB"/>
        </w:rPr>
      </w:pPr>
    </w:p>
    <w:p w14:paraId="0B510DE2" w14:textId="2BF372F0" w:rsidR="00456903" w:rsidRDefault="00456903" w:rsidP="0045690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instance, Thailand </w:t>
      </w:r>
      <w:r w:rsidR="00EF477D">
        <w:rPr>
          <w:rFonts w:ascii="Avenir Next" w:hAnsi="Avenir Next" w:cs="Arial"/>
          <w:color w:val="808080" w:themeColor="background1" w:themeShade="80"/>
          <w:sz w:val="22"/>
          <w:szCs w:val="22"/>
          <w:lang w:val="en-GB"/>
        </w:rPr>
        <w:t xml:space="preserve">overhauled in bankruptcy laws in the wake of the 1998 financial crisis. </w:t>
      </w:r>
      <w:r w:rsidR="009929FB">
        <w:rPr>
          <w:rFonts w:ascii="Avenir Next" w:hAnsi="Avenir Next" w:cs="Arial"/>
          <w:color w:val="808080" w:themeColor="background1" w:themeShade="80"/>
          <w:sz w:val="22"/>
          <w:szCs w:val="22"/>
          <w:lang w:val="en-GB"/>
        </w:rPr>
        <w:t>I</w:t>
      </w:r>
      <w:r w:rsidR="00192D85">
        <w:rPr>
          <w:rFonts w:ascii="Avenir Next" w:hAnsi="Avenir Next" w:cs="Arial"/>
          <w:color w:val="808080" w:themeColor="background1" w:themeShade="80"/>
          <w:sz w:val="22"/>
          <w:szCs w:val="22"/>
          <w:lang w:val="en-GB"/>
        </w:rPr>
        <w:t>n 1998, Thailand</w:t>
      </w:r>
      <w:r w:rsidR="009929FB">
        <w:rPr>
          <w:rFonts w:ascii="Avenir Next" w:hAnsi="Avenir Next" w:cs="Arial"/>
          <w:color w:val="808080" w:themeColor="background1" w:themeShade="80"/>
          <w:sz w:val="22"/>
          <w:szCs w:val="22"/>
          <w:lang w:val="en-GB"/>
        </w:rPr>
        <w:t xml:space="preserve"> revamped its </w:t>
      </w:r>
      <w:r w:rsidR="00621263">
        <w:rPr>
          <w:rFonts w:ascii="Avenir Next" w:hAnsi="Avenir Next" w:cs="Arial"/>
          <w:color w:val="808080" w:themeColor="background1" w:themeShade="80"/>
          <w:sz w:val="22"/>
          <w:szCs w:val="22"/>
          <w:lang w:val="en-GB"/>
        </w:rPr>
        <w:t>bankruptcy laws to allow for corporate restructuring similar to the United States’ Chapter 11</w:t>
      </w:r>
      <w:r w:rsidR="00192D85">
        <w:rPr>
          <w:rFonts w:ascii="Avenir Next" w:hAnsi="Avenir Next" w:cs="Arial"/>
          <w:color w:val="808080" w:themeColor="background1" w:themeShade="80"/>
          <w:sz w:val="22"/>
          <w:szCs w:val="22"/>
          <w:lang w:val="en-GB"/>
        </w:rPr>
        <w:t xml:space="preserve">, through an additional section on Corporate Reorganisation </w:t>
      </w:r>
      <w:r w:rsidR="005521EF">
        <w:rPr>
          <w:rFonts w:ascii="Avenir Next" w:hAnsi="Avenir Next" w:cs="Arial"/>
          <w:color w:val="808080" w:themeColor="background1" w:themeShade="80"/>
          <w:sz w:val="22"/>
          <w:szCs w:val="22"/>
          <w:lang w:val="en-GB"/>
        </w:rPr>
        <w:t>under Chapter 3/1 which took effect in 1998</w:t>
      </w:r>
      <w:r w:rsidR="00621263">
        <w:rPr>
          <w:rFonts w:ascii="Avenir Next" w:hAnsi="Avenir Next" w:cs="Arial"/>
          <w:color w:val="808080" w:themeColor="background1" w:themeShade="80"/>
          <w:sz w:val="22"/>
          <w:szCs w:val="22"/>
          <w:lang w:val="en-GB"/>
        </w:rPr>
        <w:t xml:space="preserve">. </w:t>
      </w:r>
      <w:r w:rsidR="00F42FD6">
        <w:rPr>
          <w:rFonts w:ascii="Avenir Next" w:hAnsi="Avenir Next" w:cs="Arial"/>
          <w:color w:val="808080" w:themeColor="background1" w:themeShade="80"/>
          <w:sz w:val="22"/>
          <w:szCs w:val="22"/>
          <w:lang w:val="en-GB"/>
        </w:rPr>
        <w:t xml:space="preserve">Thailand also assigned a bankruptcy court dedicated to bankruptcy and reorganisation cases. </w:t>
      </w:r>
    </w:p>
    <w:p w14:paraId="5C19836E" w14:textId="77777777" w:rsidR="00004632" w:rsidRDefault="00004632" w:rsidP="00456903">
      <w:pPr>
        <w:ind w:left="720"/>
        <w:jc w:val="both"/>
        <w:rPr>
          <w:rFonts w:ascii="Avenir Next" w:hAnsi="Avenir Next" w:cs="Arial"/>
          <w:color w:val="808080" w:themeColor="background1" w:themeShade="80"/>
          <w:sz w:val="22"/>
          <w:szCs w:val="22"/>
          <w:lang w:val="en-GB"/>
        </w:rPr>
      </w:pPr>
    </w:p>
    <w:p w14:paraId="315E6F96" w14:textId="0E72D7C6" w:rsidR="00004632" w:rsidRPr="00AB63DE" w:rsidRDefault="00004632" w:rsidP="0050563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001EEF">
        <w:rPr>
          <w:rFonts w:ascii="Avenir Next" w:hAnsi="Avenir Next" w:cs="Arial"/>
          <w:color w:val="808080" w:themeColor="background1" w:themeShade="80"/>
          <w:sz w:val="22"/>
          <w:szCs w:val="22"/>
          <w:lang w:val="en-GB"/>
        </w:rPr>
        <w:t>Japan, similarly, a new rescue process modelled after the United States’ Chapter 11 was introduced</w:t>
      </w:r>
      <w:r w:rsidR="00C95E31">
        <w:rPr>
          <w:rFonts w:ascii="Avenir Next" w:hAnsi="Avenir Next" w:cs="Arial"/>
          <w:color w:val="808080" w:themeColor="background1" w:themeShade="80"/>
          <w:sz w:val="22"/>
          <w:szCs w:val="22"/>
          <w:lang w:val="en-GB"/>
        </w:rPr>
        <w:t xml:space="preserve">. </w:t>
      </w:r>
      <w:r w:rsidR="0050563B">
        <w:rPr>
          <w:rFonts w:ascii="Avenir Next" w:hAnsi="Avenir Next" w:cs="Arial"/>
          <w:color w:val="808080" w:themeColor="background1" w:themeShade="80"/>
          <w:sz w:val="22"/>
          <w:szCs w:val="22"/>
          <w:lang w:val="en-GB"/>
        </w:rPr>
        <w:t>T</w:t>
      </w:r>
      <w:r w:rsidR="0050563B" w:rsidRPr="0050563B">
        <w:rPr>
          <w:rFonts w:ascii="Avenir Next" w:hAnsi="Avenir Next" w:cs="Arial"/>
          <w:color w:val="808080" w:themeColor="background1" w:themeShade="80"/>
          <w:sz w:val="22"/>
          <w:szCs w:val="22"/>
          <w:lang w:val="en-GB"/>
        </w:rPr>
        <w:t>he civil rehabilitation proceedings</w:t>
      </w:r>
      <w:r w:rsidR="0050563B">
        <w:rPr>
          <w:rFonts w:ascii="Avenir Next" w:hAnsi="Avenir Next" w:cs="Arial"/>
          <w:color w:val="808080" w:themeColor="background1" w:themeShade="80"/>
          <w:sz w:val="22"/>
          <w:szCs w:val="22"/>
          <w:lang w:val="en-GB"/>
        </w:rPr>
        <w:t xml:space="preserve"> </w:t>
      </w:r>
      <w:r w:rsidR="0050563B" w:rsidRPr="0050563B">
        <w:rPr>
          <w:rFonts w:ascii="Avenir Next" w:hAnsi="Avenir Next" w:cs="Arial"/>
          <w:color w:val="808080" w:themeColor="background1" w:themeShade="80"/>
          <w:sz w:val="22"/>
          <w:szCs w:val="22"/>
          <w:lang w:val="en-GB"/>
        </w:rPr>
        <w:t>(</w:t>
      </w:r>
      <w:proofErr w:type="spellStart"/>
      <w:r w:rsidR="0050563B" w:rsidRPr="0050563B">
        <w:rPr>
          <w:rFonts w:ascii="Avenir Next" w:hAnsi="Avenir Next" w:cs="Arial"/>
          <w:i/>
          <w:iCs/>
          <w:color w:val="808080" w:themeColor="background1" w:themeShade="80"/>
          <w:sz w:val="22"/>
          <w:szCs w:val="22"/>
          <w:lang w:val="en-GB"/>
        </w:rPr>
        <w:t>minji</w:t>
      </w:r>
      <w:proofErr w:type="spellEnd"/>
      <w:r w:rsidR="0050563B" w:rsidRPr="0050563B">
        <w:rPr>
          <w:rFonts w:ascii="Avenir Next" w:hAnsi="Avenir Next" w:cs="Arial"/>
          <w:i/>
          <w:iCs/>
          <w:color w:val="808080" w:themeColor="background1" w:themeShade="80"/>
          <w:sz w:val="22"/>
          <w:szCs w:val="22"/>
          <w:lang w:val="en-GB"/>
        </w:rPr>
        <w:t xml:space="preserve"> </w:t>
      </w:r>
      <w:proofErr w:type="spellStart"/>
      <w:r w:rsidR="0050563B" w:rsidRPr="0050563B">
        <w:rPr>
          <w:rFonts w:ascii="Avenir Next" w:hAnsi="Avenir Next" w:cs="Arial"/>
          <w:i/>
          <w:iCs/>
          <w:color w:val="808080" w:themeColor="background1" w:themeShade="80"/>
          <w:sz w:val="22"/>
          <w:szCs w:val="22"/>
          <w:lang w:val="en-GB"/>
        </w:rPr>
        <w:t>saisei</w:t>
      </w:r>
      <w:proofErr w:type="spellEnd"/>
      <w:r w:rsidR="0050563B" w:rsidRPr="0050563B">
        <w:rPr>
          <w:rFonts w:ascii="Avenir Next" w:hAnsi="Avenir Next" w:cs="Arial"/>
          <w:color w:val="808080" w:themeColor="background1" w:themeShade="80"/>
          <w:sz w:val="22"/>
          <w:szCs w:val="22"/>
          <w:lang w:val="en-GB"/>
        </w:rPr>
        <w:t>) pursuant to the Civil Rehabilitation Act</w:t>
      </w:r>
      <w:r w:rsidR="0050563B">
        <w:rPr>
          <w:rFonts w:ascii="Avenir Next" w:hAnsi="Avenir Next" w:cs="Arial"/>
          <w:color w:val="808080" w:themeColor="background1" w:themeShade="80"/>
          <w:sz w:val="22"/>
          <w:szCs w:val="22"/>
          <w:lang w:val="en-GB"/>
        </w:rPr>
        <w:t xml:space="preserve"> </w:t>
      </w:r>
      <w:r w:rsidR="0050563B" w:rsidRPr="0050563B">
        <w:rPr>
          <w:rFonts w:ascii="Avenir Next" w:hAnsi="Avenir Next" w:cs="Arial"/>
          <w:color w:val="808080" w:themeColor="background1" w:themeShade="80"/>
          <w:sz w:val="22"/>
          <w:szCs w:val="22"/>
          <w:lang w:val="en-GB"/>
        </w:rPr>
        <w:t>(Act No 225 of December 22, 1999), and the corporate</w:t>
      </w:r>
      <w:r w:rsidR="0050563B">
        <w:rPr>
          <w:rFonts w:ascii="Avenir Next" w:hAnsi="Avenir Next" w:cs="Arial"/>
          <w:color w:val="808080" w:themeColor="background1" w:themeShade="80"/>
          <w:sz w:val="22"/>
          <w:szCs w:val="22"/>
          <w:lang w:val="en-GB"/>
        </w:rPr>
        <w:t xml:space="preserve"> </w:t>
      </w:r>
      <w:r w:rsidR="0050563B" w:rsidRPr="0050563B">
        <w:rPr>
          <w:rFonts w:ascii="Avenir Next" w:hAnsi="Avenir Next" w:cs="Arial"/>
          <w:color w:val="808080" w:themeColor="background1" w:themeShade="80"/>
          <w:sz w:val="22"/>
          <w:szCs w:val="22"/>
          <w:lang w:val="en-GB"/>
        </w:rPr>
        <w:t>reorganisation proceedings (</w:t>
      </w:r>
      <w:proofErr w:type="spellStart"/>
      <w:r w:rsidR="0050563B" w:rsidRPr="0050563B">
        <w:rPr>
          <w:rFonts w:ascii="Avenir Next" w:hAnsi="Avenir Next" w:cs="Arial"/>
          <w:i/>
          <w:iCs/>
          <w:color w:val="808080" w:themeColor="background1" w:themeShade="80"/>
          <w:sz w:val="22"/>
          <w:szCs w:val="22"/>
          <w:lang w:val="en-GB"/>
        </w:rPr>
        <w:t>kaisha</w:t>
      </w:r>
      <w:proofErr w:type="spellEnd"/>
      <w:r w:rsidR="0050563B" w:rsidRPr="0050563B">
        <w:rPr>
          <w:rFonts w:ascii="Avenir Next" w:hAnsi="Avenir Next" w:cs="Arial"/>
          <w:i/>
          <w:iCs/>
          <w:color w:val="808080" w:themeColor="background1" w:themeShade="80"/>
          <w:sz w:val="22"/>
          <w:szCs w:val="22"/>
          <w:lang w:val="en-GB"/>
        </w:rPr>
        <w:t xml:space="preserve"> </w:t>
      </w:r>
      <w:proofErr w:type="spellStart"/>
      <w:r w:rsidR="0050563B" w:rsidRPr="0050563B">
        <w:rPr>
          <w:rFonts w:ascii="Avenir Next" w:hAnsi="Avenir Next" w:cs="Arial"/>
          <w:i/>
          <w:iCs/>
          <w:color w:val="808080" w:themeColor="background1" w:themeShade="80"/>
          <w:sz w:val="22"/>
          <w:szCs w:val="22"/>
          <w:lang w:val="en-GB"/>
        </w:rPr>
        <w:t>kosei</w:t>
      </w:r>
      <w:proofErr w:type="spellEnd"/>
      <w:r w:rsidR="0050563B" w:rsidRPr="0050563B">
        <w:rPr>
          <w:rFonts w:ascii="Avenir Next" w:hAnsi="Avenir Next" w:cs="Arial"/>
          <w:color w:val="808080" w:themeColor="background1" w:themeShade="80"/>
          <w:sz w:val="22"/>
          <w:szCs w:val="22"/>
          <w:lang w:val="en-GB"/>
        </w:rPr>
        <w:t>) pursuant</w:t>
      </w:r>
      <w:r w:rsidR="0050563B">
        <w:rPr>
          <w:rFonts w:ascii="Avenir Next" w:hAnsi="Avenir Next" w:cs="Arial"/>
          <w:color w:val="808080" w:themeColor="background1" w:themeShade="80"/>
          <w:sz w:val="22"/>
          <w:szCs w:val="22"/>
          <w:lang w:val="en-GB"/>
        </w:rPr>
        <w:t xml:space="preserve"> </w:t>
      </w:r>
      <w:r w:rsidR="0050563B" w:rsidRPr="0050563B">
        <w:rPr>
          <w:rFonts w:ascii="Avenir Next" w:hAnsi="Avenir Next" w:cs="Arial"/>
          <w:color w:val="808080" w:themeColor="background1" w:themeShade="80"/>
          <w:sz w:val="22"/>
          <w:szCs w:val="22"/>
          <w:lang w:val="en-GB"/>
        </w:rPr>
        <w:t>to the Corporate Reorganization Act (Act No 154 of</w:t>
      </w:r>
      <w:r w:rsidR="0050563B">
        <w:rPr>
          <w:rFonts w:ascii="Avenir Next" w:hAnsi="Avenir Next" w:cs="Arial"/>
          <w:color w:val="808080" w:themeColor="background1" w:themeShade="80"/>
          <w:sz w:val="22"/>
          <w:szCs w:val="22"/>
          <w:lang w:val="en-GB"/>
        </w:rPr>
        <w:t xml:space="preserve"> </w:t>
      </w:r>
      <w:r w:rsidR="0050563B" w:rsidRPr="0050563B">
        <w:rPr>
          <w:rFonts w:ascii="Avenir Next" w:hAnsi="Avenir Next" w:cs="Arial"/>
          <w:color w:val="808080" w:themeColor="background1" w:themeShade="80"/>
          <w:sz w:val="22"/>
          <w:szCs w:val="22"/>
          <w:lang w:val="en-GB"/>
        </w:rPr>
        <w:t xml:space="preserve">December 13, 2002), </w:t>
      </w:r>
      <w:r w:rsidR="00FC63FC">
        <w:rPr>
          <w:rFonts w:ascii="Avenir Next" w:hAnsi="Avenir Next" w:cs="Arial"/>
          <w:color w:val="808080" w:themeColor="background1" w:themeShade="80"/>
          <w:sz w:val="22"/>
          <w:szCs w:val="22"/>
          <w:lang w:val="en-GB"/>
        </w:rPr>
        <w:t xml:space="preserve">have the aim of </w:t>
      </w:r>
      <w:r w:rsidR="0050563B" w:rsidRPr="0050563B">
        <w:rPr>
          <w:rFonts w:ascii="Avenir Next" w:hAnsi="Avenir Next" w:cs="Arial"/>
          <w:color w:val="808080" w:themeColor="background1" w:themeShade="80"/>
          <w:sz w:val="22"/>
          <w:szCs w:val="22"/>
          <w:lang w:val="en-GB"/>
        </w:rPr>
        <w:t>rehabilitat</w:t>
      </w:r>
      <w:r w:rsidR="00FC63FC">
        <w:rPr>
          <w:rFonts w:ascii="Avenir Next" w:hAnsi="Avenir Next" w:cs="Arial"/>
          <w:color w:val="808080" w:themeColor="background1" w:themeShade="80"/>
          <w:sz w:val="22"/>
          <w:szCs w:val="22"/>
          <w:lang w:val="en-GB"/>
        </w:rPr>
        <w:t>ing</w:t>
      </w:r>
      <w:r w:rsidR="0050563B" w:rsidRPr="0050563B">
        <w:rPr>
          <w:rFonts w:ascii="Avenir Next" w:hAnsi="Avenir Next" w:cs="Arial"/>
          <w:color w:val="808080" w:themeColor="background1" w:themeShade="80"/>
          <w:sz w:val="22"/>
          <w:szCs w:val="22"/>
          <w:lang w:val="en-GB"/>
        </w:rPr>
        <w:t xml:space="preserve"> and rescu</w:t>
      </w:r>
      <w:r w:rsidR="00FC63FC">
        <w:rPr>
          <w:rFonts w:ascii="Avenir Next" w:hAnsi="Avenir Next" w:cs="Arial"/>
          <w:color w:val="808080" w:themeColor="background1" w:themeShade="80"/>
          <w:sz w:val="22"/>
          <w:szCs w:val="22"/>
          <w:lang w:val="en-GB"/>
        </w:rPr>
        <w:t>ing</w:t>
      </w:r>
      <w:r w:rsidR="0050563B">
        <w:rPr>
          <w:rFonts w:ascii="Avenir Next" w:hAnsi="Avenir Next" w:cs="Arial"/>
          <w:color w:val="808080" w:themeColor="background1" w:themeShade="80"/>
          <w:sz w:val="22"/>
          <w:szCs w:val="22"/>
          <w:lang w:val="en-GB"/>
        </w:rPr>
        <w:t xml:space="preserve"> </w:t>
      </w:r>
      <w:r w:rsidR="0050563B" w:rsidRPr="0050563B">
        <w:rPr>
          <w:rFonts w:ascii="Avenir Next" w:hAnsi="Avenir Next" w:cs="Arial"/>
          <w:color w:val="808080" w:themeColor="background1" w:themeShade="80"/>
          <w:sz w:val="22"/>
          <w:szCs w:val="22"/>
          <w:lang w:val="en-GB"/>
        </w:rPr>
        <w:t>insolvent debtors</w:t>
      </w:r>
      <w:r w:rsidR="00FC63FC">
        <w:rPr>
          <w:rFonts w:ascii="Avenir Next" w:hAnsi="Avenir Next" w:cs="Arial"/>
          <w:color w:val="808080" w:themeColor="background1" w:themeShade="80"/>
          <w:sz w:val="22"/>
          <w:szCs w:val="22"/>
          <w:lang w:val="en-GB"/>
        </w:rPr>
        <w:t xml:space="preserve">, thereby </w:t>
      </w:r>
      <w:r w:rsidR="0050563B" w:rsidRPr="0050563B">
        <w:rPr>
          <w:rFonts w:ascii="Avenir Next" w:hAnsi="Avenir Next" w:cs="Arial"/>
          <w:color w:val="808080" w:themeColor="background1" w:themeShade="80"/>
          <w:sz w:val="22"/>
          <w:szCs w:val="22"/>
          <w:lang w:val="en-GB"/>
        </w:rPr>
        <w:t>preserv</w:t>
      </w:r>
      <w:r w:rsidR="00FC63FC">
        <w:rPr>
          <w:rFonts w:ascii="Avenir Next" w:hAnsi="Avenir Next" w:cs="Arial"/>
          <w:color w:val="808080" w:themeColor="background1" w:themeShade="80"/>
          <w:sz w:val="22"/>
          <w:szCs w:val="22"/>
          <w:lang w:val="en-GB"/>
        </w:rPr>
        <w:t>ing</w:t>
      </w:r>
      <w:r w:rsidR="0050563B" w:rsidRPr="0050563B">
        <w:rPr>
          <w:rFonts w:ascii="Avenir Next" w:hAnsi="Avenir Next" w:cs="Arial"/>
          <w:color w:val="808080" w:themeColor="background1" w:themeShade="80"/>
          <w:sz w:val="22"/>
          <w:szCs w:val="22"/>
          <w:lang w:val="en-GB"/>
        </w:rPr>
        <w:t xml:space="preserve"> their businesses as</w:t>
      </w:r>
      <w:r w:rsidR="0050563B">
        <w:rPr>
          <w:rFonts w:ascii="Avenir Next" w:hAnsi="Avenir Next" w:cs="Arial"/>
          <w:color w:val="808080" w:themeColor="background1" w:themeShade="80"/>
          <w:sz w:val="22"/>
          <w:szCs w:val="22"/>
          <w:lang w:val="en-GB"/>
        </w:rPr>
        <w:t xml:space="preserve"> </w:t>
      </w:r>
      <w:r w:rsidR="0050563B" w:rsidRPr="0050563B">
        <w:rPr>
          <w:rFonts w:ascii="Avenir Next" w:hAnsi="Avenir Next" w:cs="Arial"/>
          <w:color w:val="808080" w:themeColor="background1" w:themeShade="80"/>
          <w:sz w:val="22"/>
          <w:szCs w:val="22"/>
          <w:lang w:val="en-GB"/>
        </w:rPr>
        <w:t>ongoing concerns.</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603DDC1B" w14:textId="35603F35" w:rsidR="009A3585" w:rsidRPr="00D83951" w:rsidRDefault="00262B95" w:rsidP="009A358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North America, the ALI NAFTA Guidelines Applicable to Court-to-Court Communications in Cross-Border cases (2000) was </w:t>
      </w:r>
      <w:r w:rsidR="005A50F9">
        <w:rPr>
          <w:rFonts w:ascii="Avenir Next" w:hAnsi="Avenir Next" w:cs="Arial"/>
          <w:color w:val="808080" w:themeColor="background1" w:themeShade="80"/>
          <w:sz w:val="22"/>
          <w:szCs w:val="22"/>
          <w:lang w:val="en-GB"/>
        </w:rPr>
        <w:t xml:space="preserve">developed by the America Law Institute </w:t>
      </w:r>
      <w:r w:rsidR="00363F29">
        <w:rPr>
          <w:rFonts w:ascii="Avenir Next" w:hAnsi="Avenir Next" w:cs="Arial"/>
          <w:color w:val="808080" w:themeColor="background1" w:themeShade="80"/>
          <w:sz w:val="22"/>
          <w:szCs w:val="22"/>
          <w:lang w:val="en-GB"/>
        </w:rPr>
        <w:t xml:space="preserve">(“ALI”) </w:t>
      </w:r>
      <w:r w:rsidR="005A50F9">
        <w:rPr>
          <w:rFonts w:ascii="Avenir Next" w:hAnsi="Avenir Next" w:cs="Arial"/>
          <w:color w:val="808080" w:themeColor="background1" w:themeShade="80"/>
          <w:sz w:val="22"/>
          <w:szCs w:val="22"/>
          <w:lang w:val="en-GB"/>
        </w:rPr>
        <w:t xml:space="preserve">Transnational Insolvency Project. These guidelines were </w:t>
      </w:r>
      <w:r w:rsidR="00AB590A">
        <w:rPr>
          <w:rFonts w:ascii="Avenir Next" w:hAnsi="Avenir Next" w:cs="Arial"/>
          <w:color w:val="808080" w:themeColor="background1" w:themeShade="80"/>
          <w:sz w:val="22"/>
          <w:szCs w:val="22"/>
          <w:lang w:val="en-GB"/>
        </w:rPr>
        <w:t>intended to be complementary to the Model Law on cross border insolvency,</w:t>
      </w:r>
      <w:r w:rsidR="00523081">
        <w:rPr>
          <w:rFonts w:ascii="Avenir Next" w:hAnsi="Avenir Next" w:cs="Arial"/>
          <w:color w:val="808080" w:themeColor="background1" w:themeShade="80"/>
          <w:sz w:val="22"/>
          <w:szCs w:val="22"/>
          <w:lang w:val="en-GB"/>
        </w:rPr>
        <w:t xml:space="preserve"> and were developed for international insolvencies involving parties from United States of America and Canada. </w:t>
      </w:r>
      <w:r w:rsidR="00D3610B">
        <w:rPr>
          <w:rFonts w:ascii="Avenir Next" w:hAnsi="Avenir Next" w:cs="Arial"/>
          <w:color w:val="808080" w:themeColor="background1" w:themeShade="80"/>
          <w:sz w:val="22"/>
          <w:szCs w:val="22"/>
          <w:lang w:val="en-GB"/>
        </w:rPr>
        <w:t xml:space="preserve">Professor Westbrook was appointed as reporter and advisory groups were formed with experts from the USA, Canada and Mexico. Together, an International Statement on the relevant country’s insolvency law as applicable to international cases was prepared, and the Principles of Cooperation among NAFTA Countries was subsequently prepared and approved by the ALI Council and Members in 2000. This speaks to the success of the ALI NAFTA Guidelines as an initiative. </w:t>
      </w:r>
      <w:r w:rsidR="00D83951">
        <w:rPr>
          <w:rFonts w:ascii="Avenir Next" w:hAnsi="Avenir Next" w:cs="Arial"/>
          <w:color w:val="808080" w:themeColor="background1" w:themeShade="80"/>
          <w:sz w:val="22"/>
          <w:szCs w:val="22"/>
          <w:lang w:val="en-GB"/>
        </w:rPr>
        <w:t xml:space="preserve">However, the NAFTA Principles are limited in that they focus on the insolvency of legal entities engaged in commercial operations, but do not extend to (1) the insolvency of individuals, </w:t>
      </w:r>
      <w:proofErr w:type="spellStart"/>
      <w:r w:rsidR="00D83951">
        <w:rPr>
          <w:rFonts w:ascii="Avenir Next" w:hAnsi="Avenir Next" w:cs="Arial"/>
          <w:i/>
          <w:iCs/>
          <w:color w:val="808080" w:themeColor="background1" w:themeShade="80"/>
          <w:sz w:val="22"/>
          <w:szCs w:val="22"/>
          <w:lang w:val="en-GB"/>
        </w:rPr>
        <w:t>ie</w:t>
      </w:r>
      <w:proofErr w:type="spellEnd"/>
      <w:r w:rsidR="00D83951">
        <w:rPr>
          <w:rFonts w:ascii="Avenir Next" w:hAnsi="Avenir Next" w:cs="Arial"/>
          <w:color w:val="808080" w:themeColor="background1" w:themeShade="80"/>
          <w:sz w:val="22"/>
          <w:szCs w:val="22"/>
          <w:lang w:val="en-GB"/>
        </w:rPr>
        <w:t xml:space="preserve">, natural persons and (2) the insolvency of non-profit organisations and financial institutions. </w:t>
      </w:r>
    </w:p>
    <w:p w14:paraId="1EAD4A82" w14:textId="77777777" w:rsidR="00363F29" w:rsidRDefault="00363F29" w:rsidP="00262B95">
      <w:pPr>
        <w:ind w:left="720"/>
        <w:jc w:val="both"/>
        <w:rPr>
          <w:rFonts w:ascii="Avenir Next" w:hAnsi="Avenir Next" w:cs="Arial"/>
          <w:color w:val="808080" w:themeColor="background1" w:themeShade="80"/>
          <w:sz w:val="22"/>
          <w:szCs w:val="22"/>
          <w:lang w:val="en-GB"/>
        </w:rPr>
      </w:pPr>
    </w:p>
    <w:p w14:paraId="7B11DA15" w14:textId="77777777" w:rsidR="006E49F8" w:rsidRDefault="004D2E64" w:rsidP="004D2E6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Another initiative would the drafting of Guidelines for Communication and Cooperation between Courts in </w:t>
      </w:r>
      <w:r w:rsidR="001D196D">
        <w:rPr>
          <w:rFonts w:ascii="Avenir Next" w:hAnsi="Avenir Next" w:cs="Arial"/>
          <w:color w:val="808080" w:themeColor="background1" w:themeShade="80"/>
          <w:sz w:val="22"/>
          <w:szCs w:val="22"/>
          <w:lang w:val="en-GB"/>
        </w:rPr>
        <w:t xml:space="preserve">Cross-Border Insolvency Matters (JIN Guidelines). The overarching objective </w:t>
      </w:r>
      <w:r w:rsidR="008F0138">
        <w:rPr>
          <w:rFonts w:ascii="Avenir Next" w:hAnsi="Avenir Next" w:cs="Arial"/>
          <w:color w:val="808080" w:themeColor="background1" w:themeShade="80"/>
          <w:sz w:val="22"/>
          <w:szCs w:val="22"/>
          <w:lang w:val="en-GB"/>
        </w:rPr>
        <w:t xml:space="preserve">of the guidelines is to improve the efficiency and effectiveness of parallel proceedings in international insolvencies through the enhancement of coordination and cooperation amongst courts which supervise the conduct of such international proceedings. These guidelines have since been adopted by the courts in, </w:t>
      </w:r>
      <w:r w:rsidR="008F0138">
        <w:rPr>
          <w:rFonts w:ascii="Avenir Next" w:hAnsi="Avenir Next" w:cs="Arial"/>
          <w:i/>
          <w:iCs/>
          <w:color w:val="808080" w:themeColor="background1" w:themeShade="80"/>
          <w:sz w:val="22"/>
          <w:szCs w:val="22"/>
          <w:lang w:val="en-GB"/>
        </w:rPr>
        <w:t>inter alia</w:t>
      </w:r>
      <w:r w:rsidR="008F0138">
        <w:rPr>
          <w:rFonts w:ascii="Avenir Next" w:hAnsi="Avenir Next" w:cs="Arial"/>
          <w:color w:val="808080" w:themeColor="background1" w:themeShade="80"/>
          <w:sz w:val="22"/>
          <w:szCs w:val="22"/>
          <w:lang w:val="en-GB"/>
        </w:rPr>
        <w:t>, the Americas and Canada.</w:t>
      </w:r>
      <w:r w:rsidR="00B92EBB">
        <w:rPr>
          <w:rFonts w:ascii="Avenir Next" w:hAnsi="Avenir Next" w:cs="Arial"/>
          <w:color w:val="808080" w:themeColor="background1" w:themeShade="80"/>
          <w:sz w:val="22"/>
          <w:szCs w:val="22"/>
          <w:lang w:val="en-GB"/>
        </w:rPr>
        <w:t xml:space="preserve"> The JIN Guidelines appears to have been successful, having received the “Most </w:t>
      </w:r>
      <w:r w:rsidR="003650D4">
        <w:rPr>
          <w:rFonts w:ascii="Avenir Next" w:hAnsi="Avenir Next" w:cs="Arial"/>
          <w:color w:val="808080" w:themeColor="background1" w:themeShade="80"/>
          <w:sz w:val="22"/>
          <w:szCs w:val="22"/>
          <w:lang w:val="en-GB"/>
        </w:rPr>
        <w:t xml:space="preserve">Important Overall Development” award presented by the Global Restructuring Review. </w:t>
      </w:r>
    </w:p>
    <w:p w14:paraId="489E4DA6" w14:textId="77777777" w:rsidR="006E49F8" w:rsidRDefault="006E49F8" w:rsidP="004D2E64">
      <w:pPr>
        <w:ind w:left="720"/>
        <w:jc w:val="both"/>
        <w:rPr>
          <w:rFonts w:ascii="Avenir Next" w:hAnsi="Avenir Next" w:cs="Arial"/>
          <w:color w:val="808080" w:themeColor="background1" w:themeShade="80"/>
          <w:sz w:val="22"/>
          <w:szCs w:val="22"/>
          <w:lang w:val="en-GB"/>
        </w:rPr>
      </w:pPr>
    </w:p>
    <w:p w14:paraId="22EB343F" w14:textId="0ADA3E02" w:rsidR="00AB63DE" w:rsidRPr="008F0138" w:rsidRDefault="006E49F8" w:rsidP="004D2E64">
      <w:pPr>
        <w:ind w:left="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In North America, Canada and the USA </w:t>
      </w:r>
      <w:r w:rsidR="009A4BC8">
        <w:rPr>
          <w:rFonts w:ascii="Avenir Next" w:hAnsi="Avenir Next" w:cs="Arial"/>
          <w:color w:val="808080" w:themeColor="background1" w:themeShade="80"/>
          <w:sz w:val="22"/>
          <w:szCs w:val="22"/>
          <w:lang w:val="en-GB"/>
        </w:rPr>
        <w:t xml:space="preserve">have made practical progress through both States’ adoption of the Model Law and mechanisms such as Protocols. There had also been bilateral cooperation and coordination based on existing legislation and long-standing case law on comity. </w:t>
      </w:r>
      <w:r w:rsidR="008F0138">
        <w:rPr>
          <w:rFonts w:ascii="Avenir Next" w:hAnsi="Avenir Next" w:cs="Arial"/>
          <w:color w:val="808080" w:themeColor="background1" w:themeShade="80"/>
          <w:sz w:val="22"/>
          <w:szCs w:val="22"/>
          <w:lang w:val="en-GB"/>
        </w:rPr>
        <w:t xml:space="preserve"> </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3CD2801E" w14:textId="167BB24A" w:rsidR="002C097C" w:rsidRDefault="002D5E9A" w:rsidP="002D5E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differences in the approaches regarding the treatment of voidable dispositions may be attributed to the different manners in which such rules</w:t>
      </w:r>
      <w:r w:rsidR="00CE2446">
        <w:rPr>
          <w:rFonts w:ascii="Avenir Next" w:hAnsi="Avenir Next" w:cs="Arial"/>
          <w:color w:val="808080" w:themeColor="background1" w:themeShade="80"/>
          <w:sz w:val="22"/>
          <w:szCs w:val="22"/>
          <w:lang w:val="en-GB"/>
        </w:rPr>
        <w:t xml:space="preserve"> developed in the context of English law and civil law. </w:t>
      </w:r>
      <w:r w:rsidR="00241CF8">
        <w:rPr>
          <w:rFonts w:ascii="Avenir Next" w:hAnsi="Avenir Next" w:cs="Arial"/>
          <w:color w:val="808080" w:themeColor="background1" w:themeShade="80"/>
          <w:sz w:val="22"/>
          <w:szCs w:val="22"/>
          <w:lang w:val="en-GB"/>
        </w:rPr>
        <w:t xml:space="preserve">In relation to civil law systems, the </w:t>
      </w:r>
      <w:proofErr w:type="spellStart"/>
      <w:r w:rsidR="0071214B">
        <w:rPr>
          <w:rFonts w:ascii="Avenir Next" w:hAnsi="Avenir Next" w:cs="Arial"/>
          <w:i/>
          <w:iCs/>
          <w:color w:val="808080" w:themeColor="background1" w:themeShade="80"/>
          <w:sz w:val="22"/>
          <w:szCs w:val="22"/>
          <w:lang w:val="en-GB"/>
        </w:rPr>
        <w:t>A</w:t>
      </w:r>
      <w:r w:rsidR="00241CF8">
        <w:rPr>
          <w:rFonts w:ascii="Avenir Next" w:hAnsi="Avenir Next" w:cs="Arial"/>
          <w:i/>
          <w:iCs/>
          <w:color w:val="808080" w:themeColor="background1" w:themeShade="80"/>
          <w:sz w:val="22"/>
          <w:szCs w:val="22"/>
          <w:lang w:val="en-GB"/>
        </w:rPr>
        <w:t>ctio</w:t>
      </w:r>
      <w:proofErr w:type="spellEnd"/>
      <w:r w:rsidR="00241CF8">
        <w:rPr>
          <w:rFonts w:ascii="Avenir Next" w:hAnsi="Avenir Next" w:cs="Arial"/>
          <w:i/>
          <w:iCs/>
          <w:color w:val="808080" w:themeColor="background1" w:themeShade="80"/>
          <w:sz w:val="22"/>
          <w:szCs w:val="22"/>
          <w:lang w:val="en-GB"/>
        </w:rPr>
        <w:t xml:space="preserve"> </w:t>
      </w:r>
      <w:proofErr w:type="spellStart"/>
      <w:r w:rsidR="00241CF8">
        <w:rPr>
          <w:rFonts w:ascii="Avenir Next" w:hAnsi="Avenir Next" w:cs="Arial"/>
          <w:i/>
          <w:iCs/>
          <w:color w:val="808080" w:themeColor="background1" w:themeShade="80"/>
          <w:sz w:val="22"/>
          <w:szCs w:val="22"/>
          <w:lang w:val="en-GB"/>
        </w:rPr>
        <w:t>Pauliana</w:t>
      </w:r>
      <w:proofErr w:type="spellEnd"/>
      <w:r w:rsidR="00241CF8">
        <w:rPr>
          <w:rFonts w:ascii="Avenir Next" w:hAnsi="Avenir Next" w:cs="Arial"/>
          <w:color w:val="808080" w:themeColor="background1" w:themeShade="80"/>
          <w:sz w:val="22"/>
          <w:szCs w:val="22"/>
          <w:lang w:val="en-GB"/>
        </w:rPr>
        <w:t xml:space="preserve"> forms the basis of </w:t>
      </w:r>
      <w:r w:rsidR="00DD287A">
        <w:rPr>
          <w:rFonts w:ascii="Avenir Next" w:hAnsi="Avenir Next" w:cs="Arial"/>
          <w:color w:val="808080" w:themeColor="background1" w:themeShade="80"/>
          <w:sz w:val="22"/>
          <w:szCs w:val="22"/>
          <w:lang w:val="en-GB"/>
        </w:rPr>
        <w:t xml:space="preserve">avoiding fraudulent conveyances. </w:t>
      </w:r>
      <w:r w:rsidR="0071214B">
        <w:rPr>
          <w:rFonts w:ascii="Avenir Next" w:hAnsi="Avenir Next" w:cs="Arial"/>
          <w:color w:val="808080" w:themeColor="background1" w:themeShade="80"/>
          <w:sz w:val="22"/>
          <w:szCs w:val="22"/>
          <w:lang w:val="en-GB"/>
        </w:rPr>
        <w:t xml:space="preserve">The </w:t>
      </w:r>
      <w:proofErr w:type="spellStart"/>
      <w:r w:rsidR="0071214B">
        <w:rPr>
          <w:rFonts w:ascii="Avenir Next" w:hAnsi="Avenir Next" w:cs="Arial"/>
          <w:i/>
          <w:iCs/>
          <w:color w:val="808080" w:themeColor="background1" w:themeShade="80"/>
          <w:sz w:val="22"/>
          <w:szCs w:val="22"/>
          <w:lang w:val="en-GB"/>
        </w:rPr>
        <w:t>Actio</w:t>
      </w:r>
      <w:proofErr w:type="spellEnd"/>
      <w:r w:rsidR="0071214B">
        <w:rPr>
          <w:rFonts w:ascii="Avenir Next" w:hAnsi="Avenir Next" w:cs="Arial"/>
          <w:i/>
          <w:iCs/>
          <w:color w:val="808080" w:themeColor="background1" w:themeShade="80"/>
          <w:sz w:val="22"/>
          <w:szCs w:val="22"/>
          <w:lang w:val="en-GB"/>
        </w:rPr>
        <w:t xml:space="preserve"> </w:t>
      </w:r>
      <w:proofErr w:type="spellStart"/>
      <w:r w:rsidR="0071214B">
        <w:rPr>
          <w:rFonts w:ascii="Avenir Next" w:hAnsi="Avenir Next" w:cs="Arial"/>
          <w:i/>
          <w:iCs/>
          <w:color w:val="808080" w:themeColor="background1" w:themeShade="80"/>
          <w:sz w:val="22"/>
          <w:szCs w:val="22"/>
          <w:lang w:val="en-GB"/>
        </w:rPr>
        <w:t>Pauliana</w:t>
      </w:r>
      <w:proofErr w:type="spellEnd"/>
      <w:r w:rsidR="0071214B">
        <w:rPr>
          <w:rFonts w:ascii="Avenir Next" w:hAnsi="Avenir Next" w:cs="Arial"/>
          <w:color w:val="808080" w:themeColor="background1" w:themeShade="80"/>
          <w:sz w:val="22"/>
          <w:szCs w:val="22"/>
          <w:lang w:val="en-GB"/>
        </w:rPr>
        <w:t xml:space="preserve"> is an action in Roman law intended to protect creditors from fraudulent legal transactions, specifically transactions intended to reduce a debtor’s estate by transfers to third party in bad faith.</w:t>
      </w:r>
      <w:r w:rsidR="00826DFF">
        <w:rPr>
          <w:rFonts w:ascii="Avenir Next" w:hAnsi="Avenir Next" w:cs="Arial"/>
          <w:color w:val="808080" w:themeColor="background1" w:themeShade="80"/>
          <w:sz w:val="22"/>
          <w:szCs w:val="22"/>
          <w:lang w:val="en-GB"/>
        </w:rPr>
        <w:t xml:space="preserve"> </w:t>
      </w:r>
      <w:r w:rsidR="00711B7F">
        <w:rPr>
          <w:rFonts w:ascii="Avenir Next" w:hAnsi="Avenir Next" w:cs="Arial"/>
          <w:color w:val="808080" w:themeColor="background1" w:themeShade="80"/>
          <w:sz w:val="22"/>
          <w:szCs w:val="22"/>
          <w:lang w:val="en-GB"/>
        </w:rPr>
        <w:t xml:space="preserve">Thus, </w:t>
      </w:r>
      <w:r w:rsidR="00D2521D">
        <w:rPr>
          <w:rFonts w:ascii="Avenir Next" w:hAnsi="Avenir Next" w:cs="Arial"/>
          <w:color w:val="808080" w:themeColor="background1" w:themeShade="80"/>
          <w:sz w:val="22"/>
          <w:szCs w:val="22"/>
          <w:lang w:val="en-GB"/>
        </w:rPr>
        <w:t xml:space="preserve">there appears to be an emphasis on bad faith or fraud as a requirement where dispositions are sought to be set aside under </w:t>
      </w:r>
      <w:r w:rsidR="00054D26">
        <w:rPr>
          <w:rFonts w:ascii="Avenir Next" w:hAnsi="Avenir Next" w:cs="Arial"/>
          <w:color w:val="808080" w:themeColor="background1" w:themeShade="80"/>
          <w:sz w:val="22"/>
          <w:szCs w:val="22"/>
          <w:lang w:val="en-GB"/>
        </w:rPr>
        <w:t>civil law</w:t>
      </w:r>
      <w:r w:rsidR="00D2521D">
        <w:rPr>
          <w:rFonts w:ascii="Avenir Next" w:hAnsi="Avenir Next" w:cs="Arial"/>
          <w:color w:val="808080" w:themeColor="background1" w:themeShade="80"/>
          <w:sz w:val="22"/>
          <w:szCs w:val="22"/>
          <w:lang w:val="en-GB"/>
        </w:rPr>
        <w:t xml:space="preserve">. </w:t>
      </w:r>
    </w:p>
    <w:p w14:paraId="2BA04F9A" w14:textId="77777777" w:rsidR="002C097C" w:rsidRDefault="002C097C" w:rsidP="002D5E9A">
      <w:pPr>
        <w:ind w:left="720"/>
        <w:jc w:val="both"/>
        <w:rPr>
          <w:rFonts w:ascii="Avenir Next" w:hAnsi="Avenir Next" w:cs="Arial"/>
          <w:color w:val="808080" w:themeColor="background1" w:themeShade="80"/>
          <w:sz w:val="22"/>
          <w:szCs w:val="22"/>
          <w:lang w:val="en-GB"/>
        </w:rPr>
      </w:pPr>
    </w:p>
    <w:p w14:paraId="00D3612E" w14:textId="1CC52118" w:rsidR="0062781A" w:rsidRDefault="00302612" w:rsidP="002D5E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Conversely in English law, the Act of Elizabeth of 1570 is the genesis of the remedy of avoiding dispositions. </w:t>
      </w:r>
      <w:r w:rsidR="003A3A33">
        <w:rPr>
          <w:rFonts w:ascii="Avenir Next" w:hAnsi="Avenir Next" w:cs="Arial"/>
          <w:color w:val="808080" w:themeColor="background1" w:themeShade="80"/>
          <w:sz w:val="22"/>
          <w:szCs w:val="22"/>
          <w:lang w:val="en-GB"/>
        </w:rPr>
        <w:t xml:space="preserve">The Act of Elizabeth </w:t>
      </w:r>
      <w:r w:rsidR="009D140E">
        <w:rPr>
          <w:rFonts w:ascii="Avenir Next" w:hAnsi="Avenir Next" w:cs="Arial"/>
          <w:color w:val="808080" w:themeColor="background1" w:themeShade="80"/>
          <w:sz w:val="22"/>
          <w:szCs w:val="22"/>
          <w:lang w:val="en-GB"/>
        </w:rPr>
        <w:t xml:space="preserve">was designed specifically as a true bankruptcy statute, rather than as a law to prevent fraud. </w:t>
      </w:r>
      <w:r w:rsidR="002C097C">
        <w:rPr>
          <w:rFonts w:ascii="Avenir Next" w:hAnsi="Avenir Next" w:cs="Arial"/>
          <w:color w:val="808080" w:themeColor="background1" w:themeShade="80"/>
          <w:sz w:val="22"/>
          <w:szCs w:val="22"/>
          <w:lang w:val="en-GB"/>
        </w:rPr>
        <w:t>Th</w:t>
      </w:r>
      <w:r w:rsidR="00570EBE">
        <w:rPr>
          <w:rFonts w:ascii="Avenir Next" w:hAnsi="Avenir Next" w:cs="Arial"/>
          <w:color w:val="808080" w:themeColor="background1" w:themeShade="80"/>
          <w:sz w:val="22"/>
          <w:szCs w:val="22"/>
          <w:lang w:val="en-GB"/>
        </w:rPr>
        <w:t xml:space="preserve">us, </w:t>
      </w:r>
      <w:r w:rsidR="00FE0EB5">
        <w:rPr>
          <w:rFonts w:ascii="Avenir Next" w:hAnsi="Avenir Next" w:cs="Arial"/>
          <w:color w:val="808080" w:themeColor="background1" w:themeShade="80"/>
          <w:sz w:val="22"/>
          <w:szCs w:val="22"/>
          <w:lang w:val="en-GB"/>
        </w:rPr>
        <w:t>this explains why</w:t>
      </w:r>
      <w:r w:rsidR="00570EBE">
        <w:rPr>
          <w:rFonts w:ascii="Avenir Next" w:hAnsi="Avenir Next" w:cs="Arial"/>
          <w:color w:val="808080" w:themeColor="background1" w:themeShade="80"/>
          <w:sz w:val="22"/>
          <w:szCs w:val="22"/>
          <w:lang w:val="en-GB"/>
        </w:rPr>
        <w:t xml:space="preserve"> </w:t>
      </w:r>
      <w:r w:rsidR="00A465AF">
        <w:rPr>
          <w:rFonts w:ascii="Avenir Next" w:hAnsi="Avenir Next" w:cs="Arial"/>
          <w:color w:val="808080" w:themeColor="background1" w:themeShade="80"/>
          <w:sz w:val="22"/>
          <w:szCs w:val="22"/>
          <w:lang w:val="en-GB"/>
        </w:rPr>
        <w:t xml:space="preserve">under the common law, there are multiple means of </w:t>
      </w:r>
      <w:r w:rsidR="000970F9">
        <w:rPr>
          <w:rFonts w:ascii="Avenir Next" w:hAnsi="Avenir Next" w:cs="Arial"/>
          <w:color w:val="808080" w:themeColor="background1" w:themeShade="80"/>
          <w:sz w:val="22"/>
          <w:szCs w:val="22"/>
          <w:lang w:val="en-GB"/>
        </w:rPr>
        <w:t xml:space="preserve">setting aside dispositions, not all of which involve fraud. For instance, dispositions may be set aside on the basis of being unfair preferences or undervalue transactions. </w:t>
      </w:r>
    </w:p>
    <w:p w14:paraId="6CE64927" w14:textId="77777777" w:rsidR="0062781A" w:rsidRDefault="0062781A" w:rsidP="002D5E9A">
      <w:pPr>
        <w:ind w:left="720"/>
        <w:jc w:val="both"/>
        <w:rPr>
          <w:rFonts w:ascii="Avenir Next" w:hAnsi="Avenir Next" w:cs="Arial"/>
          <w:color w:val="808080" w:themeColor="background1" w:themeShade="80"/>
          <w:sz w:val="22"/>
          <w:szCs w:val="22"/>
          <w:lang w:val="en-GB"/>
        </w:rPr>
      </w:pPr>
    </w:p>
    <w:p w14:paraId="745926C6" w14:textId="6234DD40" w:rsidR="002B0923" w:rsidRDefault="0062781A" w:rsidP="002D5E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framework for the treatment of</w:t>
      </w:r>
      <w:r w:rsidR="00357FB9">
        <w:rPr>
          <w:rFonts w:ascii="Avenir Next" w:hAnsi="Avenir Next" w:cs="Arial"/>
          <w:color w:val="808080" w:themeColor="background1" w:themeShade="80"/>
          <w:sz w:val="22"/>
          <w:szCs w:val="22"/>
          <w:lang w:val="en-GB"/>
        </w:rPr>
        <w:t xml:space="preserve"> voidable dispositions in insolvency systems may be devised based on the </w:t>
      </w:r>
      <w:r w:rsidR="00357FB9">
        <w:rPr>
          <w:rFonts w:ascii="Avenir Next" w:hAnsi="Avenir Next" w:cs="Arial"/>
          <w:i/>
          <w:iCs/>
          <w:color w:val="808080" w:themeColor="background1" w:themeShade="80"/>
          <w:sz w:val="22"/>
          <w:szCs w:val="22"/>
          <w:lang w:val="en-GB"/>
        </w:rPr>
        <w:t>type</w:t>
      </w:r>
      <w:r w:rsidR="00357FB9">
        <w:rPr>
          <w:rFonts w:ascii="Avenir Next" w:hAnsi="Avenir Next" w:cs="Arial"/>
          <w:color w:val="808080" w:themeColor="background1" w:themeShade="80"/>
          <w:sz w:val="22"/>
          <w:szCs w:val="22"/>
          <w:lang w:val="en-GB"/>
        </w:rPr>
        <w:t xml:space="preserve"> of the dispositions. </w:t>
      </w:r>
      <w:r w:rsidR="00991C34">
        <w:rPr>
          <w:rFonts w:ascii="Avenir Next" w:hAnsi="Avenir Next" w:cs="Arial"/>
          <w:color w:val="808080" w:themeColor="background1" w:themeShade="80"/>
          <w:sz w:val="22"/>
          <w:szCs w:val="22"/>
          <w:lang w:val="en-GB"/>
        </w:rPr>
        <w:t>For instance, the</w:t>
      </w:r>
      <w:r w:rsidR="00420922">
        <w:rPr>
          <w:rFonts w:ascii="Avenir Next" w:hAnsi="Avenir Next" w:cs="Arial"/>
          <w:color w:val="808080" w:themeColor="background1" w:themeShade="80"/>
          <w:sz w:val="22"/>
          <w:szCs w:val="22"/>
          <w:lang w:val="en-GB"/>
        </w:rPr>
        <w:t xml:space="preserve"> requirements for setting aside a transaction </w:t>
      </w:r>
      <w:r w:rsidR="00721904">
        <w:rPr>
          <w:rFonts w:ascii="Avenir Next" w:hAnsi="Avenir Next" w:cs="Arial"/>
          <w:color w:val="808080" w:themeColor="background1" w:themeShade="80"/>
          <w:sz w:val="22"/>
          <w:szCs w:val="22"/>
          <w:lang w:val="en-GB"/>
        </w:rPr>
        <w:t>may</w:t>
      </w:r>
      <w:r w:rsidR="00420922">
        <w:rPr>
          <w:rFonts w:ascii="Avenir Next" w:hAnsi="Avenir Next" w:cs="Arial"/>
          <w:color w:val="808080" w:themeColor="background1" w:themeShade="80"/>
          <w:sz w:val="22"/>
          <w:szCs w:val="22"/>
          <w:lang w:val="en-GB"/>
        </w:rPr>
        <w:t xml:space="preserve"> differ based on whether </w:t>
      </w:r>
      <w:r w:rsidR="00390F5D">
        <w:rPr>
          <w:rFonts w:ascii="Avenir Next" w:hAnsi="Avenir Next" w:cs="Arial"/>
          <w:color w:val="808080" w:themeColor="background1" w:themeShade="80"/>
          <w:sz w:val="22"/>
          <w:szCs w:val="22"/>
          <w:lang w:val="en-GB"/>
        </w:rPr>
        <w:t xml:space="preserve">the transaction was a fraudulent conveyance (disposition of property </w:t>
      </w:r>
      <w:r w:rsidR="00466361">
        <w:rPr>
          <w:rFonts w:ascii="Avenir Next" w:hAnsi="Avenir Next" w:cs="Arial"/>
          <w:color w:val="808080" w:themeColor="background1" w:themeShade="80"/>
          <w:sz w:val="22"/>
          <w:szCs w:val="22"/>
          <w:lang w:val="en-GB"/>
        </w:rPr>
        <w:t xml:space="preserve">in the form of a donation or undervalue transaction </w:t>
      </w:r>
      <w:r w:rsidR="00390F5D">
        <w:rPr>
          <w:rFonts w:ascii="Avenir Next" w:hAnsi="Avenir Next" w:cs="Arial"/>
          <w:color w:val="808080" w:themeColor="background1" w:themeShade="80"/>
          <w:sz w:val="22"/>
          <w:szCs w:val="22"/>
          <w:lang w:val="en-GB"/>
        </w:rPr>
        <w:t>without receiving adequate value in return) or whether it</w:t>
      </w:r>
      <w:r w:rsidR="00420922">
        <w:rPr>
          <w:rFonts w:ascii="Avenir Next" w:hAnsi="Avenir Next" w:cs="Arial"/>
          <w:color w:val="808080" w:themeColor="background1" w:themeShade="80"/>
          <w:sz w:val="22"/>
          <w:szCs w:val="22"/>
          <w:lang w:val="en-GB"/>
        </w:rPr>
        <w:t xml:space="preserve"> was an unfair preference (disposition of property</w:t>
      </w:r>
      <w:r w:rsidR="00285AA7">
        <w:rPr>
          <w:rFonts w:ascii="Avenir Next" w:hAnsi="Avenir Next" w:cs="Arial"/>
          <w:color w:val="808080" w:themeColor="background1" w:themeShade="80"/>
          <w:sz w:val="22"/>
          <w:szCs w:val="22"/>
          <w:lang w:val="en-GB"/>
        </w:rPr>
        <w:t xml:space="preserve"> that causes or increases the debtor’s insolvency</w:t>
      </w:r>
      <w:r w:rsidR="00903CAA">
        <w:rPr>
          <w:rFonts w:ascii="Avenir Next" w:hAnsi="Avenir Next" w:cs="Arial"/>
          <w:color w:val="808080" w:themeColor="background1" w:themeShade="80"/>
          <w:sz w:val="22"/>
          <w:szCs w:val="22"/>
          <w:lang w:val="en-GB"/>
        </w:rPr>
        <w:t xml:space="preserve">, characterised by the settlement of a pre-existing debt to a creditor, or by affording a creditor real security for a pre-existing unsecured debt, thereby improving the creditor’s </w:t>
      </w:r>
      <w:r w:rsidR="002C097C">
        <w:rPr>
          <w:rFonts w:ascii="Avenir Next" w:hAnsi="Avenir Next" w:cs="Arial"/>
          <w:color w:val="808080" w:themeColor="background1" w:themeShade="80"/>
          <w:sz w:val="22"/>
          <w:szCs w:val="22"/>
          <w:lang w:val="en-GB"/>
        </w:rPr>
        <w:t>position</w:t>
      </w:r>
      <w:r w:rsidR="00903CAA">
        <w:rPr>
          <w:rFonts w:ascii="Avenir Next" w:hAnsi="Avenir Next" w:cs="Arial"/>
          <w:color w:val="808080" w:themeColor="background1" w:themeShade="80"/>
          <w:sz w:val="22"/>
          <w:szCs w:val="22"/>
          <w:lang w:val="en-GB"/>
        </w:rPr>
        <w:t xml:space="preserve"> in insolvency</w:t>
      </w:r>
      <w:r w:rsidR="00285AA7">
        <w:rPr>
          <w:rFonts w:ascii="Avenir Next" w:hAnsi="Avenir Next" w:cs="Arial"/>
          <w:color w:val="808080" w:themeColor="background1" w:themeShade="80"/>
          <w:sz w:val="22"/>
          <w:szCs w:val="22"/>
          <w:lang w:val="en-GB"/>
        </w:rPr>
        <w:t>).</w:t>
      </w:r>
      <w:r w:rsidR="00A42C09">
        <w:rPr>
          <w:rFonts w:ascii="Avenir Next" w:hAnsi="Avenir Next" w:cs="Arial"/>
          <w:color w:val="808080" w:themeColor="background1" w:themeShade="80"/>
          <w:sz w:val="22"/>
          <w:szCs w:val="22"/>
          <w:lang w:val="en-GB"/>
        </w:rPr>
        <w:t xml:space="preserve"> However, a common requirement </w:t>
      </w:r>
      <w:r w:rsidR="00A42C09">
        <w:rPr>
          <w:rFonts w:ascii="Avenir Next" w:hAnsi="Avenir Next" w:cs="Arial"/>
          <w:color w:val="808080" w:themeColor="background1" w:themeShade="80"/>
          <w:sz w:val="22"/>
          <w:szCs w:val="22"/>
          <w:lang w:val="en-GB"/>
        </w:rPr>
        <w:lastRenderedPageBreak/>
        <w:t xml:space="preserve">across both could be that the transaction must have occurred at a time when the insolvency of the debtor was imminent, or the insolvency of the debtor was caused by the transaction. </w:t>
      </w:r>
    </w:p>
    <w:p w14:paraId="52B18CE9" w14:textId="77777777" w:rsidR="002B0923" w:rsidRDefault="002B0923" w:rsidP="002D5E9A">
      <w:pPr>
        <w:ind w:left="720"/>
        <w:jc w:val="both"/>
        <w:rPr>
          <w:rFonts w:ascii="Avenir Next" w:hAnsi="Avenir Next" w:cs="Arial"/>
          <w:color w:val="808080" w:themeColor="background1" w:themeShade="80"/>
          <w:sz w:val="22"/>
          <w:szCs w:val="22"/>
          <w:lang w:val="en-GB"/>
        </w:rPr>
      </w:pPr>
    </w:p>
    <w:p w14:paraId="35B579EB" w14:textId="5F223B9E" w:rsidR="0062781A" w:rsidRPr="00AB63DE" w:rsidRDefault="002B0923" w:rsidP="002D5E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rules are important because </w:t>
      </w:r>
      <w:r w:rsidR="008115ED">
        <w:rPr>
          <w:rFonts w:ascii="Avenir Next" w:hAnsi="Avenir Next" w:cs="Arial"/>
          <w:color w:val="808080" w:themeColor="background1" w:themeShade="80"/>
          <w:sz w:val="22"/>
          <w:szCs w:val="22"/>
          <w:lang w:val="en-GB"/>
        </w:rPr>
        <w:t>an important premise of international insolvency law is to establish a collective debt-collecting mechanism</w:t>
      </w:r>
      <w:r w:rsidR="001D44D2">
        <w:rPr>
          <w:rFonts w:ascii="Avenir Next" w:hAnsi="Avenir Next" w:cs="Arial"/>
          <w:color w:val="808080" w:themeColor="background1" w:themeShade="80"/>
          <w:sz w:val="22"/>
          <w:szCs w:val="22"/>
          <w:lang w:val="en-GB"/>
        </w:rPr>
        <w:t xml:space="preserve">, whereby the interests of each creditor are equally and fairly protected. Some debtors may choose to abuse the concept of a moratorium by </w:t>
      </w:r>
      <w:r w:rsidR="00FE536D">
        <w:rPr>
          <w:rFonts w:ascii="Avenir Next" w:hAnsi="Avenir Next" w:cs="Arial"/>
          <w:color w:val="808080" w:themeColor="background1" w:themeShade="80"/>
          <w:sz w:val="22"/>
          <w:szCs w:val="22"/>
          <w:lang w:val="en-GB"/>
        </w:rPr>
        <w:t xml:space="preserve">entering into transactions in anticipation of insolvency, to the prejudice of creditors by depriving such creditors of the debtor’s assets in insolvency proceedings. </w:t>
      </w:r>
      <w:r w:rsidR="00986979">
        <w:rPr>
          <w:rFonts w:ascii="Avenir Next" w:hAnsi="Avenir Next" w:cs="Arial"/>
          <w:color w:val="808080" w:themeColor="background1" w:themeShade="80"/>
          <w:sz w:val="22"/>
          <w:szCs w:val="22"/>
          <w:lang w:val="en-GB"/>
        </w:rPr>
        <w:t>As such, rules pertaining to voidable transactions are essential to prevent</w:t>
      </w:r>
      <w:r w:rsidR="00183693">
        <w:rPr>
          <w:rFonts w:ascii="Avenir Next" w:hAnsi="Avenir Next" w:cs="Arial"/>
          <w:color w:val="808080" w:themeColor="background1" w:themeShade="80"/>
          <w:sz w:val="22"/>
          <w:szCs w:val="22"/>
          <w:lang w:val="en-GB"/>
        </w:rPr>
        <w:t xml:space="preserve">: (1) </w:t>
      </w:r>
      <w:r w:rsidR="00986979">
        <w:rPr>
          <w:rFonts w:ascii="Avenir Next" w:hAnsi="Avenir Next" w:cs="Arial"/>
          <w:color w:val="808080" w:themeColor="background1" w:themeShade="80"/>
          <w:sz w:val="22"/>
          <w:szCs w:val="22"/>
          <w:lang w:val="en-GB"/>
        </w:rPr>
        <w:t>fraud</w:t>
      </w:r>
      <w:r w:rsidR="00183693">
        <w:rPr>
          <w:rFonts w:ascii="Avenir Next" w:hAnsi="Avenir Next" w:cs="Arial"/>
          <w:color w:val="808080" w:themeColor="background1" w:themeShade="80"/>
          <w:sz w:val="22"/>
          <w:szCs w:val="22"/>
          <w:lang w:val="en-GB"/>
        </w:rPr>
        <w:t xml:space="preserve"> (where debtors or directors or debtor companies use such transactions to siphon assets); (2)</w:t>
      </w:r>
      <w:r w:rsidR="00B16AED">
        <w:rPr>
          <w:rFonts w:ascii="Avenir Next" w:hAnsi="Avenir Next" w:cs="Arial"/>
          <w:color w:val="808080" w:themeColor="background1" w:themeShade="80"/>
          <w:sz w:val="22"/>
          <w:szCs w:val="22"/>
          <w:lang w:val="en-GB"/>
        </w:rPr>
        <w:t xml:space="preserve"> preferential treatment of creditors by the debtors</w:t>
      </w:r>
      <w:r w:rsidR="00575B07">
        <w:rPr>
          <w:rFonts w:ascii="Avenir Next" w:hAnsi="Avenir Next" w:cs="Arial"/>
          <w:color w:val="808080" w:themeColor="background1" w:themeShade="80"/>
          <w:sz w:val="22"/>
          <w:szCs w:val="22"/>
          <w:lang w:val="en-GB"/>
        </w:rPr>
        <w:t xml:space="preserve"> (where debtors use transactions to </w:t>
      </w:r>
      <w:r w:rsidR="00821AB6">
        <w:rPr>
          <w:rFonts w:ascii="Avenir Next" w:hAnsi="Avenir Next" w:cs="Arial"/>
          <w:color w:val="808080" w:themeColor="background1" w:themeShade="80"/>
          <w:sz w:val="22"/>
          <w:szCs w:val="22"/>
          <w:lang w:val="en-GB"/>
        </w:rPr>
        <w:t xml:space="preserve">funnel assets to a certain creditor); (3) a sudden loss of value for the business entity </w:t>
      </w:r>
      <w:r w:rsidR="005634B5">
        <w:rPr>
          <w:rFonts w:ascii="Avenir Next" w:hAnsi="Avenir Next" w:cs="Arial"/>
          <w:color w:val="808080" w:themeColor="background1" w:themeShade="80"/>
          <w:sz w:val="22"/>
          <w:szCs w:val="22"/>
          <w:lang w:val="en-GB"/>
        </w:rPr>
        <w:t xml:space="preserve">just before the commencement of insolvency proceedings, to the prejudice of creditors. In some states where the law permits, the existence of voidable disposition rules </w:t>
      </w:r>
      <w:r w:rsidR="00504864">
        <w:rPr>
          <w:rFonts w:ascii="Avenir Next" w:hAnsi="Avenir Next" w:cs="Arial"/>
          <w:color w:val="808080" w:themeColor="background1" w:themeShade="80"/>
          <w:sz w:val="22"/>
          <w:szCs w:val="22"/>
          <w:lang w:val="en-GB"/>
        </w:rPr>
        <w:t xml:space="preserve">allows for the creation of a framework to encourage the out-of-court settlement of debts because creditors are aware that last-minute transactions and seizures of assets are susceptible to being set aside and will be more incentivised to work with debtors to arrive at commercially workable settlements which exclude court intervention.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3F7A273F" w14:textId="199AFBB3" w:rsidR="006E619C" w:rsidRDefault="009447D4" w:rsidP="001F306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definition of international insolvency law is limited </w:t>
      </w:r>
      <w:r w:rsidR="00884C25">
        <w:rPr>
          <w:rFonts w:ascii="Avenir Next" w:hAnsi="Avenir Next" w:cs="Arial"/>
          <w:color w:val="808080" w:themeColor="background1" w:themeShade="80"/>
          <w:sz w:val="22"/>
          <w:szCs w:val="22"/>
          <w:lang w:val="en-GB"/>
        </w:rPr>
        <w:t>as it is connected to the existence of a national legal framework of insolvency law. In other words, this definition presupposes that international insolvency law only</w:t>
      </w:r>
      <w:r w:rsidR="00712BE5">
        <w:rPr>
          <w:rFonts w:ascii="Avenir Next" w:hAnsi="Avenir Next" w:cs="Arial"/>
          <w:color w:val="808080" w:themeColor="background1" w:themeShade="80"/>
          <w:sz w:val="22"/>
          <w:szCs w:val="22"/>
          <w:lang w:val="en-GB"/>
        </w:rPr>
        <w:t xml:space="preserve"> exists alongside a particular nation’s domestic insolvency law, and likely has no independent existence. </w:t>
      </w:r>
      <w:r w:rsidR="001F3062">
        <w:rPr>
          <w:rFonts w:ascii="Avenir Next" w:hAnsi="Avenir Next" w:cs="Arial"/>
          <w:color w:val="808080" w:themeColor="background1" w:themeShade="80"/>
          <w:sz w:val="22"/>
          <w:szCs w:val="22"/>
          <w:lang w:val="en-GB"/>
        </w:rPr>
        <w:t xml:space="preserve">On this view, the operation of international insolvency law must depend, in each case, on the domestic insolvency law of a particular country. </w:t>
      </w:r>
      <w:r w:rsidR="00B16F58">
        <w:rPr>
          <w:rFonts w:ascii="Avenir Next" w:hAnsi="Avenir Next" w:cs="Arial"/>
          <w:color w:val="808080" w:themeColor="background1" w:themeShade="80"/>
          <w:sz w:val="22"/>
          <w:szCs w:val="22"/>
          <w:lang w:val="en-GB"/>
        </w:rPr>
        <w:t xml:space="preserve">This would arguably limit the development of </w:t>
      </w:r>
      <w:r w:rsidR="0005653D">
        <w:rPr>
          <w:rFonts w:ascii="Avenir Next" w:hAnsi="Avenir Next" w:cs="Arial"/>
          <w:color w:val="808080" w:themeColor="background1" w:themeShade="80"/>
          <w:sz w:val="22"/>
          <w:szCs w:val="22"/>
          <w:lang w:val="en-GB"/>
        </w:rPr>
        <w:t xml:space="preserve">international insolvency law as the starting point is that of domestic </w:t>
      </w:r>
      <w:r w:rsidR="003A71A1">
        <w:rPr>
          <w:rFonts w:ascii="Avenir Next" w:hAnsi="Avenir Next" w:cs="Arial"/>
          <w:color w:val="808080" w:themeColor="background1" w:themeShade="80"/>
          <w:sz w:val="22"/>
          <w:szCs w:val="22"/>
          <w:lang w:val="en-GB"/>
        </w:rPr>
        <w:t>insolvency</w:t>
      </w:r>
      <w:r w:rsidR="0005653D">
        <w:rPr>
          <w:rFonts w:ascii="Avenir Next" w:hAnsi="Avenir Next" w:cs="Arial"/>
          <w:color w:val="808080" w:themeColor="background1" w:themeShade="80"/>
          <w:sz w:val="22"/>
          <w:szCs w:val="22"/>
          <w:lang w:val="en-GB"/>
        </w:rPr>
        <w:t xml:space="preserve"> law, which varies across countries. </w:t>
      </w:r>
    </w:p>
    <w:p w14:paraId="5F86D707" w14:textId="77777777" w:rsidR="006E619C" w:rsidRDefault="006E619C" w:rsidP="001F3062">
      <w:pPr>
        <w:ind w:left="720"/>
        <w:jc w:val="both"/>
        <w:rPr>
          <w:rFonts w:ascii="Avenir Next" w:hAnsi="Avenir Next" w:cs="Arial"/>
          <w:color w:val="808080" w:themeColor="background1" w:themeShade="80"/>
          <w:sz w:val="22"/>
          <w:szCs w:val="22"/>
          <w:lang w:val="en-GB"/>
        </w:rPr>
      </w:pPr>
    </w:p>
    <w:p w14:paraId="49E6198D" w14:textId="7F378A92" w:rsidR="001F3062" w:rsidRDefault="001F3062" w:rsidP="001F306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definition proposed by Fletcher exposes this limitation</w:t>
      </w:r>
      <w:r w:rsidR="0036382C">
        <w:rPr>
          <w:rFonts w:ascii="Avenir Next" w:hAnsi="Avenir Next" w:cs="Arial"/>
          <w:color w:val="808080" w:themeColor="background1" w:themeShade="80"/>
          <w:sz w:val="22"/>
          <w:szCs w:val="22"/>
          <w:lang w:val="en-GB"/>
        </w:rPr>
        <w:t>, whereby Fletcher espouses that international insolvency should be considered as a situation in which an insolvency occurs in circumstances which in some way transcend</w:t>
      </w:r>
      <w:r w:rsidR="006E619C">
        <w:rPr>
          <w:rFonts w:ascii="Avenir Next" w:hAnsi="Avenir Next" w:cs="Arial"/>
          <w:color w:val="808080" w:themeColor="background1" w:themeShade="80"/>
          <w:sz w:val="22"/>
          <w:szCs w:val="22"/>
          <w:lang w:val="en-GB"/>
        </w:rPr>
        <w:t xml:space="preserve">s the confines of a single legal system. On this view, the essence of international insolvency law lies in the fact that it is meant to operate across boundaries, and the focus is no longer how international laws must be adapted to a particular country’s domestic legal system. </w:t>
      </w:r>
      <w:r w:rsidR="003A71A1">
        <w:rPr>
          <w:rFonts w:ascii="Avenir Next" w:hAnsi="Avenir Next" w:cs="Arial"/>
          <w:color w:val="808080" w:themeColor="background1" w:themeShade="80"/>
          <w:sz w:val="22"/>
          <w:szCs w:val="22"/>
          <w:lang w:val="en-GB"/>
        </w:rPr>
        <w:t xml:space="preserve">In other words, the starting point would be an immutable set of rules and principles which all countries should adhere to, before suitable adjustments are made for the particular circumstances of each country. Such a definition would arguably be more conducive for the development of international insolvency law. </w:t>
      </w:r>
    </w:p>
    <w:p w14:paraId="7D37F82E" w14:textId="77777777" w:rsidR="00DA2D88" w:rsidRDefault="00DA2D88" w:rsidP="001F3062">
      <w:pPr>
        <w:ind w:left="720"/>
        <w:jc w:val="both"/>
        <w:rPr>
          <w:rFonts w:ascii="Avenir Next" w:hAnsi="Avenir Next" w:cs="Arial"/>
          <w:color w:val="808080" w:themeColor="background1" w:themeShade="80"/>
          <w:sz w:val="22"/>
          <w:szCs w:val="22"/>
          <w:lang w:val="en-GB"/>
        </w:rPr>
      </w:pPr>
    </w:p>
    <w:p w14:paraId="11BE3E00" w14:textId="0B029AA6" w:rsidR="00DA2D88" w:rsidRPr="007377FE" w:rsidRDefault="00DA2D88" w:rsidP="001F306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author’s definition is also limited because it is focused on the idea of immediate and exclusive enforcement. However, that appears to be a view that focuses unduly on a single creditor and how that creditor’s rights may be achieved. Such a definition is incapable of capturing the hallmarks of cooperation and coordination across different jurisdictions that international insolvency law requires. Hence, to overcome this limitation, the definition should not be hinged on whether </w:t>
      </w:r>
      <w:r w:rsidR="007377FE">
        <w:rPr>
          <w:rFonts w:ascii="Avenir Next" w:hAnsi="Avenir Next" w:cs="Arial"/>
          <w:color w:val="808080" w:themeColor="background1" w:themeShade="80"/>
          <w:sz w:val="22"/>
          <w:szCs w:val="22"/>
          <w:lang w:val="en-GB"/>
        </w:rPr>
        <w:t xml:space="preserve">the applicable law may be immediately and exclusively enforced, but on whether the applicable law provides for an equitable and collective distribution of the debtor’s assets across creditors from multiple jurisdictions. </w:t>
      </w:r>
    </w:p>
    <w:p w14:paraId="6FE8E320" w14:textId="77777777" w:rsidR="00461F01" w:rsidRDefault="00461F01" w:rsidP="00692852">
      <w:pPr>
        <w:jc w:val="both"/>
        <w:rPr>
          <w:rFonts w:ascii="Avenir Next" w:hAnsi="Avenir Next" w:cs="Arial"/>
          <w:sz w:val="22"/>
          <w:szCs w:val="22"/>
        </w:rPr>
      </w:pPr>
    </w:p>
    <w:p w14:paraId="33C27E38" w14:textId="77777777" w:rsidR="00461F01" w:rsidRPr="004216EA" w:rsidRDefault="00461F01"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2DED47B8" w14:textId="77777777" w:rsidR="00461F01" w:rsidRDefault="00461F01" w:rsidP="007C456D">
      <w:pPr>
        <w:jc w:val="both"/>
        <w:rPr>
          <w:rFonts w:ascii="Avenir Next" w:hAnsi="Avenir Next" w:cs="Arial"/>
          <w:color w:val="808080" w:themeColor="background1" w:themeShade="80"/>
          <w:sz w:val="22"/>
          <w:szCs w:val="22"/>
          <w:lang w:val="en-GB"/>
        </w:rPr>
      </w:pPr>
    </w:p>
    <w:p w14:paraId="3EBD85FA" w14:textId="1C577DC7" w:rsidR="00A977C9" w:rsidRDefault="00A977C9" w:rsidP="00E90A7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are useful as a source for cross-border insolvency law, only to the extent that member states are willing to ratify them. Treaties and conventions can be bilateral (</w:t>
      </w:r>
      <w:proofErr w:type="spellStart"/>
      <w:r>
        <w:rPr>
          <w:rFonts w:ascii="Avenir Next" w:hAnsi="Avenir Next" w:cs="Arial"/>
          <w:i/>
          <w:iCs/>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between two countries) or multilateral (</w:t>
      </w:r>
      <w:proofErr w:type="spellStart"/>
      <w:r>
        <w:rPr>
          <w:rFonts w:ascii="Avenir Next" w:hAnsi="Avenir Next" w:cs="Arial"/>
          <w:i/>
          <w:iCs/>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between multiple countries). </w:t>
      </w:r>
      <w:r w:rsidR="00286B97">
        <w:rPr>
          <w:rFonts w:ascii="Avenir Next" w:hAnsi="Avenir Next" w:cs="Arial"/>
          <w:color w:val="808080" w:themeColor="background1" w:themeShade="80"/>
          <w:sz w:val="22"/>
          <w:szCs w:val="22"/>
          <w:lang w:val="en-GB"/>
        </w:rPr>
        <w:t xml:space="preserve">When ratified, treaties and conventions are incorporated into a domestic country’s own laws, and thus constitute “hard law” instruments. </w:t>
      </w:r>
    </w:p>
    <w:p w14:paraId="67C74588" w14:textId="77777777" w:rsidR="001D4EFC" w:rsidRDefault="001D4EFC" w:rsidP="00E90A7A">
      <w:pPr>
        <w:ind w:left="720"/>
        <w:jc w:val="both"/>
        <w:rPr>
          <w:rFonts w:ascii="Avenir Next" w:hAnsi="Avenir Next" w:cs="Arial"/>
          <w:color w:val="808080" w:themeColor="background1" w:themeShade="80"/>
          <w:sz w:val="22"/>
          <w:szCs w:val="22"/>
          <w:lang w:val="en-GB"/>
        </w:rPr>
      </w:pPr>
    </w:p>
    <w:p w14:paraId="7F1EFBB2" w14:textId="6CB596FA" w:rsidR="001D4EFC" w:rsidRPr="00A977C9" w:rsidRDefault="001D4EFC" w:rsidP="00E90A7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Europe, for instance, bilateral insolvency conventions arose in the 13</w:t>
      </w:r>
      <w:r w:rsidRPr="001D4EFC">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14</w:t>
      </w:r>
      <w:r w:rsidRPr="001D4EFC">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centuries. These conventions </w:t>
      </w:r>
      <w:r w:rsidR="00D56240">
        <w:rPr>
          <w:rFonts w:ascii="Avenir Next" w:hAnsi="Avenir Next" w:cs="Arial"/>
          <w:color w:val="808080" w:themeColor="background1" w:themeShade="80"/>
          <w:sz w:val="22"/>
          <w:szCs w:val="22"/>
          <w:lang w:val="en-GB"/>
        </w:rPr>
        <w:t xml:space="preserve">addressed absconding debtors and gathering in assets. It appears that treaties can also focus on more specific areas of international insolvency law such as jurisdiction, recognition and enforcement related to bankruptcy, winding up, arrangements and compositions. </w:t>
      </w:r>
    </w:p>
    <w:p w14:paraId="5AFE5C94" w14:textId="77777777" w:rsidR="00A977C9" w:rsidRDefault="00A977C9" w:rsidP="00E90A7A">
      <w:pPr>
        <w:ind w:left="720"/>
        <w:jc w:val="both"/>
        <w:rPr>
          <w:rFonts w:ascii="Avenir Next" w:hAnsi="Avenir Next" w:cs="Arial"/>
          <w:color w:val="808080" w:themeColor="background1" w:themeShade="80"/>
          <w:sz w:val="22"/>
          <w:szCs w:val="22"/>
          <w:lang w:val="en-GB"/>
        </w:rPr>
      </w:pPr>
    </w:p>
    <w:p w14:paraId="6577439A" w14:textId="1E915C30" w:rsidR="009743E8" w:rsidRDefault="00544A64" w:rsidP="00E90A7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461F01">
        <w:rPr>
          <w:rFonts w:ascii="Avenir Next" w:hAnsi="Avenir Next" w:cs="Arial"/>
          <w:color w:val="808080" w:themeColor="background1" w:themeShade="80"/>
          <w:sz w:val="22"/>
          <w:szCs w:val="22"/>
          <w:lang w:val="en-GB"/>
        </w:rPr>
        <w:t xml:space="preserve"> notable </w:t>
      </w:r>
      <w:r w:rsidR="00FC3EFB">
        <w:rPr>
          <w:rFonts w:ascii="Avenir Next" w:hAnsi="Avenir Next" w:cs="Arial"/>
          <w:color w:val="808080" w:themeColor="background1" w:themeShade="80"/>
          <w:sz w:val="22"/>
          <w:szCs w:val="22"/>
          <w:lang w:val="en-GB"/>
        </w:rPr>
        <w:t>convention for</w:t>
      </w:r>
      <w:r w:rsidR="00461F01">
        <w:rPr>
          <w:rFonts w:ascii="Avenir Next" w:hAnsi="Avenir Next" w:cs="Arial"/>
          <w:color w:val="808080" w:themeColor="background1" w:themeShade="80"/>
          <w:sz w:val="22"/>
          <w:szCs w:val="22"/>
          <w:lang w:val="en-GB"/>
        </w:rPr>
        <w:t xml:space="preserve"> cross-border insolvency law </w:t>
      </w:r>
      <w:r>
        <w:rPr>
          <w:rFonts w:ascii="Avenir Next" w:hAnsi="Avenir Next" w:cs="Arial"/>
          <w:color w:val="808080" w:themeColor="background1" w:themeShade="80"/>
          <w:sz w:val="22"/>
          <w:szCs w:val="22"/>
          <w:lang w:val="en-GB"/>
        </w:rPr>
        <w:t xml:space="preserve">would be the Convention on Certain International Aspects of Bankruptcy known as the Istanbul Convention, Council of Europe Treaty Series No 136. However, the success of this convention was limited. Only 8 members signed convention, and </w:t>
      </w:r>
      <w:r w:rsidR="00C55F94">
        <w:rPr>
          <w:rFonts w:ascii="Avenir Next" w:hAnsi="Avenir Next" w:cs="Arial"/>
          <w:color w:val="808080" w:themeColor="background1" w:themeShade="80"/>
          <w:sz w:val="22"/>
          <w:szCs w:val="22"/>
          <w:lang w:val="en-GB"/>
        </w:rPr>
        <w:t>it was not ratified by sufficient members for it to enter into force. However, it was arguably successful in influencing the development of a European Union response to the problems of international insolvencies among its member states, which eventually led to the European Insolvency Regulation (EIR) (2000)</w:t>
      </w:r>
      <w:r w:rsidR="00D16797">
        <w:rPr>
          <w:rFonts w:ascii="Avenir Next" w:hAnsi="Avenir Next" w:cs="Arial"/>
          <w:color w:val="808080" w:themeColor="background1" w:themeShade="80"/>
          <w:sz w:val="22"/>
          <w:szCs w:val="22"/>
          <w:lang w:val="en-GB"/>
        </w:rPr>
        <w:t xml:space="preserve">, and now the EIR Recase. </w:t>
      </w:r>
    </w:p>
    <w:p w14:paraId="0426DAAA" w14:textId="77777777" w:rsidR="009743E8" w:rsidRDefault="009743E8" w:rsidP="00E90A7A">
      <w:pPr>
        <w:ind w:left="720"/>
        <w:jc w:val="both"/>
        <w:rPr>
          <w:rFonts w:ascii="Avenir Next" w:hAnsi="Avenir Next" w:cs="Arial"/>
          <w:color w:val="808080" w:themeColor="background1" w:themeShade="80"/>
          <w:sz w:val="22"/>
          <w:szCs w:val="22"/>
          <w:lang w:val="en-GB"/>
        </w:rPr>
      </w:pPr>
    </w:p>
    <w:p w14:paraId="54E42A90" w14:textId="712E4F9D" w:rsidR="00BE0C3C" w:rsidRDefault="00BE0C3C" w:rsidP="00E90A7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notable source of cross-border insolvency law </w:t>
      </w:r>
      <w:r w:rsidR="00E90A7A">
        <w:rPr>
          <w:rFonts w:ascii="Avenir Next" w:hAnsi="Avenir Next" w:cs="Arial"/>
          <w:color w:val="808080" w:themeColor="background1" w:themeShade="80"/>
          <w:sz w:val="22"/>
          <w:szCs w:val="22"/>
          <w:lang w:val="en-GB"/>
        </w:rPr>
        <w:t>as a multi-lateral treaty would be the Nordic Convention (1933)</w:t>
      </w:r>
      <w:r w:rsidR="00D56240">
        <w:rPr>
          <w:rFonts w:ascii="Avenir Next" w:hAnsi="Avenir Next" w:cs="Arial"/>
          <w:color w:val="808080" w:themeColor="background1" w:themeShade="80"/>
          <w:sz w:val="22"/>
          <w:szCs w:val="22"/>
          <w:lang w:val="en-GB"/>
        </w:rPr>
        <w:t xml:space="preserve">, which was relatively more successful as it was </w:t>
      </w:r>
      <w:r w:rsidR="0047457A">
        <w:rPr>
          <w:rFonts w:ascii="Avenir Next" w:hAnsi="Avenir Next" w:cs="Arial"/>
          <w:color w:val="808080" w:themeColor="background1" w:themeShade="80"/>
          <w:sz w:val="22"/>
          <w:szCs w:val="22"/>
          <w:lang w:val="en-GB"/>
        </w:rPr>
        <w:t xml:space="preserve">ratified by Denmark, Finland, Iceland and Sweden, and was passed successfully. </w:t>
      </w:r>
    </w:p>
    <w:p w14:paraId="26022DC9" w14:textId="77777777" w:rsidR="00E90A7A" w:rsidRDefault="00E90A7A" w:rsidP="00E90A7A">
      <w:pPr>
        <w:ind w:left="720"/>
        <w:jc w:val="both"/>
        <w:rPr>
          <w:rFonts w:ascii="Avenir Next" w:hAnsi="Avenir Next" w:cs="Arial"/>
          <w:color w:val="808080" w:themeColor="background1" w:themeShade="80"/>
          <w:sz w:val="22"/>
          <w:szCs w:val="22"/>
          <w:lang w:val="en-GB"/>
        </w:rPr>
      </w:pPr>
    </w:p>
    <w:p w14:paraId="110938DC" w14:textId="6D1606DA" w:rsidR="007C456D" w:rsidRDefault="00E90A7A" w:rsidP="00314D8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whole, it is argued that </w:t>
      </w:r>
      <w:r w:rsidR="0070182A">
        <w:rPr>
          <w:rFonts w:ascii="Avenir Next" w:hAnsi="Avenir Next" w:cs="Arial"/>
          <w:color w:val="808080" w:themeColor="background1" w:themeShade="80"/>
          <w:sz w:val="22"/>
          <w:szCs w:val="22"/>
          <w:lang w:val="en-GB"/>
        </w:rPr>
        <w:t xml:space="preserve">treaties and conventions are not </w:t>
      </w:r>
      <w:r w:rsidR="00FC3EFB">
        <w:rPr>
          <w:rFonts w:ascii="Avenir Next" w:hAnsi="Avenir Next" w:cs="Arial"/>
          <w:color w:val="808080" w:themeColor="background1" w:themeShade="80"/>
          <w:sz w:val="22"/>
          <w:szCs w:val="22"/>
          <w:lang w:val="en-GB"/>
        </w:rPr>
        <w:t>relatively</w:t>
      </w:r>
      <w:r w:rsidR="0070182A">
        <w:rPr>
          <w:rFonts w:ascii="Avenir Next" w:hAnsi="Avenir Next" w:cs="Arial"/>
          <w:color w:val="808080" w:themeColor="background1" w:themeShade="80"/>
          <w:sz w:val="22"/>
          <w:szCs w:val="22"/>
          <w:lang w:val="en-GB"/>
        </w:rPr>
        <w:t xml:space="preserve"> a successful way of establishing </w:t>
      </w:r>
      <w:r w:rsidR="00314D81">
        <w:rPr>
          <w:rFonts w:ascii="Avenir Next" w:hAnsi="Avenir Next" w:cs="Arial"/>
          <w:color w:val="808080" w:themeColor="background1" w:themeShade="80"/>
          <w:sz w:val="22"/>
          <w:szCs w:val="22"/>
          <w:lang w:val="en-GB"/>
        </w:rPr>
        <w:t>cross-border insolvency law rules. A possible reason could be that countries might be reluctant to be bound to hard-law instruments such as treaties and conventions and would rather not ratify it. A more successful means of establishing international insolvency law rules would be soft law instruments, such as t</w:t>
      </w:r>
      <w:r w:rsidR="007C456D">
        <w:rPr>
          <w:rFonts w:ascii="Avenir Next" w:hAnsi="Avenir Next" w:cs="Arial"/>
          <w:color w:val="808080" w:themeColor="background1" w:themeShade="80"/>
          <w:sz w:val="22"/>
          <w:szCs w:val="22"/>
          <w:lang w:val="en-GB"/>
        </w:rPr>
        <w:t>he UNCITRAL Model Law on Cross-Border Insolvency.</w:t>
      </w:r>
      <w:r w:rsidR="007D1C68">
        <w:rPr>
          <w:rFonts w:ascii="Avenir Next" w:hAnsi="Avenir Next" w:cs="Arial"/>
          <w:color w:val="808080" w:themeColor="background1" w:themeShade="80"/>
          <w:sz w:val="22"/>
          <w:szCs w:val="22"/>
          <w:lang w:val="en-GB"/>
        </w:rPr>
        <w:t xml:space="preserve"> Countries might be more open to adopting such soft law instruments which do not carry with them, for instance, the risk of sanctions should they breach any treaty or conventions. Such soft-law instruments would gradually bring international insolvency rules </w:t>
      </w:r>
      <w:r w:rsidR="00FA76AE">
        <w:rPr>
          <w:rFonts w:ascii="Avenir Next" w:hAnsi="Avenir Next" w:cs="Arial"/>
          <w:color w:val="808080" w:themeColor="background1" w:themeShade="80"/>
          <w:sz w:val="22"/>
          <w:szCs w:val="22"/>
          <w:lang w:val="en-GB"/>
        </w:rPr>
        <w:t xml:space="preserve">in various countries closer together. </w:t>
      </w:r>
      <w:r w:rsidR="007C456D">
        <w:rPr>
          <w:rFonts w:ascii="Avenir Next" w:hAnsi="Avenir Next" w:cs="Arial"/>
          <w:color w:val="808080" w:themeColor="background1" w:themeShade="80"/>
          <w:sz w:val="22"/>
          <w:szCs w:val="22"/>
          <w:lang w:val="en-GB"/>
        </w:rPr>
        <w:t xml:space="preserve"> </w:t>
      </w:r>
    </w:p>
    <w:p w14:paraId="008F35A2" w14:textId="77777777" w:rsidR="007C456D" w:rsidRPr="007C456D" w:rsidRDefault="007C456D" w:rsidP="00692852">
      <w:pPr>
        <w:jc w:val="both"/>
        <w:rPr>
          <w:rFonts w:ascii="Avenir Next" w:hAnsi="Avenir Next"/>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0B3E12ED" w:rsidR="001E1C34" w:rsidRDefault="0050652C" w:rsidP="00C232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refer to proceedings which are commenced under the insolvency law and governed </w:t>
      </w:r>
      <w:r w:rsidR="00C23229">
        <w:rPr>
          <w:rFonts w:ascii="Avenir Next" w:hAnsi="Avenir Next" w:cs="Arial"/>
          <w:color w:val="808080" w:themeColor="background1" w:themeShade="80"/>
          <w:sz w:val="22"/>
          <w:szCs w:val="22"/>
          <w:lang w:val="en-GB"/>
        </w:rPr>
        <w:t xml:space="preserve">by such law. They include both liquidation and reorganisation or rescue proceedings. </w:t>
      </w:r>
    </w:p>
    <w:p w14:paraId="3B5AD91B" w14:textId="77777777" w:rsidR="00C23229" w:rsidRDefault="00C23229" w:rsidP="00C23229">
      <w:pPr>
        <w:ind w:left="720"/>
        <w:jc w:val="both"/>
        <w:rPr>
          <w:rFonts w:ascii="Avenir Next" w:hAnsi="Avenir Next" w:cs="Arial"/>
          <w:color w:val="808080" w:themeColor="background1" w:themeShade="80"/>
          <w:sz w:val="22"/>
          <w:szCs w:val="22"/>
          <w:lang w:val="en-GB"/>
        </w:rPr>
      </w:pPr>
    </w:p>
    <w:p w14:paraId="056308E5" w14:textId="0411B611" w:rsidR="00C23229" w:rsidRDefault="00C23229" w:rsidP="00C232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Conversely, </w:t>
      </w:r>
      <w:r w:rsidR="00B6663D">
        <w:rPr>
          <w:rFonts w:ascii="Avenir Next" w:hAnsi="Avenir Next" w:cs="Arial"/>
          <w:color w:val="808080" w:themeColor="background1" w:themeShade="80"/>
          <w:sz w:val="22"/>
          <w:szCs w:val="22"/>
          <w:lang w:val="en-GB"/>
        </w:rPr>
        <w:t xml:space="preserve">informal insolvency arrangements generally entail voluntary negotiations between debtor and creditor(s). </w:t>
      </w:r>
      <w:r w:rsidR="00517C5A">
        <w:rPr>
          <w:rFonts w:ascii="Avenir Next" w:hAnsi="Avenir Next" w:cs="Arial"/>
          <w:color w:val="808080" w:themeColor="background1" w:themeShade="80"/>
          <w:sz w:val="22"/>
          <w:szCs w:val="22"/>
          <w:lang w:val="en-GB"/>
        </w:rPr>
        <w:t>These types of negotiations are commonly developed through the banking and commercial sectors and typically provide for some form of restructuring of the insolvent debtor. While not regulated by insolvency law, voluntary negotiations nevertheless depend on the existence of an insolvency law to facilitate such negotiations, by providing incentives or persuasive force to achieve reorganisation (</w:t>
      </w:r>
      <w:proofErr w:type="spellStart"/>
      <w:r w:rsidR="00517C5A">
        <w:rPr>
          <w:rFonts w:ascii="Avenir Next" w:hAnsi="Avenir Next" w:cs="Arial"/>
          <w:i/>
          <w:iCs/>
          <w:color w:val="808080" w:themeColor="background1" w:themeShade="80"/>
          <w:sz w:val="22"/>
          <w:szCs w:val="22"/>
          <w:lang w:val="en-GB"/>
        </w:rPr>
        <w:t>eg</w:t>
      </w:r>
      <w:proofErr w:type="spellEnd"/>
      <w:r w:rsidR="00517C5A">
        <w:rPr>
          <w:rFonts w:ascii="Avenir Next" w:hAnsi="Avenir Next" w:cs="Arial"/>
          <w:color w:val="808080" w:themeColor="background1" w:themeShade="80"/>
          <w:sz w:val="22"/>
          <w:szCs w:val="22"/>
          <w:lang w:val="en-GB"/>
        </w:rPr>
        <w:t xml:space="preserve">, the fear of winding up under insolvency law would compel debtor companies to enter into restructuring arrangements contractually). </w:t>
      </w:r>
    </w:p>
    <w:p w14:paraId="216D8FFC" w14:textId="77777777" w:rsidR="00CA035D" w:rsidRDefault="00CA035D" w:rsidP="00C23229">
      <w:pPr>
        <w:ind w:left="720"/>
        <w:jc w:val="both"/>
        <w:rPr>
          <w:rFonts w:ascii="Avenir Next" w:hAnsi="Avenir Next" w:cs="Arial"/>
          <w:color w:val="808080" w:themeColor="background1" w:themeShade="80"/>
          <w:sz w:val="22"/>
          <w:szCs w:val="22"/>
          <w:lang w:val="en-GB"/>
        </w:rPr>
      </w:pPr>
    </w:p>
    <w:p w14:paraId="50512F90" w14:textId="774E516D" w:rsidR="00CA035D" w:rsidRDefault="00CA035D" w:rsidP="00C232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A17146">
        <w:rPr>
          <w:rFonts w:ascii="Avenir Next" w:hAnsi="Avenir Next" w:cs="Arial"/>
          <w:color w:val="808080" w:themeColor="background1" w:themeShade="80"/>
          <w:sz w:val="22"/>
          <w:szCs w:val="22"/>
          <w:lang w:val="en-GB"/>
        </w:rPr>
        <w:t>re are several key advantages that Lobo should consider in pursuing out-of-court workout arrangements with FPPL, compared to formal debt recovery options</w:t>
      </w:r>
      <w:r w:rsidR="00363F0D">
        <w:rPr>
          <w:rFonts w:ascii="Avenir Next" w:hAnsi="Avenir Next" w:cs="Arial"/>
          <w:color w:val="808080" w:themeColor="background1" w:themeShade="80"/>
          <w:sz w:val="22"/>
          <w:szCs w:val="22"/>
          <w:lang w:val="en-GB"/>
        </w:rPr>
        <w:t xml:space="preserve">: </w:t>
      </w:r>
    </w:p>
    <w:p w14:paraId="3CB084BD" w14:textId="34CAB274" w:rsidR="00363F0D" w:rsidRDefault="00363F0D" w:rsidP="00363F0D">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as FPPL </w:t>
      </w:r>
      <w:r w:rsidR="009D3FCE">
        <w:rPr>
          <w:rFonts w:ascii="Avenir Next" w:hAnsi="Avenir Next" w:cs="Arial"/>
          <w:color w:val="808080" w:themeColor="background1" w:themeShade="80"/>
          <w:sz w:val="22"/>
          <w:szCs w:val="22"/>
          <w:lang w:val="en-GB"/>
        </w:rPr>
        <w:t xml:space="preserve">is struggling financially in Asgard, Lobo might not recover much even if it pursues </w:t>
      </w:r>
      <w:r w:rsidR="00AE3321">
        <w:rPr>
          <w:rFonts w:ascii="Avenir Next" w:hAnsi="Avenir Next" w:cs="Arial"/>
          <w:color w:val="808080" w:themeColor="background1" w:themeShade="80"/>
          <w:sz w:val="22"/>
          <w:szCs w:val="22"/>
          <w:lang w:val="en-GB"/>
        </w:rPr>
        <w:t xml:space="preserve">formal debt recovery options in Asgard. In addition, </w:t>
      </w:r>
      <w:r w:rsidR="008A1962">
        <w:rPr>
          <w:rFonts w:ascii="Avenir Next" w:hAnsi="Avenir Next" w:cs="Arial"/>
          <w:color w:val="808080" w:themeColor="background1" w:themeShade="80"/>
          <w:sz w:val="22"/>
          <w:szCs w:val="22"/>
          <w:lang w:val="en-GB"/>
        </w:rPr>
        <w:t>FPPL operates as a foreign company in Asgard and it is unclear what debt recovery options are available to FPPL as a creditor</w:t>
      </w:r>
      <w:r w:rsidR="00CA1AE4">
        <w:rPr>
          <w:rFonts w:ascii="Avenir Next" w:hAnsi="Avenir Next" w:cs="Arial"/>
          <w:color w:val="808080" w:themeColor="background1" w:themeShade="80"/>
          <w:sz w:val="22"/>
          <w:szCs w:val="22"/>
          <w:lang w:val="en-GB"/>
        </w:rPr>
        <w:t xml:space="preserve"> of a foreign company</w:t>
      </w:r>
      <w:r w:rsidR="00D90643">
        <w:rPr>
          <w:rFonts w:ascii="Avenir Next" w:hAnsi="Avenir Next" w:cs="Arial"/>
          <w:color w:val="808080" w:themeColor="background1" w:themeShade="80"/>
          <w:sz w:val="22"/>
          <w:szCs w:val="22"/>
          <w:lang w:val="en-GB"/>
        </w:rPr>
        <w:t xml:space="preserve"> under Asgard insolvency law. </w:t>
      </w:r>
      <w:r w:rsidR="00A21757">
        <w:rPr>
          <w:rFonts w:ascii="Avenir Next" w:hAnsi="Avenir Next" w:cs="Arial"/>
          <w:color w:val="808080" w:themeColor="background1" w:themeShade="80"/>
          <w:sz w:val="22"/>
          <w:szCs w:val="22"/>
          <w:lang w:val="en-GB"/>
        </w:rPr>
        <w:t xml:space="preserve">Conversely, an out-of-court workout arrangement would give </w:t>
      </w:r>
      <w:r w:rsidR="00943EE0">
        <w:rPr>
          <w:rFonts w:ascii="Avenir Next" w:hAnsi="Avenir Next" w:cs="Arial"/>
          <w:color w:val="808080" w:themeColor="background1" w:themeShade="80"/>
          <w:sz w:val="22"/>
          <w:szCs w:val="22"/>
          <w:lang w:val="en-GB"/>
        </w:rPr>
        <w:t>Lobo</w:t>
      </w:r>
      <w:r w:rsidR="00A21757">
        <w:rPr>
          <w:rFonts w:ascii="Avenir Next" w:hAnsi="Avenir Next" w:cs="Arial"/>
          <w:color w:val="808080" w:themeColor="background1" w:themeShade="80"/>
          <w:sz w:val="22"/>
          <w:szCs w:val="22"/>
          <w:lang w:val="en-GB"/>
        </w:rPr>
        <w:t xml:space="preserve"> more flexibility</w:t>
      </w:r>
      <w:r w:rsidR="00943EE0">
        <w:rPr>
          <w:rFonts w:ascii="Avenir Next" w:hAnsi="Avenir Next" w:cs="Arial"/>
          <w:color w:val="808080" w:themeColor="background1" w:themeShade="80"/>
          <w:sz w:val="22"/>
          <w:szCs w:val="22"/>
          <w:lang w:val="en-GB"/>
        </w:rPr>
        <w:t xml:space="preserve"> to come to a commercially sensible and amicable solution with FPPL. </w:t>
      </w:r>
    </w:p>
    <w:p w14:paraId="104BFE13" w14:textId="1301FC24" w:rsidR="00D90643" w:rsidRDefault="00943EE0" w:rsidP="00C177C7">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w:t>
      </w:r>
      <w:r w:rsidR="00367F47">
        <w:rPr>
          <w:rFonts w:ascii="Avenir Next" w:hAnsi="Avenir Next" w:cs="Arial"/>
          <w:color w:val="808080" w:themeColor="background1" w:themeShade="80"/>
          <w:sz w:val="22"/>
          <w:szCs w:val="22"/>
          <w:lang w:val="en-GB"/>
        </w:rPr>
        <w:t xml:space="preserve">Lobo commence formal debt recovery proceedings against FPPL, and FPPL becomes insolvent, it would go into liquidation. The distribution of FPPL’s assets would then follow </w:t>
      </w:r>
      <w:r w:rsidR="00BA2753">
        <w:rPr>
          <w:rFonts w:ascii="Avenir Next" w:hAnsi="Avenir Next" w:cs="Arial"/>
          <w:color w:val="808080" w:themeColor="background1" w:themeShade="80"/>
          <w:sz w:val="22"/>
          <w:szCs w:val="22"/>
          <w:lang w:val="en-GB"/>
        </w:rPr>
        <w:t xml:space="preserve">the order prescribed by law. This would disadvantage Lobo if Lobo is an unsecured creditor. Assuming that FPPL may make arrangements without falling afoul of any unfair preference or undervalue transaction laws, an informal workout arrangement may allow Lobo to recover more money by allowing FPPL to restructure and recover. </w:t>
      </w:r>
    </w:p>
    <w:p w14:paraId="0BD65F9C" w14:textId="77777777" w:rsidR="00C177C7" w:rsidRDefault="00C177C7" w:rsidP="00C177C7">
      <w:pPr>
        <w:jc w:val="both"/>
        <w:rPr>
          <w:rFonts w:ascii="Avenir Next" w:hAnsi="Avenir Next" w:cs="Arial"/>
          <w:color w:val="808080" w:themeColor="background1" w:themeShade="80"/>
          <w:sz w:val="22"/>
          <w:szCs w:val="22"/>
          <w:lang w:val="en-GB"/>
        </w:rPr>
      </w:pPr>
    </w:p>
    <w:p w14:paraId="5632F05D" w14:textId="44B117F2" w:rsidR="00C177C7" w:rsidRPr="00C177C7" w:rsidRDefault="00C177C7" w:rsidP="00C177C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However, the key disadvantages of an out-of-court workout arrangement is the lack of security. </w:t>
      </w:r>
      <w:r w:rsidR="00ED2265">
        <w:rPr>
          <w:rFonts w:ascii="Avenir Next" w:hAnsi="Avenir Next" w:cs="Arial"/>
          <w:color w:val="808080" w:themeColor="background1" w:themeShade="80"/>
          <w:sz w:val="22"/>
          <w:szCs w:val="22"/>
          <w:lang w:val="en-GB"/>
        </w:rPr>
        <w:t>In an informal out of court arrangement, there may be no accountability on the part of FPPL. Conversely, in a court-</w:t>
      </w:r>
      <w:r w:rsidR="003B571A">
        <w:rPr>
          <w:rFonts w:ascii="Avenir Next" w:hAnsi="Avenir Next" w:cs="Arial"/>
          <w:color w:val="808080" w:themeColor="background1" w:themeShade="80"/>
          <w:sz w:val="22"/>
          <w:szCs w:val="22"/>
          <w:lang w:val="en-GB"/>
        </w:rPr>
        <w:t>ordered judicial management, FPPL (or its judicial managers) would need to account to the court for its progress in the restructuring. This would prevent FPPL from dissipating assets or fraudulently using its assets in the interim. Moreover, i</w:t>
      </w:r>
      <w:r>
        <w:rPr>
          <w:rFonts w:ascii="Avenir Next" w:hAnsi="Avenir Next" w:cs="Arial"/>
          <w:color w:val="808080" w:themeColor="background1" w:themeShade="80"/>
          <w:sz w:val="22"/>
          <w:szCs w:val="22"/>
          <w:lang w:val="en-GB"/>
        </w:rPr>
        <w:t xml:space="preserve">f Lobo and FPPL enter into a contractual, out-of-court settlement arrangement, but it is unsuccessful and FPPL still becomes insolvent, Lobo would join the general pool of creditors if it has no security. </w:t>
      </w:r>
      <w:r w:rsidR="003B571A">
        <w:rPr>
          <w:rFonts w:ascii="Avenir Next" w:hAnsi="Avenir Next" w:cs="Arial"/>
          <w:color w:val="808080" w:themeColor="background1" w:themeShade="80"/>
          <w:sz w:val="22"/>
          <w:szCs w:val="22"/>
          <w:lang w:val="en-GB"/>
        </w:rPr>
        <w:t xml:space="preserve">By that time, the pool of Lobo’s assets might have diminished significantly in the absence of monitoring by the court.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5626F5F9" w:rsidR="001E1C34" w:rsidRDefault="00591B8A" w:rsidP="006341C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Difficulties that may arise for the insolvency representative pertaining to cooperation and coordination </w:t>
      </w:r>
      <w:r w:rsidR="006341CE">
        <w:rPr>
          <w:rFonts w:ascii="Avenir Next" w:hAnsi="Avenir Next" w:cs="Arial"/>
          <w:color w:val="808080" w:themeColor="background1" w:themeShade="80"/>
          <w:sz w:val="22"/>
          <w:szCs w:val="22"/>
          <w:lang w:val="en-GB"/>
        </w:rPr>
        <w:t>includ</w:t>
      </w:r>
      <w:r w:rsidR="00176576">
        <w:rPr>
          <w:rFonts w:ascii="Avenir Next" w:hAnsi="Avenir Next" w:cs="Arial"/>
          <w:color w:val="808080" w:themeColor="background1" w:themeShade="80"/>
          <w:sz w:val="22"/>
          <w:szCs w:val="22"/>
          <w:lang w:val="en-GB"/>
        </w:rPr>
        <w:t xml:space="preserve">e: (1) </w:t>
      </w:r>
      <w:r w:rsidR="00754F10">
        <w:rPr>
          <w:rFonts w:ascii="Avenir Next" w:hAnsi="Avenir Next" w:cs="Arial"/>
          <w:color w:val="808080" w:themeColor="background1" w:themeShade="80"/>
          <w:sz w:val="22"/>
          <w:szCs w:val="22"/>
          <w:lang w:val="en-GB"/>
        </w:rPr>
        <w:t xml:space="preserve">seeking recognition of the </w:t>
      </w:r>
      <w:r w:rsidR="009137A6">
        <w:rPr>
          <w:rFonts w:ascii="Avenir Next" w:hAnsi="Avenir Next" w:cs="Arial"/>
          <w:color w:val="808080" w:themeColor="background1" w:themeShade="80"/>
          <w:sz w:val="22"/>
          <w:szCs w:val="22"/>
          <w:lang w:val="en-GB"/>
        </w:rPr>
        <w:t xml:space="preserve">Asgardian insolvency proceedings from the Encanto court; (2) </w:t>
      </w:r>
      <w:r w:rsidR="0069375A">
        <w:rPr>
          <w:rFonts w:ascii="Avenir Next" w:hAnsi="Avenir Next" w:cs="Arial"/>
          <w:color w:val="808080" w:themeColor="background1" w:themeShade="80"/>
          <w:sz w:val="22"/>
          <w:szCs w:val="22"/>
          <w:lang w:val="en-GB"/>
        </w:rPr>
        <w:t xml:space="preserve">ensuring the equitable distribution of FPPL’s assets </w:t>
      </w:r>
      <w:r w:rsidR="00380534">
        <w:rPr>
          <w:rFonts w:ascii="Avenir Next" w:hAnsi="Avenir Next" w:cs="Arial"/>
          <w:color w:val="808080" w:themeColor="background1" w:themeShade="80"/>
          <w:sz w:val="22"/>
          <w:szCs w:val="22"/>
          <w:lang w:val="en-GB"/>
        </w:rPr>
        <w:t>amongst creditors from both jurisdictions, in light of potentially conflicting rules of priority</w:t>
      </w:r>
      <w:r w:rsidR="00A95F37">
        <w:rPr>
          <w:rFonts w:ascii="Avenir Next" w:hAnsi="Avenir Next" w:cs="Arial"/>
          <w:color w:val="808080" w:themeColor="background1" w:themeShade="80"/>
          <w:sz w:val="22"/>
          <w:szCs w:val="22"/>
          <w:lang w:val="en-GB"/>
        </w:rPr>
        <w:t xml:space="preserve">; and (3) obtaining a moratorium of the insolvency proceedings in Encanto to facilitate the court-supervised insolvency proceeding in Asgard, assuming the Asgard proceeding pertains to the </w:t>
      </w:r>
      <w:r w:rsidR="00D00C90">
        <w:rPr>
          <w:rFonts w:ascii="Avenir Next" w:hAnsi="Avenir Next" w:cs="Arial"/>
          <w:color w:val="808080" w:themeColor="background1" w:themeShade="80"/>
          <w:sz w:val="22"/>
          <w:szCs w:val="22"/>
          <w:lang w:val="en-GB"/>
        </w:rPr>
        <w:t xml:space="preserve">restructuring or reorganisation of FPPL. </w:t>
      </w:r>
    </w:p>
    <w:p w14:paraId="38875F7C" w14:textId="38485DE3" w:rsidR="00567155" w:rsidRPr="00EC33F4" w:rsidRDefault="004A2A00" w:rsidP="00EC33F4">
      <w:pPr>
        <w:pStyle w:val="ListParagraph"/>
        <w:numPr>
          <w:ilvl w:val="0"/>
          <w:numId w:val="26"/>
        </w:numPr>
        <w:jc w:val="both"/>
        <w:rPr>
          <w:rFonts w:ascii="Avenir Next" w:hAnsi="Avenir Next" w:cs="Arial"/>
          <w:color w:val="808080" w:themeColor="background1" w:themeShade="80"/>
          <w:sz w:val="22"/>
          <w:szCs w:val="22"/>
          <w:lang w:val="en-GB"/>
        </w:rPr>
      </w:pPr>
      <w:r w:rsidRPr="001F16A1">
        <w:rPr>
          <w:rFonts w:ascii="Avenir Next" w:hAnsi="Avenir Next" w:cs="Arial"/>
          <w:color w:val="808080" w:themeColor="background1" w:themeShade="80"/>
          <w:sz w:val="22"/>
          <w:szCs w:val="22"/>
          <w:lang w:val="en-GB"/>
        </w:rPr>
        <w:t>In relation to the first</w:t>
      </w:r>
      <w:r w:rsidR="00650D1E" w:rsidRPr="001F16A1">
        <w:rPr>
          <w:rFonts w:ascii="Avenir Next" w:hAnsi="Avenir Next" w:cs="Arial"/>
          <w:color w:val="808080" w:themeColor="background1" w:themeShade="80"/>
          <w:sz w:val="22"/>
          <w:szCs w:val="22"/>
          <w:lang w:val="en-GB"/>
        </w:rPr>
        <w:t xml:space="preserve"> difficulty, it would be crucial to first get the Encanto court to recognise the </w:t>
      </w:r>
      <w:r w:rsidR="006B14F9" w:rsidRPr="001F16A1">
        <w:rPr>
          <w:rFonts w:ascii="Avenir Next" w:hAnsi="Avenir Next" w:cs="Arial"/>
          <w:color w:val="808080" w:themeColor="background1" w:themeShade="80"/>
          <w:sz w:val="22"/>
          <w:szCs w:val="22"/>
          <w:lang w:val="en-GB"/>
        </w:rPr>
        <w:t>insolvency proceedings in Asgard in order to protect the interests of the creditors of FPPL in Asgard (</w:t>
      </w:r>
      <w:proofErr w:type="spellStart"/>
      <w:r w:rsidR="006B14F9" w:rsidRPr="001F16A1">
        <w:rPr>
          <w:rFonts w:ascii="Avenir Next" w:hAnsi="Avenir Next" w:cs="Arial"/>
          <w:i/>
          <w:iCs/>
          <w:color w:val="808080" w:themeColor="background1" w:themeShade="80"/>
          <w:sz w:val="22"/>
          <w:szCs w:val="22"/>
          <w:lang w:val="en-GB"/>
        </w:rPr>
        <w:t>ie</w:t>
      </w:r>
      <w:proofErr w:type="spellEnd"/>
      <w:r w:rsidR="006B14F9" w:rsidRPr="001F16A1">
        <w:rPr>
          <w:rFonts w:ascii="Avenir Next" w:hAnsi="Avenir Next" w:cs="Arial"/>
          <w:color w:val="808080" w:themeColor="background1" w:themeShade="80"/>
          <w:sz w:val="22"/>
          <w:szCs w:val="22"/>
          <w:lang w:val="en-GB"/>
        </w:rPr>
        <w:t>, Lobo)</w:t>
      </w:r>
      <w:r w:rsidR="00DF577B" w:rsidRPr="001F16A1">
        <w:rPr>
          <w:rFonts w:ascii="Avenir Next" w:hAnsi="Avenir Next" w:cs="Arial"/>
          <w:color w:val="808080" w:themeColor="background1" w:themeShade="80"/>
          <w:sz w:val="22"/>
          <w:szCs w:val="22"/>
          <w:lang w:val="en-GB"/>
        </w:rPr>
        <w:t xml:space="preserve">. </w:t>
      </w:r>
      <w:r w:rsidR="00E32564">
        <w:rPr>
          <w:rFonts w:ascii="Avenir Next" w:hAnsi="Avenir Next" w:cs="Arial"/>
          <w:color w:val="808080" w:themeColor="background1" w:themeShade="80"/>
          <w:sz w:val="22"/>
          <w:szCs w:val="22"/>
          <w:lang w:val="en-GB"/>
        </w:rPr>
        <w:t xml:space="preserve">Otherwise, the assets of FPPL might be completely depleted by the creditors in </w:t>
      </w:r>
      <w:r w:rsidR="00567155">
        <w:rPr>
          <w:rFonts w:ascii="Avenir Next" w:hAnsi="Avenir Next" w:cs="Arial"/>
          <w:color w:val="808080" w:themeColor="background1" w:themeShade="80"/>
          <w:sz w:val="22"/>
          <w:szCs w:val="22"/>
          <w:lang w:val="en-GB"/>
        </w:rPr>
        <w:t>Encanto</w:t>
      </w:r>
      <w:r w:rsidR="00E32564">
        <w:rPr>
          <w:rFonts w:ascii="Avenir Next" w:hAnsi="Avenir Next" w:cs="Arial"/>
          <w:color w:val="808080" w:themeColor="background1" w:themeShade="80"/>
          <w:sz w:val="22"/>
          <w:szCs w:val="22"/>
          <w:lang w:val="en-GB"/>
        </w:rPr>
        <w:t xml:space="preserve">, to the prejudice of the creditors in Asgard. </w:t>
      </w:r>
      <w:r w:rsidR="00567155" w:rsidRPr="00EC33F4">
        <w:rPr>
          <w:rFonts w:ascii="Avenir Next" w:hAnsi="Avenir Next" w:cs="Arial"/>
          <w:color w:val="808080" w:themeColor="background1" w:themeShade="80"/>
          <w:sz w:val="22"/>
          <w:szCs w:val="22"/>
          <w:lang w:val="en-GB"/>
        </w:rPr>
        <w:t xml:space="preserve">Furthermore, if the proceeding in Asgard relates to a court-supervised proceeding to restructure or reorganise FPPL, it is all the more important to keep the assets of FPPL </w:t>
      </w:r>
      <w:r w:rsidR="00EC33F4" w:rsidRPr="00EC33F4">
        <w:rPr>
          <w:rFonts w:ascii="Avenir Next" w:hAnsi="Avenir Next" w:cs="Arial"/>
          <w:color w:val="808080" w:themeColor="background1" w:themeShade="80"/>
          <w:sz w:val="22"/>
          <w:szCs w:val="22"/>
          <w:lang w:val="en-GB"/>
        </w:rPr>
        <w:t xml:space="preserve">in healthy shape to ensure it has sufficient funds to recover and reorganise. </w:t>
      </w:r>
    </w:p>
    <w:p w14:paraId="78FDEFCF" w14:textId="2FAC15AC" w:rsidR="00EC33F4" w:rsidRPr="00EC33F4" w:rsidRDefault="00EC33F4" w:rsidP="00EC33F4">
      <w:pPr>
        <w:pStyle w:val="ListParagraph"/>
        <w:numPr>
          <w:ilvl w:val="0"/>
          <w:numId w:val="26"/>
        </w:numPr>
        <w:jc w:val="both"/>
        <w:rPr>
          <w:rFonts w:ascii="Avenir Next" w:hAnsi="Avenir Next" w:cs="Arial"/>
          <w:color w:val="808080" w:themeColor="background1" w:themeShade="80"/>
          <w:sz w:val="22"/>
          <w:szCs w:val="22"/>
          <w:lang w:val="en-GB"/>
        </w:rPr>
      </w:pPr>
      <w:r w:rsidRPr="00EC33F4">
        <w:rPr>
          <w:rFonts w:ascii="Avenir Next" w:hAnsi="Avenir Next" w:cs="Arial"/>
          <w:color w:val="808080" w:themeColor="background1" w:themeShade="80"/>
          <w:sz w:val="22"/>
          <w:szCs w:val="22"/>
          <w:lang w:val="en-GB"/>
        </w:rPr>
        <w:t xml:space="preserve">As to the second difficulty, different countries might have different rules in relation to priority of creditors. For instance, Lobo might be considered a secured creditor in Asgard but may be considered an unsecured creditor ranking low in priority in Encanto. </w:t>
      </w:r>
      <w:r>
        <w:rPr>
          <w:rFonts w:ascii="Avenir Next" w:hAnsi="Avenir Next" w:cs="Arial"/>
          <w:color w:val="808080" w:themeColor="background1" w:themeShade="80"/>
          <w:sz w:val="22"/>
          <w:szCs w:val="22"/>
          <w:lang w:val="en-GB"/>
        </w:rPr>
        <w:t>I</w:t>
      </w:r>
      <w:r w:rsidRPr="00EC33F4">
        <w:rPr>
          <w:rFonts w:ascii="Avenir Next" w:hAnsi="Avenir Next" w:cs="Arial"/>
          <w:color w:val="808080" w:themeColor="background1" w:themeShade="80"/>
          <w:sz w:val="22"/>
          <w:szCs w:val="22"/>
          <w:lang w:val="en-GB"/>
        </w:rPr>
        <w:t xml:space="preserve">n this regard, more information is required about the exact type of security Lobo has (if any) and the relevant laws on priority in Encanto and Asgard. </w:t>
      </w:r>
      <w:r>
        <w:rPr>
          <w:rFonts w:ascii="Avenir Next" w:hAnsi="Avenir Next" w:cs="Arial"/>
          <w:color w:val="808080" w:themeColor="background1" w:themeShade="80"/>
          <w:sz w:val="22"/>
          <w:szCs w:val="22"/>
          <w:lang w:val="en-GB"/>
        </w:rPr>
        <w:t xml:space="preserve">However, the fundamental point is that it would fall to private international law, in the absence of any treaty between the countries, to determine the ranking of priority of the creditors. </w:t>
      </w:r>
    </w:p>
    <w:p w14:paraId="62A3B8B8" w14:textId="77777777" w:rsidR="00E32564" w:rsidRDefault="00E32564" w:rsidP="006341CE">
      <w:pPr>
        <w:ind w:left="720"/>
        <w:jc w:val="both"/>
        <w:rPr>
          <w:rFonts w:ascii="Avenir Next" w:hAnsi="Avenir Next" w:cs="Arial"/>
          <w:color w:val="808080" w:themeColor="background1" w:themeShade="80"/>
          <w:sz w:val="22"/>
          <w:szCs w:val="22"/>
          <w:lang w:val="en-GB"/>
        </w:rPr>
      </w:pPr>
    </w:p>
    <w:p w14:paraId="12F6D71A" w14:textId="77777777" w:rsidR="00E32564" w:rsidRDefault="00E32564" w:rsidP="006341CE">
      <w:pPr>
        <w:ind w:left="720"/>
        <w:jc w:val="both"/>
        <w:rPr>
          <w:rFonts w:ascii="Avenir Next" w:hAnsi="Avenir Next" w:cs="Arial"/>
          <w:color w:val="808080" w:themeColor="background1" w:themeShade="80"/>
          <w:sz w:val="22"/>
          <w:szCs w:val="22"/>
          <w:lang w:val="en-GB"/>
        </w:rPr>
      </w:pPr>
    </w:p>
    <w:p w14:paraId="719607CA" w14:textId="1906D5F1" w:rsidR="00E32564" w:rsidRDefault="006341CE" w:rsidP="006341C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international insolvency instruments that have ben developed to assist with respect to those difficulties are </w:t>
      </w:r>
      <w:r w:rsidR="00060E2F">
        <w:rPr>
          <w:rFonts w:ascii="Avenir Next" w:hAnsi="Avenir Next" w:cs="Arial"/>
          <w:color w:val="808080" w:themeColor="background1" w:themeShade="80"/>
          <w:sz w:val="22"/>
          <w:szCs w:val="22"/>
          <w:lang w:val="en-GB"/>
        </w:rPr>
        <w:t>chiefly the UNCITRAL Model Law and Cross-Border Insolvency (“UMLCBI”).</w:t>
      </w:r>
      <w:r w:rsidR="00EF5065">
        <w:rPr>
          <w:rFonts w:ascii="Avenir Next" w:hAnsi="Avenir Next" w:cs="Arial"/>
          <w:color w:val="808080" w:themeColor="background1" w:themeShade="80"/>
          <w:sz w:val="22"/>
          <w:szCs w:val="22"/>
          <w:lang w:val="en-GB"/>
        </w:rPr>
        <w:t xml:space="preserve"> </w:t>
      </w:r>
      <w:r w:rsidR="00E32564" w:rsidRPr="001F16A1">
        <w:rPr>
          <w:rFonts w:ascii="Avenir Next" w:hAnsi="Avenir Next" w:cs="Arial"/>
          <w:color w:val="808080" w:themeColor="background1" w:themeShade="80"/>
          <w:sz w:val="22"/>
          <w:szCs w:val="22"/>
          <w:lang w:val="en-GB"/>
        </w:rPr>
        <w:t>Assuming that Encanto has adopted the UNCITRAL Model Law and Cross-Border Insolvency (“UMLCBI”), any proceeding in Asgard from Encanto’s point of view would be a foreign non-main proceeding because FPPL’s centre of main interests would likely be in Encanto (that being where its head office and significant operations are located)</w:t>
      </w:r>
      <w:r w:rsidR="00E32564">
        <w:rPr>
          <w:rFonts w:ascii="Avenir Next" w:hAnsi="Avenir Next" w:cs="Arial"/>
          <w:color w:val="808080" w:themeColor="background1" w:themeShade="80"/>
          <w:sz w:val="22"/>
          <w:szCs w:val="22"/>
          <w:lang w:val="en-GB"/>
        </w:rPr>
        <w:t xml:space="preserve"> (see Art 17(2)(b))</w:t>
      </w:r>
      <w:r w:rsidR="00E32564" w:rsidRPr="001F16A1">
        <w:rPr>
          <w:rFonts w:ascii="Avenir Next" w:hAnsi="Avenir Next" w:cs="Arial"/>
          <w:color w:val="808080" w:themeColor="background1" w:themeShade="80"/>
          <w:sz w:val="22"/>
          <w:szCs w:val="22"/>
          <w:lang w:val="en-GB"/>
        </w:rPr>
        <w:t>.</w:t>
      </w:r>
    </w:p>
    <w:p w14:paraId="30096783" w14:textId="77777777" w:rsidR="0079384C" w:rsidRDefault="0079384C" w:rsidP="006341CE">
      <w:pPr>
        <w:ind w:left="720"/>
        <w:jc w:val="both"/>
        <w:rPr>
          <w:rFonts w:ascii="Avenir Next" w:hAnsi="Avenir Next" w:cs="Arial"/>
          <w:color w:val="808080" w:themeColor="background1" w:themeShade="80"/>
          <w:sz w:val="22"/>
          <w:szCs w:val="22"/>
          <w:lang w:val="en-GB"/>
        </w:rPr>
      </w:pPr>
    </w:p>
    <w:p w14:paraId="5D97346F" w14:textId="77777777" w:rsidR="00C61220" w:rsidRDefault="00AC6F8B" w:rsidP="006341C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UMLCBI is extremely important </w:t>
      </w:r>
      <w:r w:rsidR="00791866">
        <w:rPr>
          <w:rFonts w:ascii="Avenir Next" w:hAnsi="Avenir Next" w:cs="Arial"/>
          <w:color w:val="808080" w:themeColor="background1" w:themeShade="80"/>
          <w:sz w:val="22"/>
          <w:szCs w:val="22"/>
          <w:lang w:val="en-GB"/>
        </w:rPr>
        <w:t xml:space="preserve">in promoting coordination and cooperation. In particular, Art 19 of the UMLCBI provides for relief that may be granted </w:t>
      </w:r>
      <w:r w:rsidR="005248E2">
        <w:rPr>
          <w:rFonts w:ascii="Avenir Next" w:hAnsi="Avenir Next" w:cs="Arial"/>
          <w:color w:val="808080" w:themeColor="background1" w:themeShade="80"/>
          <w:sz w:val="22"/>
          <w:szCs w:val="22"/>
          <w:lang w:val="en-GB"/>
        </w:rPr>
        <w:t>upon application for recognition of a foreign proceeding. The court may stay execution against the debtor’s assets, and may entrust the administration or realisation of the debtor’s assets to the foreign representative. This would solve difficulty (1) above as it would remove FPPL’s assets i</w:t>
      </w:r>
      <w:r w:rsidR="004F4010">
        <w:rPr>
          <w:rFonts w:ascii="Avenir Next" w:hAnsi="Avenir Next" w:cs="Arial"/>
          <w:color w:val="808080" w:themeColor="background1" w:themeShade="80"/>
          <w:sz w:val="22"/>
          <w:szCs w:val="22"/>
          <w:lang w:val="en-GB"/>
        </w:rPr>
        <w:t xml:space="preserve">n Encanto from being in danger of being dissipated. </w:t>
      </w:r>
    </w:p>
    <w:p w14:paraId="3FAE8D06" w14:textId="77777777" w:rsidR="00C61220" w:rsidRDefault="00C61220" w:rsidP="006341CE">
      <w:pPr>
        <w:ind w:left="720"/>
        <w:jc w:val="both"/>
        <w:rPr>
          <w:rFonts w:ascii="Avenir Next" w:hAnsi="Avenir Next" w:cs="Arial"/>
          <w:color w:val="808080" w:themeColor="background1" w:themeShade="80"/>
          <w:sz w:val="22"/>
          <w:szCs w:val="22"/>
          <w:lang w:val="en-GB"/>
        </w:rPr>
      </w:pPr>
    </w:p>
    <w:p w14:paraId="457FAAD6" w14:textId="64545486" w:rsidR="0079384C" w:rsidRDefault="004F4010" w:rsidP="006341C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under Art 21</w:t>
      </w:r>
      <w:r w:rsidR="00EA2B5C">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the UMLCBI, the court may stay the commencement or continuation of individual </w:t>
      </w:r>
      <w:r w:rsidR="00C61220">
        <w:rPr>
          <w:rFonts w:ascii="Avenir Next" w:hAnsi="Avenir Next" w:cs="Arial"/>
          <w:color w:val="808080" w:themeColor="background1" w:themeShade="80"/>
          <w:sz w:val="22"/>
          <w:szCs w:val="22"/>
          <w:lang w:val="en-GB"/>
        </w:rPr>
        <w:t xml:space="preserve">actions or proceedings concerning the debtor’s assets, rights, obligations or liabilities. </w:t>
      </w:r>
      <w:r w:rsidR="004826B0">
        <w:rPr>
          <w:rFonts w:ascii="Avenir Next" w:hAnsi="Avenir Next" w:cs="Arial"/>
          <w:color w:val="808080" w:themeColor="background1" w:themeShade="80"/>
          <w:sz w:val="22"/>
          <w:szCs w:val="22"/>
          <w:lang w:val="en-GB"/>
        </w:rPr>
        <w:t xml:space="preserve">The court may also suspend the right to transfer, encumber or otherwise dispose of any assets of the debtor, which prevents FPPL from disposing of its assets. </w:t>
      </w:r>
      <w:r w:rsidR="00EA2B5C">
        <w:rPr>
          <w:rFonts w:ascii="Avenir Next" w:hAnsi="Avenir Next" w:cs="Arial"/>
          <w:color w:val="808080" w:themeColor="background1" w:themeShade="80"/>
          <w:sz w:val="22"/>
          <w:szCs w:val="22"/>
          <w:lang w:val="en-GB"/>
        </w:rPr>
        <w:t xml:space="preserve">Also, under Art 2(2) of the UMLCBI, the court may upon recognition of a </w:t>
      </w:r>
      <w:proofErr w:type="spellStart"/>
      <w:r w:rsidR="00EA2B5C">
        <w:rPr>
          <w:rFonts w:ascii="Avenir Next" w:hAnsi="Avenir Next" w:cs="Arial"/>
          <w:color w:val="808080" w:themeColor="background1" w:themeShade="80"/>
          <w:sz w:val="22"/>
          <w:szCs w:val="22"/>
          <w:lang w:val="en-GB"/>
        </w:rPr>
        <w:t>fireng</w:t>
      </w:r>
      <w:proofErr w:type="spellEnd"/>
      <w:r w:rsidR="00EA2B5C">
        <w:rPr>
          <w:rFonts w:ascii="Avenir Next" w:hAnsi="Avenir Next" w:cs="Arial"/>
          <w:color w:val="808080" w:themeColor="background1" w:themeShade="80"/>
          <w:sz w:val="22"/>
          <w:szCs w:val="22"/>
          <w:lang w:val="en-GB"/>
        </w:rPr>
        <w:t xml:space="preserve"> proceeding, at the request of the foreign representative, entrust the distribution of all or part of the debtor’s assets located in Encanto to the foreign representative</w:t>
      </w:r>
      <w:r w:rsidR="00B27589">
        <w:rPr>
          <w:rFonts w:ascii="Avenir Next" w:hAnsi="Avenir Next" w:cs="Arial"/>
          <w:color w:val="808080" w:themeColor="background1" w:themeShade="80"/>
          <w:sz w:val="22"/>
          <w:szCs w:val="22"/>
          <w:lang w:val="en-GB"/>
        </w:rPr>
        <w:t>, provided that the court is satisfied that the interests of the creditors in Encanto are adequately protected</w:t>
      </w:r>
      <w:r w:rsidR="00EA2B5C">
        <w:rPr>
          <w:rFonts w:ascii="Avenir Next" w:hAnsi="Avenir Next" w:cs="Arial"/>
          <w:color w:val="808080" w:themeColor="background1" w:themeShade="80"/>
          <w:sz w:val="22"/>
          <w:szCs w:val="22"/>
          <w:lang w:val="en-GB"/>
        </w:rPr>
        <w:t xml:space="preserve">. </w:t>
      </w:r>
      <w:r w:rsidR="00B27589">
        <w:rPr>
          <w:rFonts w:ascii="Avenir Next" w:hAnsi="Avenir Next" w:cs="Arial"/>
          <w:color w:val="808080" w:themeColor="background1" w:themeShade="80"/>
          <w:sz w:val="22"/>
          <w:szCs w:val="22"/>
          <w:lang w:val="en-GB"/>
        </w:rPr>
        <w:t xml:space="preserve">This would solve difficulty (2), as it gives the foreign representative from Lobo the discretion as to the order in which FPPL’s assets should be distributed. However, this is subject to cooperation and coordination, as the representative must satisfy the Encanto court that the Encanto creditors’ interests are adequately protected. </w:t>
      </w:r>
    </w:p>
    <w:p w14:paraId="5A04317E" w14:textId="77777777" w:rsidR="00852398" w:rsidRDefault="00852398" w:rsidP="006341CE">
      <w:pPr>
        <w:ind w:left="720"/>
        <w:jc w:val="both"/>
        <w:rPr>
          <w:rFonts w:ascii="Avenir Next" w:hAnsi="Avenir Next" w:cs="Arial"/>
          <w:color w:val="808080" w:themeColor="background1" w:themeShade="80"/>
          <w:sz w:val="22"/>
          <w:szCs w:val="22"/>
          <w:lang w:val="en-GB"/>
        </w:rPr>
      </w:pPr>
    </w:p>
    <w:p w14:paraId="7377FEDE" w14:textId="1AA67248" w:rsidR="0079384C" w:rsidRPr="004216EA" w:rsidRDefault="00852398" w:rsidP="00B676BF">
      <w:pPr>
        <w:ind w:left="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Finally, Art 29 provides for the coordination of a proceeding under </w:t>
      </w:r>
      <w:r w:rsidR="00416D53">
        <w:rPr>
          <w:rFonts w:ascii="Avenir Next" w:hAnsi="Avenir Next" w:cs="Arial"/>
          <w:color w:val="808080" w:themeColor="background1" w:themeShade="80"/>
          <w:sz w:val="22"/>
          <w:szCs w:val="22"/>
          <w:lang w:val="en-GB"/>
        </w:rPr>
        <w:t xml:space="preserve">one jurisdiction and a foreign proceeding. Specifically, Art 29 provides that where a foreign proceeding and a proceeding under Encanto are taking place concurrently regarding the same debtor (FPPL), </w:t>
      </w:r>
      <w:r w:rsidR="005D3C71">
        <w:rPr>
          <w:rFonts w:ascii="Avenir Next" w:hAnsi="Avenir Next" w:cs="Arial"/>
          <w:color w:val="808080" w:themeColor="background1" w:themeShade="80"/>
          <w:sz w:val="22"/>
          <w:szCs w:val="22"/>
          <w:lang w:val="en-GB"/>
        </w:rPr>
        <w:t xml:space="preserve">the court shall seek cooperation and coordination under </w:t>
      </w:r>
      <w:r w:rsidR="005D1013">
        <w:rPr>
          <w:rFonts w:ascii="Avenir Next" w:hAnsi="Avenir Next" w:cs="Arial"/>
          <w:color w:val="808080" w:themeColor="background1" w:themeShade="80"/>
          <w:sz w:val="22"/>
          <w:szCs w:val="22"/>
          <w:lang w:val="en-GB"/>
        </w:rPr>
        <w:t>Arts</w:t>
      </w:r>
      <w:r w:rsidR="005D3C71">
        <w:rPr>
          <w:rFonts w:ascii="Avenir Next" w:hAnsi="Avenir Next" w:cs="Arial"/>
          <w:color w:val="808080" w:themeColor="background1" w:themeShade="80"/>
          <w:sz w:val="22"/>
          <w:szCs w:val="22"/>
          <w:lang w:val="en-GB"/>
        </w:rPr>
        <w:t xml:space="preserve"> 25, 26 and 27. </w:t>
      </w:r>
      <w:r w:rsidR="005D1013">
        <w:rPr>
          <w:rFonts w:ascii="Avenir Next" w:hAnsi="Avenir Next" w:cs="Arial"/>
          <w:color w:val="808080" w:themeColor="background1" w:themeShade="80"/>
          <w:sz w:val="22"/>
          <w:szCs w:val="22"/>
          <w:lang w:val="en-GB"/>
        </w:rPr>
        <w:t xml:space="preserve">Art 25 pertains to cooperation and direct communication between a court of the </w:t>
      </w:r>
      <w:r w:rsidR="00F70986">
        <w:rPr>
          <w:rFonts w:ascii="Avenir Next" w:hAnsi="Avenir Next" w:cs="Arial"/>
          <w:color w:val="808080" w:themeColor="background1" w:themeShade="80"/>
          <w:sz w:val="22"/>
          <w:szCs w:val="22"/>
          <w:lang w:val="en-GB"/>
        </w:rPr>
        <w:t>Encanto</w:t>
      </w:r>
      <w:r w:rsidR="005D1013">
        <w:rPr>
          <w:rFonts w:ascii="Avenir Next" w:hAnsi="Avenir Next" w:cs="Arial"/>
          <w:color w:val="808080" w:themeColor="background1" w:themeShade="80"/>
          <w:sz w:val="22"/>
          <w:szCs w:val="22"/>
          <w:lang w:val="en-GB"/>
        </w:rPr>
        <w:t xml:space="preserve"> and </w:t>
      </w:r>
      <w:r w:rsidR="00F70986">
        <w:rPr>
          <w:rFonts w:ascii="Avenir Next" w:hAnsi="Avenir Next" w:cs="Arial"/>
          <w:color w:val="808080" w:themeColor="background1" w:themeShade="80"/>
          <w:sz w:val="22"/>
          <w:szCs w:val="22"/>
          <w:lang w:val="en-GB"/>
        </w:rPr>
        <w:t>court/representative of Asgard</w:t>
      </w:r>
      <w:r w:rsidR="005D1013">
        <w:rPr>
          <w:rFonts w:ascii="Avenir Next" w:hAnsi="Avenir Next" w:cs="Arial"/>
          <w:color w:val="808080" w:themeColor="background1" w:themeShade="80"/>
          <w:sz w:val="22"/>
          <w:szCs w:val="22"/>
          <w:lang w:val="en-GB"/>
        </w:rPr>
        <w:t>, Art 26 pertains to cooperation and direct communication</w:t>
      </w:r>
      <w:r w:rsidR="008749C4">
        <w:rPr>
          <w:rFonts w:ascii="Avenir Next" w:hAnsi="Avenir Next" w:cs="Arial"/>
          <w:color w:val="808080" w:themeColor="background1" w:themeShade="80"/>
          <w:sz w:val="22"/>
          <w:szCs w:val="22"/>
          <w:lang w:val="en-GB"/>
        </w:rPr>
        <w:t xml:space="preserve"> between the person administering the liquidation or reorganisation of </w:t>
      </w:r>
      <w:r w:rsidR="00F70986">
        <w:rPr>
          <w:rFonts w:ascii="Avenir Next" w:hAnsi="Avenir Next" w:cs="Arial"/>
          <w:color w:val="808080" w:themeColor="background1" w:themeShade="80"/>
          <w:sz w:val="22"/>
          <w:szCs w:val="22"/>
          <w:lang w:val="en-GB"/>
        </w:rPr>
        <w:t xml:space="preserve">FPPL and the foreign representative, while Art 27 pertains to </w:t>
      </w:r>
      <w:r w:rsidR="00B676BF">
        <w:rPr>
          <w:rFonts w:ascii="Avenir Next" w:hAnsi="Avenir Next" w:cs="Arial"/>
          <w:color w:val="808080" w:themeColor="background1" w:themeShade="80"/>
          <w:sz w:val="22"/>
          <w:szCs w:val="22"/>
          <w:lang w:val="en-GB"/>
        </w:rPr>
        <w:t xml:space="preserve">the forms of cooperation. This would go some way in addressing the difficulties listed above as well. </w:t>
      </w:r>
      <w:r>
        <w:rPr>
          <w:rFonts w:ascii="Avenir Next" w:hAnsi="Avenir Next" w:cs="Arial"/>
          <w:color w:val="808080" w:themeColor="background1" w:themeShade="80"/>
          <w:sz w:val="22"/>
          <w:szCs w:val="22"/>
          <w:lang w:val="en-GB"/>
        </w:rPr>
        <w:t>In light of the benefits mentioned, i</w:t>
      </w:r>
      <w:r w:rsidR="00B002F7">
        <w:rPr>
          <w:rFonts w:ascii="Avenir Next" w:hAnsi="Avenir Next" w:cs="Arial"/>
          <w:color w:val="808080" w:themeColor="background1" w:themeShade="80"/>
          <w:sz w:val="22"/>
          <w:szCs w:val="22"/>
          <w:lang w:val="en-GB"/>
        </w:rPr>
        <w:t>nstruments</w:t>
      </w:r>
      <w:r>
        <w:rPr>
          <w:rFonts w:ascii="Avenir Next" w:hAnsi="Avenir Next" w:cs="Arial"/>
          <w:color w:val="808080" w:themeColor="background1" w:themeShade="80"/>
          <w:sz w:val="22"/>
          <w:szCs w:val="22"/>
          <w:lang w:val="en-GB"/>
        </w:rPr>
        <w:t xml:space="preserve"> such as the UMLCBI</w:t>
      </w:r>
      <w:r w:rsidR="00B002F7">
        <w:rPr>
          <w:rFonts w:ascii="Avenir Next" w:hAnsi="Avenir Next" w:cs="Arial"/>
          <w:color w:val="808080" w:themeColor="background1" w:themeShade="80"/>
          <w:sz w:val="22"/>
          <w:szCs w:val="22"/>
          <w:lang w:val="en-GB"/>
        </w:rPr>
        <w:t xml:space="preserve"> should be continuously developed </w:t>
      </w:r>
      <w:r w:rsidR="00B676BF">
        <w:rPr>
          <w:rFonts w:ascii="Avenir Next" w:hAnsi="Avenir Next" w:cs="Arial"/>
          <w:color w:val="808080" w:themeColor="background1" w:themeShade="80"/>
          <w:sz w:val="22"/>
          <w:szCs w:val="22"/>
          <w:lang w:val="en-GB"/>
        </w:rPr>
        <w:t xml:space="preserve">and improved </w:t>
      </w:r>
      <w:r w:rsidR="00B002F7">
        <w:rPr>
          <w:rFonts w:ascii="Avenir Next" w:hAnsi="Avenir Next" w:cs="Arial"/>
          <w:color w:val="808080" w:themeColor="background1" w:themeShade="80"/>
          <w:sz w:val="22"/>
          <w:szCs w:val="22"/>
          <w:lang w:val="en-GB"/>
        </w:rPr>
        <w:t>so that more countries adopt them</w:t>
      </w:r>
      <w:r w:rsidR="00B676BF">
        <w:rPr>
          <w:rFonts w:ascii="Avenir Next" w:hAnsi="Avenir Next" w:cs="Arial"/>
          <w:color w:val="808080" w:themeColor="background1" w:themeShade="80"/>
          <w:sz w:val="22"/>
          <w:szCs w:val="22"/>
          <w:lang w:val="en-GB"/>
        </w:rPr>
        <w:t xml:space="preserve">, thereby leading to greater harmonisation. </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3B33FD4C" w14:textId="5B1BDB3B" w:rsidR="00615916" w:rsidRDefault="00B75D01" w:rsidP="0061591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European Insolvency Regulation Recast (“EIC Recast”) applies with respect to the UK </w:t>
      </w:r>
      <w:r w:rsidR="003D23CD">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ommenced insolvency proceeding would depend on</w:t>
      </w:r>
      <w:r w:rsidR="008042D1">
        <w:rPr>
          <w:rFonts w:ascii="Avenir Next" w:hAnsi="Avenir Next" w:cs="Arial"/>
          <w:color w:val="808080" w:themeColor="background1" w:themeShade="80"/>
          <w:sz w:val="22"/>
          <w:szCs w:val="22"/>
          <w:lang w:val="en-GB"/>
        </w:rPr>
        <w:t xml:space="preserve"> </w:t>
      </w:r>
      <w:r w:rsidR="003D23CD">
        <w:rPr>
          <w:rFonts w:ascii="Avenir Next" w:hAnsi="Avenir Next" w:cs="Arial"/>
          <w:color w:val="808080" w:themeColor="background1" w:themeShade="80"/>
          <w:sz w:val="22"/>
          <w:szCs w:val="22"/>
          <w:lang w:val="en-GB"/>
        </w:rPr>
        <w:t>when the UK action is commenced. Following UK’s exit from the European Union, the EIR Recast ceased to apply in the UK</w:t>
      </w:r>
      <w:r w:rsidR="00615916">
        <w:rPr>
          <w:rFonts w:ascii="Avenir Next" w:hAnsi="Avenir Next" w:cs="Arial"/>
          <w:color w:val="808080" w:themeColor="background1" w:themeShade="80"/>
          <w:sz w:val="22"/>
          <w:szCs w:val="22"/>
          <w:lang w:val="en-GB"/>
        </w:rPr>
        <w:t xml:space="preserve"> from 11pm on 31 December 2020. In the present case, given that </w:t>
      </w:r>
      <w:r w:rsidR="0043653E">
        <w:rPr>
          <w:rFonts w:ascii="Avenir Next" w:hAnsi="Avenir Next" w:cs="Arial"/>
          <w:color w:val="808080" w:themeColor="background1" w:themeShade="80"/>
          <w:sz w:val="22"/>
          <w:szCs w:val="22"/>
          <w:lang w:val="en-GB"/>
        </w:rPr>
        <w:t>the minor creditor’s</w:t>
      </w:r>
      <w:r w:rsidR="00615916">
        <w:rPr>
          <w:rFonts w:ascii="Avenir Next" w:hAnsi="Avenir Next" w:cs="Arial"/>
          <w:color w:val="808080" w:themeColor="background1" w:themeShade="80"/>
          <w:sz w:val="22"/>
          <w:szCs w:val="22"/>
          <w:lang w:val="en-GB"/>
        </w:rPr>
        <w:t xml:space="preserve"> action in the UK </w:t>
      </w:r>
      <w:r w:rsidR="0043653E">
        <w:rPr>
          <w:rFonts w:ascii="Avenir Next" w:hAnsi="Avenir Next" w:cs="Arial"/>
          <w:color w:val="808080" w:themeColor="background1" w:themeShade="80"/>
          <w:sz w:val="22"/>
          <w:szCs w:val="22"/>
          <w:lang w:val="en-GB"/>
        </w:rPr>
        <w:t xml:space="preserve">was opened on 30 June 2022, the EIR Recast would not apply with respect to the UK commenced insolvency proceedings. </w:t>
      </w:r>
    </w:p>
    <w:p w14:paraId="605740FB" w14:textId="77777777" w:rsidR="00E11D8C" w:rsidRDefault="00E11D8C" w:rsidP="00615916">
      <w:pPr>
        <w:ind w:left="720"/>
        <w:jc w:val="both"/>
        <w:rPr>
          <w:rFonts w:ascii="Avenir Next" w:hAnsi="Avenir Next" w:cs="Arial"/>
          <w:color w:val="808080" w:themeColor="background1" w:themeShade="80"/>
          <w:sz w:val="22"/>
          <w:szCs w:val="22"/>
          <w:lang w:val="en-GB"/>
        </w:rPr>
      </w:pPr>
    </w:p>
    <w:p w14:paraId="4D885C68" w14:textId="4A04B241" w:rsidR="00E11D8C" w:rsidRDefault="00E11D8C" w:rsidP="0061591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Notably, Article 7.1 </w:t>
      </w:r>
      <w:r w:rsidR="00803D35">
        <w:rPr>
          <w:rFonts w:ascii="Avenir Next" w:hAnsi="Avenir Next" w:cs="Arial"/>
          <w:color w:val="808080" w:themeColor="background1" w:themeShade="80"/>
          <w:sz w:val="22"/>
          <w:szCs w:val="22"/>
          <w:lang w:val="en-GB"/>
        </w:rPr>
        <w:t xml:space="preserve">of the EIR Recast </w:t>
      </w:r>
      <w:r>
        <w:rPr>
          <w:rFonts w:ascii="Avenir Next" w:hAnsi="Avenir Next" w:cs="Arial"/>
          <w:color w:val="808080" w:themeColor="background1" w:themeShade="80"/>
          <w:sz w:val="22"/>
          <w:szCs w:val="22"/>
          <w:lang w:val="en-GB"/>
        </w:rPr>
        <w:t xml:space="preserve">states that </w:t>
      </w:r>
      <w:r w:rsidR="00092EAB">
        <w:rPr>
          <w:rFonts w:ascii="Avenir Next" w:hAnsi="Avenir Next" w:cs="Arial"/>
          <w:color w:val="808080" w:themeColor="background1" w:themeShade="80"/>
          <w:sz w:val="22"/>
          <w:szCs w:val="22"/>
          <w:lang w:val="en-GB"/>
        </w:rPr>
        <w:t xml:space="preserve">unless otherwise provided, the law applicable to insolvency proceedings and their effects will be that of the state of opening of proceedings. Given that the EIR Recast is no longer applicable to the UK, Article 7.1 of the EIR Recast would arguably not operate to render UK Law the law applicable to the </w:t>
      </w:r>
      <w:r w:rsidR="00803D35">
        <w:rPr>
          <w:rFonts w:ascii="Avenir Next" w:hAnsi="Avenir Next" w:cs="Arial"/>
          <w:color w:val="808080" w:themeColor="background1" w:themeShade="80"/>
          <w:sz w:val="22"/>
          <w:szCs w:val="22"/>
          <w:lang w:val="en-GB"/>
        </w:rPr>
        <w:t>insolvency</w:t>
      </w:r>
      <w:r w:rsidR="00092EAB">
        <w:rPr>
          <w:rFonts w:ascii="Avenir Next" w:hAnsi="Avenir Next" w:cs="Arial"/>
          <w:color w:val="808080" w:themeColor="background1" w:themeShade="80"/>
          <w:sz w:val="22"/>
          <w:szCs w:val="22"/>
          <w:lang w:val="en-GB"/>
        </w:rPr>
        <w:t xml:space="preserve"> proceedings. </w:t>
      </w:r>
    </w:p>
    <w:p w14:paraId="4BFB8BF6" w14:textId="77777777" w:rsidR="004F13C3" w:rsidRDefault="004F13C3" w:rsidP="00615916">
      <w:pPr>
        <w:ind w:left="720"/>
        <w:jc w:val="both"/>
        <w:rPr>
          <w:rFonts w:ascii="Avenir Next" w:hAnsi="Avenir Next" w:cs="Arial"/>
          <w:color w:val="808080" w:themeColor="background1" w:themeShade="80"/>
          <w:sz w:val="22"/>
          <w:szCs w:val="22"/>
          <w:lang w:val="en-GB"/>
        </w:rPr>
      </w:pPr>
    </w:p>
    <w:p w14:paraId="72C905C4" w14:textId="76CCF287" w:rsidR="004F13C3" w:rsidRDefault="004F13C3" w:rsidP="0061591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essentially allocates jurisdictional competence to the courts of a member state within which is situated the debtor’s centre of main interests (“COMI”). </w:t>
      </w:r>
      <w:r w:rsidR="00D676CE">
        <w:rPr>
          <w:rFonts w:ascii="Avenir Next" w:hAnsi="Avenir Next" w:cs="Arial"/>
          <w:color w:val="808080" w:themeColor="background1" w:themeShade="80"/>
          <w:sz w:val="22"/>
          <w:szCs w:val="22"/>
          <w:lang w:val="en-GB"/>
        </w:rPr>
        <w:t xml:space="preserve">If the EIR Recast does not apply to the UK-commenced insolvency proceeding, </w:t>
      </w:r>
      <w:r w:rsidR="00ED6A5D">
        <w:rPr>
          <w:rFonts w:ascii="Avenir Next" w:hAnsi="Avenir Next" w:cs="Arial"/>
          <w:color w:val="808080" w:themeColor="background1" w:themeShade="80"/>
          <w:sz w:val="22"/>
          <w:szCs w:val="22"/>
          <w:lang w:val="en-GB"/>
        </w:rPr>
        <w:t xml:space="preserve">and FPPL’s COMI is determined to be some country other than the UK, it might lead to a situation of parallel proceedings with no coordination or cooperation between the courts/insolvency representatives in UK and the COMI. </w:t>
      </w:r>
      <w:r w:rsidR="007B0393">
        <w:rPr>
          <w:rFonts w:ascii="Avenir Next" w:hAnsi="Avenir Next" w:cs="Arial"/>
          <w:color w:val="808080" w:themeColor="background1" w:themeShade="80"/>
          <w:sz w:val="22"/>
          <w:szCs w:val="22"/>
          <w:lang w:val="en-GB"/>
        </w:rPr>
        <w:t xml:space="preserve">In this regard, FPPL is an incorporated company with offices in both the UK and throughout Europe, as well as other non-European countries. Thus, more information is required to determine FPPL’s COMI. </w:t>
      </w:r>
    </w:p>
    <w:p w14:paraId="1B87D8FC" w14:textId="77777777" w:rsidR="00ED6A5D" w:rsidRDefault="00ED6A5D" w:rsidP="00615916">
      <w:pPr>
        <w:ind w:left="720"/>
        <w:jc w:val="both"/>
        <w:rPr>
          <w:rFonts w:ascii="Avenir Next" w:hAnsi="Avenir Next" w:cs="Arial"/>
          <w:color w:val="808080" w:themeColor="background1" w:themeShade="80"/>
          <w:sz w:val="22"/>
          <w:szCs w:val="22"/>
          <w:lang w:val="en-GB"/>
        </w:rPr>
      </w:pPr>
    </w:p>
    <w:p w14:paraId="0C5E11A3" w14:textId="1E4E84CC" w:rsidR="00ED6A5D" w:rsidRPr="00AB63DE" w:rsidRDefault="00ED6A5D" w:rsidP="0061591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Nevertheless, it bears noting that the EIR Recase has recently been amended to </w:t>
      </w:r>
      <w:r w:rsidR="007B0393">
        <w:rPr>
          <w:rFonts w:ascii="Avenir Next" w:hAnsi="Avenir Next" w:cs="Arial"/>
          <w:color w:val="808080" w:themeColor="background1" w:themeShade="80"/>
          <w:sz w:val="22"/>
          <w:szCs w:val="22"/>
          <w:lang w:val="en-GB"/>
        </w:rPr>
        <w:t xml:space="preserve">recognise the existence of insolvency proceedings outside of the EU for the purposes of coordinating proceedings both inside and outside the EU. </w:t>
      </w:r>
      <w:r w:rsidR="003A4AC6">
        <w:rPr>
          <w:rFonts w:ascii="Avenir Next" w:hAnsi="Avenir Next" w:cs="Arial"/>
          <w:color w:val="808080" w:themeColor="background1" w:themeShade="80"/>
          <w:sz w:val="22"/>
          <w:szCs w:val="22"/>
          <w:lang w:val="en-GB"/>
        </w:rPr>
        <w:t xml:space="preserve">Therefore, if the requirements are met for the recognition of non-EU insolvency proceedings, </w:t>
      </w:r>
      <w:r w:rsidR="00F309E7">
        <w:rPr>
          <w:rFonts w:ascii="Avenir Next" w:hAnsi="Avenir Next" w:cs="Arial"/>
          <w:color w:val="808080" w:themeColor="background1" w:themeShade="80"/>
          <w:sz w:val="22"/>
          <w:szCs w:val="22"/>
          <w:lang w:val="en-GB"/>
        </w:rPr>
        <w:t>and the proceedings in the UK are recognised, there may be coo</w:t>
      </w:r>
      <w:r w:rsidR="008D46E9">
        <w:rPr>
          <w:rFonts w:ascii="Avenir Next" w:hAnsi="Avenir Next" w:cs="Arial"/>
          <w:color w:val="808080" w:themeColor="background1" w:themeShade="80"/>
          <w:sz w:val="22"/>
          <w:szCs w:val="22"/>
          <w:lang w:val="en-GB"/>
        </w:rPr>
        <w:t xml:space="preserve">peration and coordination notwithstanding that the </w:t>
      </w:r>
      <w:r w:rsidR="008D1401">
        <w:rPr>
          <w:rFonts w:ascii="Avenir Next" w:hAnsi="Avenir Next" w:cs="Arial"/>
          <w:color w:val="808080" w:themeColor="background1" w:themeShade="80"/>
          <w:sz w:val="22"/>
          <w:szCs w:val="22"/>
          <w:lang w:val="en-GB"/>
        </w:rPr>
        <w:t xml:space="preserve">UK is no longer part of the EU.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00EA" w14:textId="77777777" w:rsidR="00627BF7" w:rsidRDefault="00627BF7" w:rsidP="00241B44">
      <w:r>
        <w:separator/>
      </w:r>
    </w:p>
  </w:endnote>
  <w:endnote w:type="continuationSeparator" w:id="0">
    <w:p w14:paraId="7D3F8B32" w14:textId="77777777" w:rsidR="00627BF7" w:rsidRDefault="00627B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4E21F3" w:rsidR="00B64A85" w:rsidRPr="00297BDF" w:rsidRDefault="00115CAE" w:rsidP="0052732A">
    <w:pPr>
      <w:pStyle w:val="Footer"/>
      <w:ind w:right="360"/>
      <w:rPr>
        <w:rFonts w:ascii="Avenir Next" w:hAnsi="Avenir Next" w:cs="Arial"/>
        <w:sz w:val="22"/>
        <w:szCs w:val="22"/>
      </w:rPr>
    </w:pPr>
    <w:r>
      <w:rPr>
        <w:rFonts w:ascii="Avenir Next" w:hAnsi="Avenir Next" w:cs="Arial"/>
        <w:sz w:val="22"/>
        <w:szCs w:val="22"/>
      </w:rPr>
      <w:t>2022</w:t>
    </w:r>
    <w:r w:rsidR="003160CF">
      <w:rPr>
        <w:rFonts w:ascii="Avenir Next" w:hAnsi="Avenir Next" w:cs="Arial"/>
        <w:sz w:val="22"/>
        <w:szCs w:val="22"/>
      </w:rPr>
      <w:t>2</w:t>
    </w:r>
    <w:r>
      <w:rPr>
        <w:rFonts w:ascii="Avenir Next" w:hAnsi="Avenir Next" w:cs="Arial"/>
        <w:sz w:val="22"/>
        <w:szCs w:val="22"/>
      </w:rPr>
      <w:t>3-995</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C2FA" w14:textId="77777777" w:rsidR="00115CAE" w:rsidRDefault="0011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399B" w14:textId="77777777" w:rsidR="00627BF7" w:rsidRDefault="00627BF7" w:rsidP="00241B44">
      <w:r>
        <w:separator/>
      </w:r>
    </w:p>
  </w:footnote>
  <w:footnote w:type="continuationSeparator" w:id="0">
    <w:p w14:paraId="6E3E8CCD" w14:textId="77777777" w:rsidR="00627BF7" w:rsidRDefault="00627BF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A4EB" w14:textId="77777777" w:rsidR="00115CAE" w:rsidRDefault="00115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F215" w14:textId="77777777" w:rsidR="00115CAE" w:rsidRDefault="00115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06B" w14:textId="77777777" w:rsidR="00115CAE" w:rsidRDefault="00115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737729"/>
    <w:multiLevelType w:val="hybridMultilevel"/>
    <w:tmpl w:val="E8B8A0D0"/>
    <w:lvl w:ilvl="0" w:tplc="C78E396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D2783"/>
    <w:multiLevelType w:val="hybridMultilevel"/>
    <w:tmpl w:val="979CD654"/>
    <w:lvl w:ilvl="0" w:tplc="B38EFBE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2121146330">
    <w:abstractNumId w:val="18"/>
  </w:num>
  <w:num w:numId="2" w16cid:durableId="776415044">
    <w:abstractNumId w:val="23"/>
  </w:num>
  <w:num w:numId="3" w16cid:durableId="1424915169">
    <w:abstractNumId w:val="2"/>
  </w:num>
  <w:num w:numId="4" w16cid:durableId="1073510917">
    <w:abstractNumId w:val="3"/>
  </w:num>
  <w:num w:numId="5" w16cid:durableId="1851023903">
    <w:abstractNumId w:val="14"/>
  </w:num>
  <w:num w:numId="6" w16cid:durableId="1370182390">
    <w:abstractNumId w:val="19"/>
  </w:num>
  <w:num w:numId="7" w16cid:durableId="1321618967">
    <w:abstractNumId w:val="8"/>
  </w:num>
  <w:num w:numId="8" w16cid:durableId="529269625">
    <w:abstractNumId w:val="24"/>
  </w:num>
  <w:num w:numId="9" w16cid:durableId="353117269">
    <w:abstractNumId w:val="7"/>
  </w:num>
  <w:num w:numId="10" w16cid:durableId="1476491467">
    <w:abstractNumId w:val="20"/>
  </w:num>
  <w:num w:numId="11" w16cid:durableId="1543975904">
    <w:abstractNumId w:val="6"/>
  </w:num>
  <w:num w:numId="12" w16cid:durableId="2021269502">
    <w:abstractNumId w:val="21"/>
  </w:num>
  <w:num w:numId="13" w16cid:durableId="753742957">
    <w:abstractNumId w:val="13"/>
  </w:num>
  <w:num w:numId="14" w16cid:durableId="2089767852">
    <w:abstractNumId w:val="12"/>
  </w:num>
  <w:num w:numId="15" w16cid:durableId="1357463522">
    <w:abstractNumId w:val="4"/>
  </w:num>
  <w:num w:numId="16" w16cid:durableId="648510412">
    <w:abstractNumId w:val="15"/>
  </w:num>
  <w:num w:numId="17" w16cid:durableId="639847748">
    <w:abstractNumId w:val="10"/>
  </w:num>
  <w:num w:numId="18" w16cid:durableId="1378358756">
    <w:abstractNumId w:val="11"/>
  </w:num>
  <w:num w:numId="19" w16cid:durableId="651981578">
    <w:abstractNumId w:val="17"/>
  </w:num>
  <w:num w:numId="20" w16cid:durableId="1779373948">
    <w:abstractNumId w:val="5"/>
  </w:num>
  <w:num w:numId="21" w16cid:durableId="1600481668">
    <w:abstractNumId w:val="9"/>
  </w:num>
  <w:num w:numId="22" w16cid:durableId="700667549">
    <w:abstractNumId w:val="0"/>
  </w:num>
  <w:num w:numId="23" w16cid:durableId="1485387740">
    <w:abstractNumId w:val="16"/>
  </w:num>
  <w:num w:numId="24" w16cid:durableId="956915312">
    <w:abstractNumId w:val="1"/>
  </w:num>
  <w:num w:numId="25" w16cid:durableId="357588573">
    <w:abstractNumId w:val="25"/>
  </w:num>
  <w:num w:numId="26" w16cid:durableId="113444379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EEF"/>
    <w:rsid w:val="00003D8F"/>
    <w:rsid w:val="0000420A"/>
    <w:rsid w:val="00004632"/>
    <w:rsid w:val="00004AE7"/>
    <w:rsid w:val="00007968"/>
    <w:rsid w:val="00010BA0"/>
    <w:rsid w:val="00015EE6"/>
    <w:rsid w:val="0001674B"/>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D26"/>
    <w:rsid w:val="00054EC2"/>
    <w:rsid w:val="00055EB9"/>
    <w:rsid w:val="0005653D"/>
    <w:rsid w:val="00057BF2"/>
    <w:rsid w:val="00060E2F"/>
    <w:rsid w:val="0006130F"/>
    <w:rsid w:val="0006235A"/>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2EAB"/>
    <w:rsid w:val="00093BE8"/>
    <w:rsid w:val="00093FE2"/>
    <w:rsid w:val="0009471C"/>
    <w:rsid w:val="000949BF"/>
    <w:rsid w:val="0009504E"/>
    <w:rsid w:val="000970F9"/>
    <w:rsid w:val="000A01B9"/>
    <w:rsid w:val="000A0C1B"/>
    <w:rsid w:val="000A68ED"/>
    <w:rsid w:val="000A74CA"/>
    <w:rsid w:val="000B5B93"/>
    <w:rsid w:val="000B5FF1"/>
    <w:rsid w:val="000B609F"/>
    <w:rsid w:val="000B6B56"/>
    <w:rsid w:val="000C071C"/>
    <w:rsid w:val="000D55A8"/>
    <w:rsid w:val="000D57BE"/>
    <w:rsid w:val="000D6876"/>
    <w:rsid w:val="000E0165"/>
    <w:rsid w:val="000E3A82"/>
    <w:rsid w:val="000E3C5A"/>
    <w:rsid w:val="000E406D"/>
    <w:rsid w:val="000E4841"/>
    <w:rsid w:val="000E5CB4"/>
    <w:rsid w:val="000F06F6"/>
    <w:rsid w:val="000F0D51"/>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5CAE"/>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76576"/>
    <w:rsid w:val="00180548"/>
    <w:rsid w:val="00180AC4"/>
    <w:rsid w:val="00180B1E"/>
    <w:rsid w:val="00180CCE"/>
    <w:rsid w:val="00181438"/>
    <w:rsid w:val="0018267A"/>
    <w:rsid w:val="001826E6"/>
    <w:rsid w:val="00182779"/>
    <w:rsid w:val="001830DF"/>
    <w:rsid w:val="00183285"/>
    <w:rsid w:val="001833C2"/>
    <w:rsid w:val="00183693"/>
    <w:rsid w:val="00192D85"/>
    <w:rsid w:val="00193AB3"/>
    <w:rsid w:val="00193AD3"/>
    <w:rsid w:val="001966D9"/>
    <w:rsid w:val="00197963"/>
    <w:rsid w:val="001A620B"/>
    <w:rsid w:val="001A716A"/>
    <w:rsid w:val="001A7E9A"/>
    <w:rsid w:val="001B0F70"/>
    <w:rsid w:val="001B5016"/>
    <w:rsid w:val="001B6CEE"/>
    <w:rsid w:val="001C45FC"/>
    <w:rsid w:val="001C594A"/>
    <w:rsid w:val="001D196D"/>
    <w:rsid w:val="001D1BF7"/>
    <w:rsid w:val="001D44D2"/>
    <w:rsid w:val="001D4862"/>
    <w:rsid w:val="001D4EFC"/>
    <w:rsid w:val="001D632F"/>
    <w:rsid w:val="001D7EF2"/>
    <w:rsid w:val="001E1C34"/>
    <w:rsid w:val="001E1FB4"/>
    <w:rsid w:val="001E23FD"/>
    <w:rsid w:val="001E25B9"/>
    <w:rsid w:val="001E2BFC"/>
    <w:rsid w:val="001E392F"/>
    <w:rsid w:val="001E49E0"/>
    <w:rsid w:val="001E7B5A"/>
    <w:rsid w:val="001F0BCF"/>
    <w:rsid w:val="001F1478"/>
    <w:rsid w:val="001F16A1"/>
    <w:rsid w:val="001F2AF5"/>
    <w:rsid w:val="001F3062"/>
    <w:rsid w:val="001F5204"/>
    <w:rsid w:val="001F603D"/>
    <w:rsid w:val="001F7412"/>
    <w:rsid w:val="001F7C77"/>
    <w:rsid w:val="00201386"/>
    <w:rsid w:val="0020247F"/>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1CF8"/>
    <w:rsid w:val="00245162"/>
    <w:rsid w:val="00245EFB"/>
    <w:rsid w:val="002526C5"/>
    <w:rsid w:val="002529D2"/>
    <w:rsid w:val="0025386E"/>
    <w:rsid w:val="00254AB3"/>
    <w:rsid w:val="00262B95"/>
    <w:rsid w:val="002638B0"/>
    <w:rsid w:val="0026510C"/>
    <w:rsid w:val="0026647A"/>
    <w:rsid w:val="002668D3"/>
    <w:rsid w:val="00266F17"/>
    <w:rsid w:val="002672D0"/>
    <w:rsid w:val="00270D04"/>
    <w:rsid w:val="0027242B"/>
    <w:rsid w:val="0027299F"/>
    <w:rsid w:val="00275182"/>
    <w:rsid w:val="00275946"/>
    <w:rsid w:val="00276414"/>
    <w:rsid w:val="00276FEA"/>
    <w:rsid w:val="00280010"/>
    <w:rsid w:val="0028252D"/>
    <w:rsid w:val="00284EBE"/>
    <w:rsid w:val="00285AA7"/>
    <w:rsid w:val="00286720"/>
    <w:rsid w:val="00286B97"/>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0923"/>
    <w:rsid w:val="002B1C45"/>
    <w:rsid w:val="002B2970"/>
    <w:rsid w:val="002C097C"/>
    <w:rsid w:val="002C1227"/>
    <w:rsid w:val="002C13C8"/>
    <w:rsid w:val="002C259C"/>
    <w:rsid w:val="002C3547"/>
    <w:rsid w:val="002D0021"/>
    <w:rsid w:val="002D10A3"/>
    <w:rsid w:val="002D2356"/>
    <w:rsid w:val="002D295D"/>
    <w:rsid w:val="002D3473"/>
    <w:rsid w:val="002D5E9A"/>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2612"/>
    <w:rsid w:val="00303C2F"/>
    <w:rsid w:val="0030558B"/>
    <w:rsid w:val="00306E87"/>
    <w:rsid w:val="00310FC2"/>
    <w:rsid w:val="003134B4"/>
    <w:rsid w:val="003144EF"/>
    <w:rsid w:val="00314D81"/>
    <w:rsid w:val="003160CF"/>
    <w:rsid w:val="0032538A"/>
    <w:rsid w:val="00326292"/>
    <w:rsid w:val="00326415"/>
    <w:rsid w:val="00330937"/>
    <w:rsid w:val="00330F31"/>
    <w:rsid w:val="003326F0"/>
    <w:rsid w:val="00334648"/>
    <w:rsid w:val="00336BD6"/>
    <w:rsid w:val="00336CA6"/>
    <w:rsid w:val="0033768C"/>
    <w:rsid w:val="00337938"/>
    <w:rsid w:val="003379DF"/>
    <w:rsid w:val="00340769"/>
    <w:rsid w:val="00341A65"/>
    <w:rsid w:val="00341AA6"/>
    <w:rsid w:val="00342E57"/>
    <w:rsid w:val="003500E5"/>
    <w:rsid w:val="00355B57"/>
    <w:rsid w:val="00357FB9"/>
    <w:rsid w:val="00361A0A"/>
    <w:rsid w:val="00361DF9"/>
    <w:rsid w:val="0036382C"/>
    <w:rsid w:val="00363F0D"/>
    <w:rsid w:val="00363F29"/>
    <w:rsid w:val="003650D4"/>
    <w:rsid w:val="0036565C"/>
    <w:rsid w:val="0036625E"/>
    <w:rsid w:val="00367162"/>
    <w:rsid w:val="00367F47"/>
    <w:rsid w:val="00372CD4"/>
    <w:rsid w:val="0037386C"/>
    <w:rsid w:val="0037465A"/>
    <w:rsid w:val="00380534"/>
    <w:rsid w:val="0038255B"/>
    <w:rsid w:val="00382C98"/>
    <w:rsid w:val="0038325E"/>
    <w:rsid w:val="00384604"/>
    <w:rsid w:val="00384E3D"/>
    <w:rsid w:val="00385041"/>
    <w:rsid w:val="0038533C"/>
    <w:rsid w:val="00385D73"/>
    <w:rsid w:val="00390F5D"/>
    <w:rsid w:val="00391B12"/>
    <w:rsid w:val="003937B9"/>
    <w:rsid w:val="003948D5"/>
    <w:rsid w:val="003957FD"/>
    <w:rsid w:val="00396821"/>
    <w:rsid w:val="00396CE5"/>
    <w:rsid w:val="003979A3"/>
    <w:rsid w:val="00397D3A"/>
    <w:rsid w:val="003A051E"/>
    <w:rsid w:val="003A0BBE"/>
    <w:rsid w:val="003A2448"/>
    <w:rsid w:val="003A2F5D"/>
    <w:rsid w:val="003A3128"/>
    <w:rsid w:val="003A3A33"/>
    <w:rsid w:val="003A4AC6"/>
    <w:rsid w:val="003A5AD1"/>
    <w:rsid w:val="003A60FF"/>
    <w:rsid w:val="003A696A"/>
    <w:rsid w:val="003A71A1"/>
    <w:rsid w:val="003B170F"/>
    <w:rsid w:val="003B3C5F"/>
    <w:rsid w:val="003B571A"/>
    <w:rsid w:val="003C1451"/>
    <w:rsid w:val="003C2017"/>
    <w:rsid w:val="003C4471"/>
    <w:rsid w:val="003C6717"/>
    <w:rsid w:val="003D0A6D"/>
    <w:rsid w:val="003D100A"/>
    <w:rsid w:val="003D23CD"/>
    <w:rsid w:val="003D3045"/>
    <w:rsid w:val="003D3410"/>
    <w:rsid w:val="003D4300"/>
    <w:rsid w:val="003D6AC4"/>
    <w:rsid w:val="003D7B57"/>
    <w:rsid w:val="003E004D"/>
    <w:rsid w:val="003E064D"/>
    <w:rsid w:val="003E0B16"/>
    <w:rsid w:val="003E2D1B"/>
    <w:rsid w:val="003E2E7C"/>
    <w:rsid w:val="003E67D1"/>
    <w:rsid w:val="003E70CE"/>
    <w:rsid w:val="003F0B80"/>
    <w:rsid w:val="003F500E"/>
    <w:rsid w:val="003F655E"/>
    <w:rsid w:val="003F74D9"/>
    <w:rsid w:val="00400920"/>
    <w:rsid w:val="00403F09"/>
    <w:rsid w:val="00404EF7"/>
    <w:rsid w:val="00405DC1"/>
    <w:rsid w:val="00411E1B"/>
    <w:rsid w:val="00414BF9"/>
    <w:rsid w:val="00415DFF"/>
    <w:rsid w:val="00415F1F"/>
    <w:rsid w:val="00416D53"/>
    <w:rsid w:val="00420922"/>
    <w:rsid w:val="0042108F"/>
    <w:rsid w:val="004214D4"/>
    <w:rsid w:val="004216EA"/>
    <w:rsid w:val="004235F4"/>
    <w:rsid w:val="00426969"/>
    <w:rsid w:val="00426B64"/>
    <w:rsid w:val="00430FED"/>
    <w:rsid w:val="00434A8C"/>
    <w:rsid w:val="0043653E"/>
    <w:rsid w:val="00437297"/>
    <w:rsid w:val="00437ABE"/>
    <w:rsid w:val="00440AC5"/>
    <w:rsid w:val="00444284"/>
    <w:rsid w:val="004442F1"/>
    <w:rsid w:val="00445CE6"/>
    <w:rsid w:val="00446987"/>
    <w:rsid w:val="00451DA7"/>
    <w:rsid w:val="004534C2"/>
    <w:rsid w:val="00453967"/>
    <w:rsid w:val="0045446F"/>
    <w:rsid w:val="00454C9D"/>
    <w:rsid w:val="0045683E"/>
    <w:rsid w:val="00456903"/>
    <w:rsid w:val="0046142D"/>
    <w:rsid w:val="00461F01"/>
    <w:rsid w:val="0046274F"/>
    <w:rsid w:val="0046298C"/>
    <w:rsid w:val="00463259"/>
    <w:rsid w:val="004659E0"/>
    <w:rsid w:val="00466361"/>
    <w:rsid w:val="00466ED6"/>
    <w:rsid w:val="00467C71"/>
    <w:rsid w:val="0047084C"/>
    <w:rsid w:val="00470A63"/>
    <w:rsid w:val="00470C55"/>
    <w:rsid w:val="004715C1"/>
    <w:rsid w:val="004731F4"/>
    <w:rsid w:val="0047457A"/>
    <w:rsid w:val="00481FC8"/>
    <w:rsid w:val="0048258B"/>
    <w:rsid w:val="004826B0"/>
    <w:rsid w:val="00482FE3"/>
    <w:rsid w:val="00486065"/>
    <w:rsid w:val="00486776"/>
    <w:rsid w:val="004868BB"/>
    <w:rsid w:val="00491675"/>
    <w:rsid w:val="00493855"/>
    <w:rsid w:val="00497558"/>
    <w:rsid w:val="00497CF9"/>
    <w:rsid w:val="004A27CB"/>
    <w:rsid w:val="004A2A00"/>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E64"/>
    <w:rsid w:val="004D2FFF"/>
    <w:rsid w:val="004D3721"/>
    <w:rsid w:val="004D5FEF"/>
    <w:rsid w:val="004D64F9"/>
    <w:rsid w:val="004D687E"/>
    <w:rsid w:val="004E1D03"/>
    <w:rsid w:val="004E3528"/>
    <w:rsid w:val="004E4224"/>
    <w:rsid w:val="004E5A14"/>
    <w:rsid w:val="004E622C"/>
    <w:rsid w:val="004E64DB"/>
    <w:rsid w:val="004F13C3"/>
    <w:rsid w:val="004F1534"/>
    <w:rsid w:val="004F2DD1"/>
    <w:rsid w:val="004F301B"/>
    <w:rsid w:val="004F3375"/>
    <w:rsid w:val="004F4010"/>
    <w:rsid w:val="004F55F1"/>
    <w:rsid w:val="004F5FDF"/>
    <w:rsid w:val="0050085E"/>
    <w:rsid w:val="0050156C"/>
    <w:rsid w:val="00504864"/>
    <w:rsid w:val="00504AFA"/>
    <w:rsid w:val="0050563B"/>
    <w:rsid w:val="005059A4"/>
    <w:rsid w:val="0050652C"/>
    <w:rsid w:val="00515756"/>
    <w:rsid w:val="00515F63"/>
    <w:rsid w:val="005177FE"/>
    <w:rsid w:val="00517C5A"/>
    <w:rsid w:val="0052263B"/>
    <w:rsid w:val="00523081"/>
    <w:rsid w:val="00524728"/>
    <w:rsid w:val="00524840"/>
    <w:rsid w:val="005248E2"/>
    <w:rsid w:val="00525459"/>
    <w:rsid w:val="00525C99"/>
    <w:rsid w:val="0052732A"/>
    <w:rsid w:val="00527527"/>
    <w:rsid w:val="00530010"/>
    <w:rsid w:val="00530CA0"/>
    <w:rsid w:val="00532283"/>
    <w:rsid w:val="005323A7"/>
    <w:rsid w:val="005331CA"/>
    <w:rsid w:val="005337E0"/>
    <w:rsid w:val="0053523A"/>
    <w:rsid w:val="0053524F"/>
    <w:rsid w:val="00537970"/>
    <w:rsid w:val="00540E3A"/>
    <w:rsid w:val="00542E08"/>
    <w:rsid w:val="005433D7"/>
    <w:rsid w:val="00543941"/>
    <w:rsid w:val="00544127"/>
    <w:rsid w:val="00544A64"/>
    <w:rsid w:val="005508BB"/>
    <w:rsid w:val="005521EF"/>
    <w:rsid w:val="00553EB2"/>
    <w:rsid w:val="00555C4D"/>
    <w:rsid w:val="00560534"/>
    <w:rsid w:val="005634B5"/>
    <w:rsid w:val="0056391B"/>
    <w:rsid w:val="005650E2"/>
    <w:rsid w:val="00566D80"/>
    <w:rsid w:val="00567155"/>
    <w:rsid w:val="00567AD7"/>
    <w:rsid w:val="00570EBE"/>
    <w:rsid w:val="005716C3"/>
    <w:rsid w:val="00573594"/>
    <w:rsid w:val="00575B07"/>
    <w:rsid w:val="00575B2D"/>
    <w:rsid w:val="005800D0"/>
    <w:rsid w:val="005833D0"/>
    <w:rsid w:val="005846F3"/>
    <w:rsid w:val="005859D2"/>
    <w:rsid w:val="0058622F"/>
    <w:rsid w:val="005865D6"/>
    <w:rsid w:val="00586968"/>
    <w:rsid w:val="00590880"/>
    <w:rsid w:val="00590FE6"/>
    <w:rsid w:val="005912C4"/>
    <w:rsid w:val="00591631"/>
    <w:rsid w:val="00591B8A"/>
    <w:rsid w:val="00592E7F"/>
    <w:rsid w:val="00592F82"/>
    <w:rsid w:val="005936B3"/>
    <w:rsid w:val="005953ED"/>
    <w:rsid w:val="00595B58"/>
    <w:rsid w:val="005966E3"/>
    <w:rsid w:val="005A0CCA"/>
    <w:rsid w:val="005A2152"/>
    <w:rsid w:val="005A2194"/>
    <w:rsid w:val="005A2628"/>
    <w:rsid w:val="005A383D"/>
    <w:rsid w:val="005A43F4"/>
    <w:rsid w:val="005A50F9"/>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1013"/>
    <w:rsid w:val="005D3437"/>
    <w:rsid w:val="005D3C71"/>
    <w:rsid w:val="005D43E0"/>
    <w:rsid w:val="005D5211"/>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5916"/>
    <w:rsid w:val="00620ACA"/>
    <w:rsid w:val="00621263"/>
    <w:rsid w:val="00621A17"/>
    <w:rsid w:val="0062260C"/>
    <w:rsid w:val="0062781A"/>
    <w:rsid w:val="00627BF7"/>
    <w:rsid w:val="00627CC9"/>
    <w:rsid w:val="00627E7B"/>
    <w:rsid w:val="00630542"/>
    <w:rsid w:val="00630727"/>
    <w:rsid w:val="00631E7B"/>
    <w:rsid w:val="00632E44"/>
    <w:rsid w:val="0063316D"/>
    <w:rsid w:val="00633DC9"/>
    <w:rsid w:val="006341CE"/>
    <w:rsid w:val="00634622"/>
    <w:rsid w:val="00636808"/>
    <w:rsid w:val="0064043F"/>
    <w:rsid w:val="00641515"/>
    <w:rsid w:val="0064169B"/>
    <w:rsid w:val="006423CF"/>
    <w:rsid w:val="00643ABE"/>
    <w:rsid w:val="00646108"/>
    <w:rsid w:val="00650D1E"/>
    <w:rsid w:val="00651E87"/>
    <w:rsid w:val="006521CD"/>
    <w:rsid w:val="00652A22"/>
    <w:rsid w:val="00653584"/>
    <w:rsid w:val="0065412B"/>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375A"/>
    <w:rsid w:val="00697EA1"/>
    <w:rsid w:val="006A051A"/>
    <w:rsid w:val="006A2646"/>
    <w:rsid w:val="006A6530"/>
    <w:rsid w:val="006A695F"/>
    <w:rsid w:val="006A6D1D"/>
    <w:rsid w:val="006B14F9"/>
    <w:rsid w:val="006B2893"/>
    <w:rsid w:val="006B435A"/>
    <w:rsid w:val="006B4539"/>
    <w:rsid w:val="006B4C64"/>
    <w:rsid w:val="006B5395"/>
    <w:rsid w:val="006B5AE8"/>
    <w:rsid w:val="006C5CE2"/>
    <w:rsid w:val="006D0529"/>
    <w:rsid w:val="006D0605"/>
    <w:rsid w:val="006D176A"/>
    <w:rsid w:val="006D564C"/>
    <w:rsid w:val="006D6BD5"/>
    <w:rsid w:val="006E1CB0"/>
    <w:rsid w:val="006E254C"/>
    <w:rsid w:val="006E2974"/>
    <w:rsid w:val="006E481A"/>
    <w:rsid w:val="006E49F8"/>
    <w:rsid w:val="006E5298"/>
    <w:rsid w:val="006E619C"/>
    <w:rsid w:val="006E6A1F"/>
    <w:rsid w:val="006E6A6A"/>
    <w:rsid w:val="006E77B0"/>
    <w:rsid w:val="006F6B2E"/>
    <w:rsid w:val="006F734A"/>
    <w:rsid w:val="00700D83"/>
    <w:rsid w:val="0070182A"/>
    <w:rsid w:val="00704852"/>
    <w:rsid w:val="00704C24"/>
    <w:rsid w:val="00705A77"/>
    <w:rsid w:val="007074E9"/>
    <w:rsid w:val="00707954"/>
    <w:rsid w:val="00707BC5"/>
    <w:rsid w:val="00711B7F"/>
    <w:rsid w:val="0071214B"/>
    <w:rsid w:val="00712BE5"/>
    <w:rsid w:val="00713CA6"/>
    <w:rsid w:val="00713DA4"/>
    <w:rsid w:val="007142FA"/>
    <w:rsid w:val="00714BF1"/>
    <w:rsid w:val="00721383"/>
    <w:rsid w:val="007216AD"/>
    <w:rsid w:val="00721904"/>
    <w:rsid w:val="00726E9A"/>
    <w:rsid w:val="00727864"/>
    <w:rsid w:val="007333CC"/>
    <w:rsid w:val="007335D8"/>
    <w:rsid w:val="0073399A"/>
    <w:rsid w:val="007369C7"/>
    <w:rsid w:val="007377FE"/>
    <w:rsid w:val="00741D74"/>
    <w:rsid w:val="00743531"/>
    <w:rsid w:val="007452BB"/>
    <w:rsid w:val="007462D9"/>
    <w:rsid w:val="00746A22"/>
    <w:rsid w:val="00751986"/>
    <w:rsid w:val="0075428A"/>
    <w:rsid w:val="00754F10"/>
    <w:rsid w:val="007561D7"/>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1866"/>
    <w:rsid w:val="0079206E"/>
    <w:rsid w:val="00793173"/>
    <w:rsid w:val="0079384C"/>
    <w:rsid w:val="007958F0"/>
    <w:rsid w:val="00797E1B"/>
    <w:rsid w:val="007A12A4"/>
    <w:rsid w:val="007B0393"/>
    <w:rsid w:val="007B17F7"/>
    <w:rsid w:val="007B1E13"/>
    <w:rsid w:val="007B3B1B"/>
    <w:rsid w:val="007B5180"/>
    <w:rsid w:val="007B5F0B"/>
    <w:rsid w:val="007C0111"/>
    <w:rsid w:val="007C0260"/>
    <w:rsid w:val="007C0663"/>
    <w:rsid w:val="007C1FCC"/>
    <w:rsid w:val="007C2831"/>
    <w:rsid w:val="007C2AA1"/>
    <w:rsid w:val="007C2BE7"/>
    <w:rsid w:val="007C3439"/>
    <w:rsid w:val="007C456D"/>
    <w:rsid w:val="007C6201"/>
    <w:rsid w:val="007D0348"/>
    <w:rsid w:val="007D03E9"/>
    <w:rsid w:val="007D13C6"/>
    <w:rsid w:val="007D1C68"/>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3D35"/>
    <w:rsid w:val="00804000"/>
    <w:rsid w:val="008042D1"/>
    <w:rsid w:val="0080454E"/>
    <w:rsid w:val="00804C32"/>
    <w:rsid w:val="00806302"/>
    <w:rsid w:val="00807119"/>
    <w:rsid w:val="008071D5"/>
    <w:rsid w:val="00807FE8"/>
    <w:rsid w:val="008115ED"/>
    <w:rsid w:val="00811865"/>
    <w:rsid w:val="00814A55"/>
    <w:rsid w:val="0081547D"/>
    <w:rsid w:val="00821AB6"/>
    <w:rsid w:val="0082483F"/>
    <w:rsid w:val="00826DFF"/>
    <w:rsid w:val="00827849"/>
    <w:rsid w:val="008279C0"/>
    <w:rsid w:val="00841E70"/>
    <w:rsid w:val="00845226"/>
    <w:rsid w:val="00845994"/>
    <w:rsid w:val="008473AA"/>
    <w:rsid w:val="00852398"/>
    <w:rsid w:val="00852883"/>
    <w:rsid w:val="00852F37"/>
    <w:rsid w:val="008571F6"/>
    <w:rsid w:val="00857A02"/>
    <w:rsid w:val="00861E51"/>
    <w:rsid w:val="00870B96"/>
    <w:rsid w:val="008723F3"/>
    <w:rsid w:val="00873246"/>
    <w:rsid w:val="008749C4"/>
    <w:rsid w:val="00875E2E"/>
    <w:rsid w:val="00880F99"/>
    <w:rsid w:val="00881DA8"/>
    <w:rsid w:val="00881DE6"/>
    <w:rsid w:val="008837A6"/>
    <w:rsid w:val="008841E5"/>
    <w:rsid w:val="00884C25"/>
    <w:rsid w:val="00884D7C"/>
    <w:rsid w:val="0089145D"/>
    <w:rsid w:val="00896FD7"/>
    <w:rsid w:val="00897428"/>
    <w:rsid w:val="00897D8D"/>
    <w:rsid w:val="008A15DA"/>
    <w:rsid w:val="008A1962"/>
    <w:rsid w:val="008A30C3"/>
    <w:rsid w:val="008A30EE"/>
    <w:rsid w:val="008A4DF2"/>
    <w:rsid w:val="008A6841"/>
    <w:rsid w:val="008A6CFE"/>
    <w:rsid w:val="008B02ED"/>
    <w:rsid w:val="008B40E7"/>
    <w:rsid w:val="008B4681"/>
    <w:rsid w:val="008B4B58"/>
    <w:rsid w:val="008B5333"/>
    <w:rsid w:val="008B5476"/>
    <w:rsid w:val="008B6223"/>
    <w:rsid w:val="008C0772"/>
    <w:rsid w:val="008C165D"/>
    <w:rsid w:val="008C4066"/>
    <w:rsid w:val="008C66E0"/>
    <w:rsid w:val="008D0122"/>
    <w:rsid w:val="008D1401"/>
    <w:rsid w:val="008D3E17"/>
    <w:rsid w:val="008D46E9"/>
    <w:rsid w:val="008D5D34"/>
    <w:rsid w:val="008D7718"/>
    <w:rsid w:val="008E153D"/>
    <w:rsid w:val="008E220E"/>
    <w:rsid w:val="008E3339"/>
    <w:rsid w:val="008E3ADC"/>
    <w:rsid w:val="008E64D3"/>
    <w:rsid w:val="008E6F11"/>
    <w:rsid w:val="008F0138"/>
    <w:rsid w:val="008F20FC"/>
    <w:rsid w:val="008F3248"/>
    <w:rsid w:val="008F50C4"/>
    <w:rsid w:val="008F5FFE"/>
    <w:rsid w:val="0090037B"/>
    <w:rsid w:val="00903CAA"/>
    <w:rsid w:val="00905A43"/>
    <w:rsid w:val="009064FE"/>
    <w:rsid w:val="009078CE"/>
    <w:rsid w:val="009078FC"/>
    <w:rsid w:val="009108EF"/>
    <w:rsid w:val="00911C23"/>
    <w:rsid w:val="00912C79"/>
    <w:rsid w:val="009137A6"/>
    <w:rsid w:val="00913FB9"/>
    <w:rsid w:val="00915010"/>
    <w:rsid w:val="0091528C"/>
    <w:rsid w:val="009173D1"/>
    <w:rsid w:val="0092350E"/>
    <w:rsid w:val="00923CCC"/>
    <w:rsid w:val="00926D10"/>
    <w:rsid w:val="009275FE"/>
    <w:rsid w:val="009355DB"/>
    <w:rsid w:val="00940C1F"/>
    <w:rsid w:val="00942123"/>
    <w:rsid w:val="0094263A"/>
    <w:rsid w:val="00943E90"/>
    <w:rsid w:val="00943EE0"/>
    <w:rsid w:val="009447D4"/>
    <w:rsid w:val="009466B4"/>
    <w:rsid w:val="00946EE0"/>
    <w:rsid w:val="0095029B"/>
    <w:rsid w:val="0095207B"/>
    <w:rsid w:val="009521C5"/>
    <w:rsid w:val="0095223A"/>
    <w:rsid w:val="009533CB"/>
    <w:rsid w:val="00953B5C"/>
    <w:rsid w:val="00955186"/>
    <w:rsid w:val="0095526F"/>
    <w:rsid w:val="00955CE0"/>
    <w:rsid w:val="009609CA"/>
    <w:rsid w:val="00961BC2"/>
    <w:rsid w:val="00962045"/>
    <w:rsid w:val="00966E44"/>
    <w:rsid w:val="00966EAE"/>
    <w:rsid w:val="009703BD"/>
    <w:rsid w:val="009708BB"/>
    <w:rsid w:val="009727DF"/>
    <w:rsid w:val="009729E8"/>
    <w:rsid w:val="009743E8"/>
    <w:rsid w:val="00975009"/>
    <w:rsid w:val="00975640"/>
    <w:rsid w:val="00975B29"/>
    <w:rsid w:val="00976DA5"/>
    <w:rsid w:val="009773BA"/>
    <w:rsid w:val="00980DF0"/>
    <w:rsid w:val="00981608"/>
    <w:rsid w:val="00984680"/>
    <w:rsid w:val="00986979"/>
    <w:rsid w:val="00990F04"/>
    <w:rsid w:val="00991272"/>
    <w:rsid w:val="00991428"/>
    <w:rsid w:val="00991C34"/>
    <w:rsid w:val="00992676"/>
    <w:rsid w:val="009929FB"/>
    <w:rsid w:val="00997A85"/>
    <w:rsid w:val="009A0501"/>
    <w:rsid w:val="009A2BCA"/>
    <w:rsid w:val="009A3585"/>
    <w:rsid w:val="009A4050"/>
    <w:rsid w:val="009A4BC8"/>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140E"/>
    <w:rsid w:val="009D382E"/>
    <w:rsid w:val="009D3FCE"/>
    <w:rsid w:val="009D43D0"/>
    <w:rsid w:val="009D510C"/>
    <w:rsid w:val="009D5CDB"/>
    <w:rsid w:val="009D6709"/>
    <w:rsid w:val="009E13C1"/>
    <w:rsid w:val="009E2A9C"/>
    <w:rsid w:val="009E2AEB"/>
    <w:rsid w:val="009E2E27"/>
    <w:rsid w:val="009E44C0"/>
    <w:rsid w:val="009E4DE3"/>
    <w:rsid w:val="009E50C1"/>
    <w:rsid w:val="009F0C29"/>
    <w:rsid w:val="009F1983"/>
    <w:rsid w:val="009F2472"/>
    <w:rsid w:val="00A01336"/>
    <w:rsid w:val="00A02198"/>
    <w:rsid w:val="00A047EE"/>
    <w:rsid w:val="00A057CA"/>
    <w:rsid w:val="00A13F8F"/>
    <w:rsid w:val="00A149B7"/>
    <w:rsid w:val="00A17146"/>
    <w:rsid w:val="00A177BC"/>
    <w:rsid w:val="00A17930"/>
    <w:rsid w:val="00A21757"/>
    <w:rsid w:val="00A2274A"/>
    <w:rsid w:val="00A235B7"/>
    <w:rsid w:val="00A249AC"/>
    <w:rsid w:val="00A27A7A"/>
    <w:rsid w:val="00A301D1"/>
    <w:rsid w:val="00A31881"/>
    <w:rsid w:val="00A40529"/>
    <w:rsid w:val="00A407EF"/>
    <w:rsid w:val="00A411B7"/>
    <w:rsid w:val="00A42C09"/>
    <w:rsid w:val="00A45800"/>
    <w:rsid w:val="00A465AF"/>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5B3C"/>
    <w:rsid w:val="00A95F37"/>
    <w:rsid w:val="00A96062"/>
    <w:rsid w:val="00A96489"/>
    <w:rsid w:val="00A96BB0"/>
    <w:rsid w:val="00A977C9"/>
    <w:rsid w:val="00A97D88"/>
    <w:rsid w:val="00AA0E39"/>
    <w:rsid w:val="00AA1F76"/>
    <w:rsid w:val="00AA23CE"/>
    <w:rsid w:val="00AA2CBD"/>
    <w:rsid w:val="00AA5A58"/>
    <w:rsid w:val="00AA670C"/>
    <w:rsid w:val="00AA75A1"/>
    <w:rsid w:val="00AB1B60"/>
    <w:rsid w:val="00AB590A"/>
    <w:rsid w:val="00AB5A37"/>
    <w:rsid w:val="00AB61D6"/>
    <w:rsid w:val="00AB63DE"/>
    <w:rsid w:val="00AB685C"/>
    <w:rsid w:val="00AB6C2D"/>
    <w:rsid w:val="00AC08F7"/>
    <w:rsid w:val="00AC126D"/>
    <w:rsid w:val="00AC3075"/>
    <w:rsid w:val="00AC36E5"/>
    <w:rsid w:val="00AC3839"/>
    <w:rsid w:val="00AC6F8B"/>
    <w:rsid w:val="00AC7082"/>
    <w:rsid w:val="00AD0662"/>
    <w:rsid w:val="00AD1B6B"/>
    <w:rsid w:val="00AD331C"/>
    <w:rsid w:val="00AD57A5"/>
    <w:rsid w:val="00AD65A8"/>
    <w:rsid w:val="00AD74AD"/>
    <w:rsid w:val="00AD7A9A"/>
    <w:rsid w:val="00AE027F"/>
    <w:rsid w:val="00AE3321"/>
    <w:rsid w:val="00AE4D6F"/>
    <w:rsid w:val="00AF228E"/>
    <w:rsid w:val="00AF455B"/>
    <w:rsid w:val="00AF5899"/>
    <w:rsid w:val="00B002F7"/>
    <w:rsid w:val="00B0123F"/>
    <w:rsid w:val="00B04004"/>
    <w:rsid w:val="00B12F13"/>
    <w:rsid w:val="00B14819"/>
    <w:rsid w:val="00B16AED"/>
    <w:rsid w:val="00B16F58"/>
    <w:rsid w:val="00B17AA9"/>
    <w:rsid w:val="00B221FF"/>
    <w:rsid w:val="00B2292D"/>
    <w:rsid w:val="00B26B31"/>
    <w:rsid w:val="00B27589"/>
    <w:rsid w:val="00B30A70"/>
    <w:rsid w:val="00B32674"/>
    <w:rsid w:val="00B333FE"/>
    <w:rsid w:val="00B3503B"/>
    <w:rsid w:val="00B378FA"/>
    <w:rsid w:val="00B42352"/>
    <w:rsid w:val="00B51227"/>
    <w:rsid w:val="00B51975"/>
    <w:rsid w:val="00B52E4D"/>
    <w:rsid w:val="00B54F90"/>
    <w:rsid w:val="00B55C9E"/>
    <w:rsid w:val="00B56B95"/>
    <w:rsid w:val="00B57C6B"/>
    <w:rsid w:val="00B607DF"/>
    <w:rsid w:val="00B6409C"/>
    <w:rsid w:val="00B64845"/>
    <w:rsid w:val="00B64A85"/>
    <w:rsid w:val="00B66053"/>
    <w:rsid w:val="00B6663D"/>
    <w:rsid w:val="00B676BF"/>
    <w:rsid w:val="00B7193E"/>
    <w:rsid w:val="00B72999"/>
    <w:rsid w:val="00B72FD7"/>
    <w:rsid w:val="00B736DF"/>
    <w:rsid w:val="00B74FBD"/>
    <w:rsid w:val="00B75D01"/>
    <w:rsid w:val="00B82586"/>
    <w:rsid w:val="00B829A3"/>
    <w:rsid w:val="00B84CE9"/>
    <w:rsid w:val="00B86537"/>
    <w:rsid w:val="00B86DB1"/>
    <w:rsid w:val="00B87869"/>
    <w:rsid w:val="00B87A61"/>
    <w:rsid w:val="00B92D5B"/>
    <w:rsid w:val="00B92EBB"/>
    <w:rsid w:val="00B9417E"/>
    <w:rsid w:val="00B948AE"/>
    <w:rsid w:val="00BA1648"/>
    <w:rsid w:val="00BA2637"/>
    <w:rsid w:val="00BA2753"/>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0C3C"/>
    <w:rsid w:val="00BE2464"/>
    <w:rsid w:val="00BF2B49"/>
    <w:rsid w:val="00BF2E7A"/>
    <w:rsid w:val="00BF3D02"/>
    <w:rsid w:val="00BF40B9"/>
    <w:rsid w:val="00BF50F7"/>
    <w:rsid w:val="00BF5D90"/>
    <w:rsid w:val="00C00231"/>
    <w:rsid w:val="00C01017"/>
    <w:rsid w:val="00C02F29"/>
    <w:rsid w:val="00C04632"/>
    <w:rsid w:val="00C07B0B"/>
    <w:rsid w:val="00C10FC1"/>
    <w:rsid w:val="00C15A16"/>
    <w:rsid w:val="00C1724E"/>
    <w:rsid w:val="00C177C7"/>
    <w:rsid w:val="00C20337"/>
    <w:rsid w:val="00C20AFE"/>
    <w:rsid w:val="00C22A25"/>
    <w:rsid w:val="00C23229"/>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5F94"/>
    <w:rsid w:val="00C56136"/>
    <w:rsid w:val="00C56B61"/>
    <w:rsid w:val="00C56D56"/>
    <w:rsid w:val="00C570AC"/>
    <w:rsid w:val="00C5730D"/>
    <w:rsid w:val="00C60631"/>
    <w:rsid w:val="00C606C3"/>
    <w:rsid w:val="00C61220"/>
    <w:rsid w:val="00C620F4"/>
    <w:rsid w:val="00C629CB"/>
    <w:rsid w:val="00C71F4F"/>
    <w:rsid w:val="00C72848"/>
    <w:rsid w:val="00C750BA"/>
    <w:rsid w:val="00C7736C"/>
    <w:rsid w:val="00C80272"/>
    <w:rsid w:val="00C82D87"/>
    <w:rsid w:val="00C8712A"/>
    <w:rsid w:val="00C92A0D"/>
    <w:rsid w:val="00C952A2"/>
    <w:rsid w:val="00C95E31"/>
    <w:rsid w:val="00C963D3"/>
    <w:rsid w:val="00CA035D"/>
    <w:rsid w:val="00CA1802"/>
    <w:rsid w:val="00CA1AE4"/>
    <w:rsid w:val="00CB262C"/>
    <w:rsid w:val="00CB2CBB"/>
    <w:rsid w:val="00CB7283"/>
    <w:rsid w:val="00CB7CAC"/>
    <w:rsid w:val="00CC1BFC"/>
    <w:rsid w:val="00CC467D"/>
    <w:rsid w:val="00CC5051"/>
    <w:rsid w:val="00CC5335"/>
    <w:rsid w:val="00CC579C"/>
    <w:rsid w:val="00CC5BA4"/>
    <w:rsid w:val="00CC5ECB"/>
    <w:rsid w:val="00CC7728"/>
    <w:rsid w:val="00CD0E2B"/>
    <w:rsid w:val="00CD0FFE"/>
    <w:rsid w:val="00CD24EA"/>
    <w:rsid w:val="00CD34DB"/>
    <w:rsid w:val="00CD377A"/>
    <w:rsid w:val="00CD4998"/>
    <w:rsid w:val="00CD499F"/>
    <w:rsid w:val="00CD5B57"/>
    <w:rsid w:val="00CD7DBC"/>
    <w:rsid w:val="00CE1035"/>
    <w:rsid w:val="00CE2446"/>
    <w:rsid w:val="00CE62CA"/>
    <w:rsid w:val="00CF01D6"/>
    <w:rsid w:val="00CF2819"/>
    <w:rsid w:val="00CF4F9D"/>
    <w:rsid w:val="00CF5AD8"/>
    <w:rsid w:val="00CF70DC"/>
    <w:rsid w:val="00CF717B"/>
    <w:rsid w:val="00D00C90"/>
    <w:rsid w:val="00D068C5"/>
    <w:rsid w:val="00D07F87"/>
    <w:rsid w:val="00D148DC"/>
    <w:rsid w:val="00D16797"/>
    <w:rsid w:val="00D1688E"/>
    <w:rsid w:val="00D17FDC"/>
    <w:rsid w:val="00D223E4"/>
    <w:rsid w:val="00D2521D"/>
    <w:rsid w:val="00D2550E"/>
    <w:rsid w:val="00D256C6"/>
    <w:rsid w:val="00D25F51"/>
    <w:rsid w:val="00D35229"/>
    <w:rsid w:val="00D35ADE"/>
    <w:rsid w:val="00D35EAE"/>
    <w:rsid w:val="00D3610B"/>
    <w:rsid w:val="00D4685B"/>
    <w:rsid w:val="00D56240"/>
    <w:rsid w:val="00D57C59"/>
    <w:rsid w:val="00D60215"/>
    <w:rsid w:val="00D60874"/>
    <w:rsid w:val="00D63AAE"/>
    <w:rsid w:val="00D63EFD"/>
    <w:rsid w:val="00D6588F"/>
    <w:rsid w:val="00D676CE"/>
    <w:rsid w:val="00D676F1"/>
    <w:rsid w:val="00D714E4"/>
    <w:rsid w:val="00D829EB"/>
    <w:rsid w:val="00D83951"/>
    <w:rsid w:val="00D84752"/>
    <w:rsid w:val="00D86A74"/>
    <w:rsid w:val="00D86B3B"/>
    <w:rsid w:val="00D8748A"/>
    <w:rsid w:val="00D905E4"/>
    <w:rsid w:val="00D90643"/>
    <w:rsid w:val="00D910D5"/>
    <w:rsid w:val="00D93196"/>
    <w:rsid w:val="00D931A2"/>
    <w:rsid w:val="00DA2D88"/>
    <w:rsid w:val="00DA42EF"/>
    <w:rsid w:val="00DB09A5"/>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87A"/>
    <w:rsid w:val="00DD2E11"/>
    <w:rsid w:val="00DD4E68"/>
    <w:rsid w:val="00DD526C"/>
    <w:rsid w:val="00DD59B5"/>
    <w:rsid w:val="00DD6923"/>
    <w:rsid w:val="00DD7AD7"/>
    <w:rsid w:val="00DE03AF"/>
    <w:rsid w:val="00DE097E"/>
    <w:rsid w:val="00DE121C"/>
    <w:rsid w:val="00DE475E"/>
    <w:rsid w:val="00DE6633"/>
    <w:rsid w:val="00DF056D"/>
    <w:rsid w:val="00DF4D51"/>
    <w:rsid w:val="00DF577B"/>
    <w:rsid w:val="00DF687B"/>
    <w:rsid w:val="00DF75F8"/>
    <w:rsid w:val="00DF7A3A"/>
    <w:rsid w:val="00DF7AD4"/>
    <w:rsid w:val="00E009E1"/>
    <w:rsid w:val="00E00C00"/>
    <w:rsid w:val="00E00E54"/>
    <w:rsid w:val="00E01C69"/>
    <w:rsid w:val="00E041F9"/>
    <w:rsid w:val="00E05837"/>
    <w:rsid w:val="00E07C5A"/>
    <w:rsid w:val="00E10A73"/>
    <w:rsid w:val="00E11D8C"/>
    <w:rsid w:val="00E12C13"/>
    <w:rsid w:val="00E15BA9"/>
    <w:rsid w:val="00E161D2"/>
    <w:rsid w:val="00E177E2"/>
    <w:rsid w:val="00E17BF1"/>
    <w:rsid w:val="00E224ED"/>
    <w:rsid w:val="00E22DE4"/>
    <w:rsid w:val="00E26E19"/>
    <w:rsid w:val="00E31DF3"/>
    <w:rsid w:val="00E32564"/>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57D7"/>
    <w:rsid w:val="00E7793C"/>
    <w:rsid w:val="00E77C3D"/>
    <w:rsid w:val="00E80299"/>
    <w:rsid w:val="00E81248"/>
    <w:rsid w:val="00E8272F"/>
    <w:rsid w:val="00E84DA5"/>
    <w:rsid w:val="00E84DD5"/>
    <w:rsid w:val="00E86549"/>
    <w:rsid w:val="00E86D64"/>
    <w:rsid w:val="00E909F0"/>
    <w:rsid w:val="00E90A7A"/>
    <w:rsid w:val="00E90B4B"/>
    <w:rsid w:val="00E90D47"/>
    <w:rsid w:val="00E91BE6"/>
    <w:rsid w:val="00E92DA7"/>
    <w:rsid w:val="00E93993"/>
    <w:rsid w:val="00E950C0"/>
    <w:rsid w:val="00E9597C"/>
    <w:rsid w:val="00EA0879"/>
    <w:rsid w:val="00EA0913"/>
    <w:rsid w:val="00EA2B5C"/>
    <w:rsid w:val="00EA4D77"/>
    <w:rsid w:val="00EA5317"/>
    <w:rsid w:val="00EA6550"/>
    <w:rsid w:val="00EA7BAB"/>
    <w:rsid w:val="00EB02BE"/>
    <w:rsid w:val="00EB146B"/>
    <w:rsid w:val="00EB21D4"/>
    <w:rsid w:val="00EB2845"/>
    <w:rsid w:val="00EB45AC"/>
    <w:rsid w:val="00EB488B"/>
    <w:rsid w:val="00EB6668"/>
    <w:rsid w:val="00EB6A2F"/>
    <w:rsid w:val="00EC1501"/>
    <w:rsid w:val="00EC33F4"/>
    <w:rsid w:val="00EC3875"/>
    <w:rsid w:val="00EC549E"/>
    <w:rsid w:val="00EC6E55"/>
    <w:rsid w:val="00ED0BC4"/>
    <w:rsid w:val="00ED151E"/>
    <w:rsid w:val="00ED2265"/>
    <w:rsid w:val="00ED3CDA"/>
    <w:rsid w:val="00ED617A"/>
    <w:rsid w:val="00ED6A5D"/>
    <w:rsid w:val="00EE1A0E"/>
    <w:rsid w:val="00EE4971"/>
    <w:rsid w:val="00EE5A48"/>
    <w:rsid w:val="00EE5F7D"/>
    <w:rsid w:val="00EE6390"/>
    <w:rsid w:val="00EE7278"/>
    <w:rsid w:val="00EF090E"/>
    <w:rsid w:val="00EF16B6"/>
    <w:rsid w:val="00EF1B1A"/>
    <w:rsid w:val="00EF2D08"/>
    <w:rsid w:val="00EF477D"/>
    <w:rsid w:val="00EF5065"/>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09E7"/>
    <w:rsid w:val="00F3144D"/>
    <w:rsid w:val="00F3323E"/>
    <w:rsid w:val="00F341F4"/>
    <w:rsid w:val="00F34F9D"/>
    <w:rsid w:val="00F34FAD"/>
    <w:rsid w:val="00F3554C"/>
    <w:rsid w:val="00F35CCE"/>
    <w:rsid w:val="00F35D73"/>
    <w:rsid w:val="00F366E1"/>
    <w:rsid w:val="00F42B4B"/>
    <w:rsid w:val="00F42FD6"/>
    <w:rsid w:val="00F4376C"/>
    <w:rsid w:val="00F44D8C"/>
    <w:rsid w:val="00F45599"/>
    <w:rsid w:val="00F50103"/>
    <w:rsid w:val="00F50D48"/>
    <w:rsid w:val="00F5239B"/>
    <w:rsid w:val="00F52552"/>
    <w:rsid w:val="00F52E31"/>
    <w:rsid w:val="00F54776"/>
    <w:rsid w:val="00F5524B"/>
    <w:rsid w:val="00F5710B"/>
    <w:rsid w:val="00F60AB1"/>
    <w:rsid w:val="00F61DD2"/>
    <w:rsid w:val="00F62000"/>
    <w:rsid w:val="00F63720"/>
    <w:rsid w:val="00F65FB6"/>
    <w:rsid w:val="00F66AFF"/>
    <w:rsid w:val="00F70986"/>
    <w:rsid w:val="00F71433"/>
    <w:rsid w:val="00F71CE8"/>
    <w:rsid w:val="00F738B0"/>
    <w:rsid w:val="00F801C5"/>
    <w:rsid w:val="00F83231"/>
    <w:rsid w:val="00F85A51"/>
    <w:rsid w:val="00F85DB2"/>
    <w:rsid w:val="00F91FA7"/>
    <w:rsid w:val="00F92E03"/>
    <w:rsid w:val="00F95955"/>
    <w:rsid w:val="00F96AF1"/>
    <w:rsid w:val="00F97C5B"/>
    <w:rsid w:val="00FA29FD"/>
    <w:rsid w:val="00FA2A46"/>
    <w:rsid w:val="00FA3739"/>
    <w:rsid w:val="00FA38B6"/>
    <w:rsid w:val="00FA3D50"/>
    <w:rsid w:val="00FA43E7"/>
    <w:rsid w:val="00FA76AE"/>
    <w:rsid w:val="00FB2C81"/>
    <w:rsid w:val="00FB6703"/>
    <w:rsid w:val="00FB7C8F"/>
    <w:rsid w:val="00FB7D52"/>
    <w:rsid w:val="00FC2741"/>
    <w:rsid w:val="00FC30E1"/>
    <w:rsid w:val="00FC337F"/>
    <w:rsid w:val="00FC374A"/>
    <w:rsid w:val="00FC3EFB"/>
    <w:rsid w:val="00FC4F43"/>
    <w:rsid w:val="00FC5D26"/>
    <w:rsid w:val="00FC63FC"/>
    <w:rsid w:val="00FC7B47"/>
    <w:rsid w:val="00FD0169"/>
    <w:rsid w:val="00FD035C"/>
    <w:rsid w:val="00FD1240"/>
    <w:rsid w:val="00FD1A35"/>
    <w:rsid w:val="00FD36C5"/>
    <w:rsid w:val="00FD5B6F"/>
    <w:rsid w:val="00FD6126"/>
    <w:rsid w:val="00FD6310"/>
    <w:rsid w:val="00FD719B"/>
    <w:rsid w:val="00FD77E3"/>
    <w:rsid w:val="00FD7C7B"/>
    <w:rsid w:val="00FE0EB5"/>
    <w:rsid w:val="00FE1D12"/>
    <w:rsid w:val="00FE1E45"/>
    <w:rsid w:val="00FE2122"/>
    <w:rsid w:val="00FE2A86"/>
    <w:rsid w:val="00FE536D"/>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14</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Weng Han Lai</cp:lastModifiedBy>
  <cp:revision>225</cp:revision>
  <cp:lastPrinted>2020-06-12T02:43:00Z</cp:lastPrinted>
  <dcterms:created xsi:type="dcterms:W3CDTF">2022-07-27T13:31:00Z</dcterms:created>
  <dcterms:modified xsi:type="dcterms:W3CDTF">2022-11-10T20:36:00Z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