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0A05AC" w:rsidRDefault="002D2356" w:rsidP="008071D5">
      <w:pPr>
        <w:pStyle w:val="ListParagraph"/>
        <w:numPr>
          <w:ilvl w:val="0"/>
          <w:numId w:val="15"/>
        </w:numPr>
        <w:ind w:left="425" w:hanging="357"/>
        <w:jc w:val="both"/>
        <w:rPr>
          <w:rFonts w:ascii="Avenir Next" w:hAnsi="Avenir Next" w:cs="Arial"/>
          <w:sz w:val="22"/>
          <w:szCs w:val="22"/>
          <w:highlight w:val="yellow"/>
        </w:rPr>
      </w:pPr>
      <w:r w:rsidRPr="000A05AC">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0A05AC">
        <w:rPr>
          <w:rFonts w:ascii="Avenir Next" w:hAnsi="Avenir Next" w:cs="Arial"/>
          <w:sz w:val="22"/>
          <w:szCs w:val="22"/>
          <w:highlight w:val="yellow"/>
          <w:vertAlign w:val="superscript"/>
        </w:rPr>
        <w:t>th</w:t>
      </w:r>
      <w:r w:rsidRPr="000A05AC">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0A05AC" w:rsidRDefault="002D2356" w:rsidP="008071D5">
      <w:pPr>
        <w:pStyle w:val="ListParagraph"/>
        <w:numPr>
          <w:ilvl w:val="0"/>
          <w:numId w:val="16"/>
        </w:numPr>
        <w:ind w:left="426"/>
        <w:jc w:val="both"/>
        <w:rPr>
          <w:rFonts w:ascii="Avenir Next" w:hAnsi="Avenir Next" w:cs="Arial"/>
          <w:sz w:val="22"/>
          <w:szCs w:val="22"/>
          <w:highlight w:val="yellow"/>
        </w:rPr>
      </w:pPr>
      <w:r w:rsidRPr="000A05AC">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0A05AC" w:rsidRDefault="002D2356" w:rsidP="008071D5">
      <w:pPr>
        <w:pStyle w:val="ListParagraph"/>
        <w:numPr>
          <w:ilvl w:val="0"/>
          <w:numId w:val="17"/>
        </w:numPr>
        <w:ind w:left="426"/>
        <w:jc w:val="both"/>
        <w:rPr>
          <w:rFonts w:ascii="Avenir Next" w:hAnsi="Avenir Next" w:cs="Arial"/>
          <w:sz w:val="22"/>
          <w:szCs w:val="22"/>
          <w:highlight w:val="yellow"/>
        </w:rPr>
      </w:pPr>
      <w:r w:rsidRPr="000A05AC">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894EE5" w:rsidRDefault="00466ED6" w:rsidP="008071D5">
      <w:pPr>
        <w:pStyle w:val="ListParagraph"/>
        <w:numPr>
          <w:ilvl w:val="0"/>
          <w:numId w:val="18"/>
        </w:numPr>
        <w:ind w:left="426"/>
        <w:jc w:val="both"/>
        <w:rPr>
          <w:rFonts w:ascii="Avenir Next" w:hAnsi="Avenir Next" w:cs="Arial"/>
          <w:sz w:val="22"/>
          <w:szCs w:val="22"/>
          <w:highlight w:val="yellow"/>
        </w:rPr>
      </w:pPr>
      <w:r w:rsidRPr="00894EE5">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894EE5" w:rsidRDefault="002D2356" w:rsidP="008071D5">
      <w:pPr>
        <w:pStyle w:val="ListParagraph"/>
        <w:numPr>
          <w:ilvl w:val="0"/>
          <w:numId w:val="19"/>
        </w:numPr>
        <w:ind w:left="425" w:hanging="357"/>
        <w:jc w:val="both"/>
        <w:rPr>
          <w:rFonts w:ascii="Avenir Next" w:hAnsi="Avenir Next" w:cs="Arial"/>
          <w:sz w:val="22"/>
          <w:szCs w:val="22"/>
          <w:highlight w:val="yellow"/>
        </w:rPr>
      </w:pPr>
      <w:r w:rsidRPr="00894EE5">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F134AA">
        <w:rPr>
          <w:rFonts w:ascii="Avenir Next" w:eastAsiaTheme="minorHAnsi" w:hAnsi="Avenir Next" w:cs="Arial"/>
          <w:sz w:val="22"/>
          <w:szCs w:val="22"/>
          <w:highlight w:val="yellow"/>
          <w:lang w:val="en-GB"/>
        </w:rPr>
        <w:t>Public International Law.</w:t>
      </w:r>
      <w:r w:rsidRPr="00AE4D6F">
        <w:rPr>
          <w:rFonts w:ascii="Avenir Next" w:eastAsiaTheme="minorHAnsi" w:hAnsi="Avenir Next" w:cs="Arial"/>
          <w:sz w:val="22"/>
          <w:szCs w:val="22"/>
          <w:lang w:val="en-GB"/>
        </w:rPr>
        <w:t xml:space="preserve">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6E00EF"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6E00EF">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6E00EF">
        <w:rPr>
          <w:rFonts w:ascii="Avenir Next" w:eastAsiaTheme="minorHAnsi" w:hAnsi="Avenir Next" w:cs="Arial"/>
          <w:sz w:val="22"/>
          <w:szCs w:val="22"/>
          <w:highlight w:val="yellow"/>
          <w:lang w:val="en-GB"/>
        </w:rPr>
        <w:t xml:space="preserve"> </w:t>
      </w:r>
      <w:r w:rsidRPr="006E00EF">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1C2522"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1C2522">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1C2522" w:rsidRDefault="00F5239B" w:rsidP="008071D5">
      <w:pPr>
        <w:pStyle w:val="ListParagraph"/>
        <w:numPr>
          <w:ilvl w:val="0"/>
          <w:numId w:val="23"/>
        </w:numPr>
        <w:ind w:left="426"/>
        <w:jc w:val="both"/>
        <w:rPr>
          <w:rFonts w:ascii="Avenir Next" w:hAnsi="Avenir Next" w:cs="Arial"/>
          <w:sz w:val="22"/>
          <w:szCs w:val="22"/>
          <w:highlight w:val="yellow"/>
        </w:rPr>
      </w:pPr>
      <w:r w:rsidRPr="001C2522">
        <w:rPr>
          <w:rFonts w:ascii="Avenir Next" w:hAnsi="Avenir Next" w:cs="Arial"/>
          <w:sz w:val="22"/>
          <w:szCs w:val="22"/>
          <w:highlight w:val="yellow"/>
        </w:rPr>
        <w:t xml:space="preserve">This statement is true because </w:t>
      </w:r>
      <w:r w:rsidR="007B5180" w:rsidRPr="001C2522">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1C2522" w:rsidRDefault="009355DB" w:rsidP="008071D5">
      <w:pPr>
        <w:pStyle w:val="ListParagraph"/>
        <w:numPr>
          <w:ilvl w:val="0"/>
          <w:numId w:val="24"/>
        </w:numPr>
        <w:ind w:left="426"/>
        <w:jc w:val="both"/>
        <w:rPr>
          <w:rFonts w:ascii="Avenir Next" w:hAnsi="Avenir Next" w:cs="Arial"/>
          <w:sz w:val="22"/>
          <w:szCs w:val="22"/>
          <w:highlight w:val="yellow"/>
        </w:rPr>
      </w:pPr>
      <w:r w:rsidRPr="001C2522">
        <w:rPr>
          <w:rFonts w:ascii="Avenir Next" w:hAnsi="Avenir Next" w:cs="Arial"/>
          <w:sz w:val="22"/>
          <w:szCs w:val="22"/>
          <w:highlight w:val="yellow"/>
        </w:rPr>
        <w:t xml:space="preserve">This statement is true because </w:t>
      </w:r>
      <w:r w:rsidR="005C4FF2" w:rsidRPr="001C2522">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037D20FC" w:rsidR="0081547D" w:rsidRDefault="001C2522"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various insolvency jurisdictions stem primarily from the </w:t>
      </w:r>
      <w:r w:rsidRPr="001C2522">
        <w:rPr>
          <w:rFonts w:ascii="Avenir Next" w:hAnsi="Avenir Next" w:cs="Arial"/>
          <w:i/>
          <w:iCs/>
          <w:color w:val="808080" w:themeColor="background1" w:themeShade="80"/>
          <w:sz w:val="22"/>
          <w:szCs w:val="22"/>
          <w:lang w:val="en-GB"/>
        </w:rPr>
        <w:t>Organisation pour l’Harmoisation en Afrique du Droit des Affaires</w:t>
      </w:r>
      <w:r>
        <w:rPr>
          <w:rFonts w:ascii="Avenir Next" w:hAnsi="Avenir Next" w:cs="Arial"/>
          <w:color w:val="808080" w:themeColor="background1" w:themeShade="80"/>
          <w:sz w:val="22"/>
          <w:szCs w:val="22"/>
          <w:lang w:val="en-GB"/>
        </w:rPr>
        <w:t xml:space="preserve"> or commonly known as OHADA.  This was established in the Sub-Saharan African Region.  The OHADA was in the form of a treaty and was signed in 1993 and had force and effect from 1995.  There are 17 member states and the purpose of the treaty is to attempt to harmonise and modernise the domestic laws of the member states.  It is </w:t>
      </w:r>
      <w:r>
        <w:rPr>
          <w:rFonts w:ascii="Avenir Next" w:hAnsi="Avenir Next" w:cs="Arial"/>
          <w:color w:val="808080" w:themeColor="background1" w:themeShade="80"/>
          <w:sz w:val="22"/>
          <w:szCs w:val="22"/>
          <w:lang w:val="en-GB"/>
        </w:rPr>
        <w:lastRenderedPageBreak/>
        <w:t>pertinent to note that all 17 signatory states have enforced the UNCITRAL model law on cross border insolvency, which has further resulted in the OHADA council of ministers enacting the Uniform Act on Insolvency</w:t>
      </w:r>
      <w:r w:rsidR="00E5710D">
        <w:rPr>
          <w:rFonts w:ascii="Avenir Next" w:hAnsi="Avenir Next" w:cs="Arial"/>
          <w:color w:val="808080" w:themeColor="background1" w:themeShade="80"/>
          <w:sz w:val="22"/>
          <w:szCs w:val="22"/>
          <w:lang w:val="en-GB"/>
        </w:rPr>
        <w:t xml:space="preserve"> or more correctly known as </w:t>
      </w:r>
      <w:r w:rsidR="00E5710D">
        <w:rPr>
          <w:rFonts w:ascii="Avenir Next" w:hAnsi="Avenir Next" w:cs="Arial"/>
          <w:i/>
          <w:iCs/>
          <w:color w:val="808080" w:themeColor="background1" w:themeShade="80"/>
          <w:sz w:val="22"/>
          <w:szCs w:val="22"/>
          <w:lang w:val="en-GB"/>
        </w:rPr>
        <w:t>Acte uniforme portant organisation des procedures collectives d’apurement du passif</w:t>
      </w:r>
      <w:r w:rsidR="00E5710D">
        <w:rPr>
          <w:rFonts w:ascii="Avenir Next" w:hAnsi="Avenir Next" w:cs="Arial"/>
          <w:color w:val="808080" w:themeColor="background1" w:themeShade="80"/>
          <w:sz w:val="22"/>
          <w:szCs w:val="22"/>
          <w:lang w:val="en-GB"/>
        </w:rPr>
        <w:t xml:space="preserve">.  </w:t>
      </w:r>
    </w:p>
    <w:p w14:paraId="72671A64" w14:textId="3908B4E8" w:rsidR="00E5710D" w:rsidRPr="00E5710D" w:rsidRDefault="00E5710D"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above was a significant development as prior to such events African jurisdictions had their insolvency laws predominantly rooted in legislation inherited from their previous colonial masters.  Such legislation, in many respects, is and was outdated and does not serve the new global economy and international trade.</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034025E7" w:rsidR="00AB63DE" w:rsidRDefault="000A2761"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present there is no ratified treaty or convention in force to address international insolvency within the Asian region, however some recent developments are paving the way for insolvency law reform.  Such reform however takes the form of soft law and was spearheaded by the Asian Business Law Institute and their joint project with the International Insolvency Institute.  This collaboration takes the form of the publishing in 2020 of its report on corporate restructuring in Asia.  This paper attempted to map out business re-organisation mechanisms on both a formal and informal basis in the ASEAN Region and included Australia, China, Hong Kong, India, Japan and South Korea.</w:t>
      </w:r>
    </w:p>
    <w:p w14:paraId="4EFAB295" w14:textId="3E68E710" w:rsidR="000A2761" w:rsidRDefault="000A2761"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above is the most significant development giving rise to insolvency reform in the region.</w:t>
      </w:r>
    </w:p>
    <w:p w14:paraId="59752974" w14:textId="03FD7933" w:rsidR="002F2ED8" w:rsidRPr="00AB63DE" w:rsidRDefault="002F2ED8"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therefore submit that two examples of the development of insolvency law reform in Eastern Asia would be the abovementioned joint project which led to the publication of the report of Corporate Restructuring and Insolvency in Asia, which for the first time gave a clear indication of the in court and out of court regimes in the areas.</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661D69AE" w:rsidR="00AB63DE" w:rsidRDefault="002F2ED8"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many years the United States and Canada have worked together on various principals regarding cross border insolvency.  This started ion the 1970s when work began on a proposed bilateral insolvency treaty.  Sadly, the two countries failed to reach consensus and no agreement or treaty was signed.  However, various protocols have been adopted by both countries and for many years, prior to such protocols, there had been bilateral co-operation between the two as a result of current legislation at existed at the time and case law.</w:t>
      </w:r>
    </w:p>
    <w:p w14:paraId="116C2B9B" w14:textId="4EE6AB5F" w:rsidR="002F2ED8" w:rsidRDefault="002F2ED8"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Both countries have adopted the UNCITRAL model law on insolvency.</w:t>
      </w:r>
    </w:p>
    <w:p w14:paraId="024944DD" w14:textId="0A705851" w:rsidR="005951A4" w:rsidRPr="00AB63DE" w:rsidRDefault="005951A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the American Law Institute has assisted in many ways in resolving insolvency problems between the NAFTA Countries.  NAFTA, or the North American Free Trade Agreement was signed by the United States, Mexico and Canada, and gave rise to the American Law Institute embarking on the Transnational Insolvency Project in order to improve relations and joint co-operation with regard to insolvencies crossing the trade agreement states.  However, the NAFTA agreements only apply to corporate insolvencies and do not extend to the insolvency or bankruptcy of a natural being.</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78EE7688" w:rsidR="00AB63DE" w:rsidRDefault="00E26975"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main historical reasons for different approaches to insolvency laws between different jurisdictions, can be seen in the fact that English law of more commonly Common Law jurisdictions have a more creditor driven approach, while civil law jurisdictions tend to be more focused on giving the debtor a fresh start.</w:t>
      </w:r>
    </w:p>
    <w:p w14:paraId="6F463544" w14:textId="416FE379" w:rsidR="006D0FE2" w:rsidRDefault="006D0FE2"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regards to voidable dispositions, English Law </w:t>
      </w:r>
      <w:r w:rsidR="00C9221D">
        <w:rPr>
          <w:rFonts w:ascii="Avenir Next" w:hAnsi="Avenir Next" w:cs="Arial"/>
          <w:color w:val="808080" w:themeColor="background1" w:themeShade="80"/>
          <w:sz w:val="22"/>
          <w:szCs w:val="22"/>
          <w:lang w:val="en-GB"/>
        </w:rPr>
        <w:t xml:space="preserve">was </w:t>
      </w:r>
      <w:r>
        <w:rPr>
          <w:rFonts w:ascii="Avenir Next" w:hAnsi="Avenir Next" w:cs="Arial"/>
          <w:color w:val="808080" w:themeColor="background1" w:themeShade="80"/>
          <w:sz w:val="22"/>
          <w:szCs w:val="22"/>
          <w:lang w:val="en-GB"/>
        </w:rPr>
        <w:t xml:space="preserve">developed </w:t>
      </w:r>
      <w:r w:rsidR="00C9221D">
        <w:rPr>
          <w:rFonts w:ascii="Avenir Next" w:hAnsi="Avenir Next" w:cs="Arial"/>
          <w:color w:val="808080" w:themeColor="background1" w:themeShade="80"/>
          <w:sz w:val="22"/>
          <w:szCs w:val="22"/>
          <w:lang w:val="en-GB"/>
        </w:rPr>
        <w:t xml:space="preserve">by the Act of Elizabeth in 1570, while the civil law systems derive their voidable disposition laws primarily from the </w:t>
      </w:r>
      <w:r w:rsidR="00C9221D" w:rsidRPr="00C9221D">
        <w:rPr>
          <w:rFonts w:ascii="Avenir Next" w:hAnsi="Avenir Next" w:cs="Arial"/>
          <w:i/>
          <w:iCs/>
          <w:color w:val="808080" w:themeColor="background1" w:themeShade="80"/>
          <w:sz w:val="22"/>
          <w:szCs w:val="22"/>
          <w:lang w:val="en-GB"/>
        </w:rPr>
        <w:t>Actio Pauliana</w:t>
      </w:r>
      <w:r w:rsidR="00C9221D">
        <w:rPr>
          <w:rFonts w:ascii="Avenir Next" w:hAnsi="Avenir Next" w:cs="Arial"/>
          <w:color w:val="808080" w:themeColor="background1" w:themeShade="80"/>
          <w:sz w:val="22"/>
          <w:szCs w:val="22"/>
          <w:lang w:val="en-GB"/>
        </w:rPr>
        <w:t>.  In short, a voidable disposition is a fraudulent disposition of property, such as in the case where property, of either a movable or immovable nature, is sold by means other than that of an arm’s length agreement, or in other words, for less than its true value.</w:t>
      </w:r>
    </w:p>
    <w:p w14:paraId="7DD5C061" w14:textId="7FA360C1" w:rsidR="00C9221D" w:rsidRDefault="00C9221D"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Act of Elizabeth and the </w:t>
      </w:r>
      <w:r>
        <w:rPr>
          <w:rFonts w:ascii="Avenir Next" w:hAnsi="Avenir Next" w:cs="Arial"/>
          <w:i/>
          <w:iCs/>
          <w:color w:val="808080" w:themeColor="background1" w:themeShade="80"/>
          <w:sz w:val="22"/>
          <w:szCs w:val="22"/>
          <w:lang w:val="en-GB"/>
        </w:rPr>
        <w:t>Actio Pauliana</w:t>
      </w:r>
      <w:r>
        <w:rPr>
          <w:rFonts w:ascii="Avenir Next" w:hAnsi="Avenir Next" w:cs="Arial"/>
          <w:color w:val="808080" w:themeColor="background1" w:themeShade="80"/>
          <w:sz w:val="22"/>
          <w:szCs w:val="22"/>
          <w:lang w:val="en-GB"/>
        </w:rPr>
        <w:t xml:space="preserve"> are important facets of any insolvency law, as it is trite that once insolvency proceedings have begun, a collective debt collection mechanism comes into force and all creditors are treated equally, dependent on the category of creditor.</w:t>
      </w:r>
    </w:p>
    <w:p w14:paraId="39C3B5EA" w14:textId="6D4E54DC" w:rsidR="00C9221D" w:rsidRPr="00C9221D" w:rsidRDefault="00C9221D"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are generally paid their claims </w:t>
      </w:r>
      <w:r>
        <w:rPr>
          <w:rFonts w:ascii="Avenir Next" w:hAnsi="Avenir Next" w:cs="Arial"/>
          <w:i/>
          <w:iCs/>
          <w:color w:val="808080" w:themeColor="background1" w:themeShade="80"/>
          <w:sz w:val="22"/>
          <w:szCs w:val="22"/>
          <w:lang w:val="en-GB"/>
        </w:rPr>
        <w:t>pari passu</w:t>
      </w:r>
      <w:r>
        <w:rPr>
          <w:rFonts w:ascii="Avenir Next" w:hAnsi="Avenir Next" w:cs="Arial"/>
          <w:color w:val="808080" w:themeColor="background1" w:themeShade="80"/>
          <w:sz w:val="22"/>
          <w:szCs w:val="22"/>
          <w:lang w:val="en-GB"/>
        </w:rPr>
        <w:t xml:space="preserve"> or in other words on a proportionate basis.</w:t>
      </w:r>
      <w:r w:rsidR="00985B6D">
        <w:rPr>
          <w:rFonts w:ascii="Avenir Next" w:hAnsi="Avenir Next" w:cs="Arial"/>
          <w:color w:val="808080" w:themeColor="background1" w:themeShade="80"/>
          <w:sz w:val="22"/>
          <w:szCs w:val="22"/>
          <w:lang w:val="en-GB"/>
        </w:rPr>
        <w:t xml:space="preserve">  Allowing a voidable transaction would have a detrimental effect on such payment.  Thus such rules protecting against voidable dispositions are important as they protect the general body of creditors and go some lengths to ensuring the best possible dividend to creditors.</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4BBD2795" w:rsidR="001E1C34" w:rsidRDefault="0070471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commentator’s reasoning has limitations due to the fact that in the global trade environment that currently exists, there are many instances where a corporation or debtor will have its principal place of business or domicile in one jurisdiction and conduct business in various others.  </w:t>
      </w:r>
    </w:p>
    <w:p w14:paraId="32A4657B" w14:textId="5A744D94" w:rsidR="00704715" w:rsidRDefault="0070471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Once an insolvency occurs in one jurisdiction, mechanisms have had to be developed to enforce such insolvency across all jurisdictions where assets are found.</w:t>
      </w:r>
      <w:r w:rsidR="00445B70">
        <w:rPr>
          <w:rFonts w:ascii="Avenir Next" w:hAnsi="Avenir Next" w:cs="Arial"/>
          <w:color w:val="808080" w:themeColor="background1" w:themeShade="80"/>
          <w:sz w:val="22"/>
          <w:szCs w:val="22"/>
          <w:lang w:val="en-GB"/>
        </w:rPr>
        <w:t xml:space="preserve">  This has given rise to various acts and legislation being adopted by various states that deals with international insolvency proceedings.  Such works include the UNCITRAL Legislative Guide on Insolvency which has, amongst other things, given rise to countries enacting some form of cross border insolvency mechanisms.  Such mechanisms can be seen from items such as the European Insolvency Regulations, the OHADA organisation.</w:t>
      </w:r>
    </w:p>
    <w:p w14:paraId="45AAD115" w14:textId="77777777" w:rsidR="00445B70" w:rsidRDefault="00445B7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work has been done on harmonising cross border insolvency by organisations such as the American Law institute, The Judicial Insolvency Network, The International Lawyers Associations, The International Bar Association, The International Insolvency Institute and INSOL International.  </w:t>
      </w:r>
    </w:p>
    <w:p w14:paraId="4CFD7638" w14:textId="02659CEE" w:rsidR="004B0413" w:rsidRPr="00AB63DE" w:rsidRDefault="00445B7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the commentator’s definition has definite limitations</w:t>
      </w:r>
      <w:r w:rsidR="005F550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the modern era more and more effort is being given by the courts and legislators to try and find a universal </w:t>
      </w:r>
      <w:r w:rsidR="004B0413">
        <w:rPr>
          <w:rFonts w:ascii="Avenir Next" w:hAnsi="Avenir Next" w:cs="Arial"/>
          <w:color w:val="808080" w:themeColor="background1" w:themeShade="80"/>
          <w:sz w:val="22"/>
          <w:szCs w:val="22"/>
          <w:lang w:val="en-GB"/>
        </w:rPr>
        <w:t>approach,</w:t>
      </w:r>
      <w:r>
        <w:rPr>
          <w:rFonts w:ascii="Avenir Next" w:hAnsi="Avenir Next" w:cs="Arial"/>
          <w:color w:val="808080" w:themeColor="background1" w:themeShade="80"/>
          <w:sz w:val="22"/>
          <w:szCs w:val="22"/>
          <w:lang w:val="en-GB"/>
        </w:rPr>
        <w:t xml:space="preserve"> however, the commentator is correct in his submission that domestic law </w:t>
      </w:r>
      <w:r w:rsidR="005F5509">
        <w:rPr>
          <w:rFonts w:ascii="Avenir Next" w:hAnsi="Avenir Next" w:cs="Arial"/>
          <w:color w:val="808080" w:themeColor="background1" w:themeShade="80"/>
          <w:sz w:val="22"/>
          <w:szCs w:val="22"/>
          <w:lang w:val="en-GB"/>
        </w:rPr>
        <w:t>needs to be considered with each case.</w:t>
      </w:r>
      <w:r w:rsidR="004B0413">
        <w:rPr>
          <w:rFonts w:ascii="Avenir Next" w:hAnsi="Avenir Next" w:cs="Arial"/>
          <w:color w:val="808080" w:themeColor="background1" w:themeShade="80"/>
          <w:sz w:val="22"/>
          <w:szCs w:val="22"/>
          <w:lang w:val="en-GB"/>
        </w:rPr>
        <w:t xml:space="preserve">  This cannot be seen to stop the full enforcement of insolvency proceedings.</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0C9D5858" w:rsidR="001E1C34" w:rsidRDefault="00E42DE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conventions form a valuable source of cross border insolvency law, as many treaties and conventions form binding law on the countries that have ratified such treaties and conventions.  One very important treaty is the treaty giving rise to the NAFTA Convention.  Probably the most important source of cross border insolvency law is derived from organisations such as the world bank and UNCITRAL.  The UNCITRAL rules on cross border insolvency has given rise to member states who have ratified the rules from the convention adopting their own form of cross border insolvency legislation.</w:t>
      </w:r>
    </w:p>
    <w:p w14:paraId="432B1C21" w14:textId="68C24C82" w:rsidR="00E42DEA" w:rsidRPr="00AB63DE" w:rsidRDefault="00E42DE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conventions such as the EC Convention on Bankruptcy and Related Matters aimed at requiring contract states adopting a uniform set of laws regarding insolvency.   However, this was not adopted by held bearing on the current European Insolvency Regulations.  The World Bank further, through its conventions, very often insist on law reform with regards to insolvency prior to the granting of any loans.</w:t>
      </w:r>
      <w:r w:rsidR="00D22645">
        <w:rPr>
          <w:rFonts w:ascii="Avenir Next" w:hAnsi="Avenir Next" w:cs="Arial"/>
          <w:color w:val="808080" w:themeColor="background1" w:themeShade="80"/>
          <w:sz w:val="22"/>
          <w:szCs w:val="22"/>
          <w:lang w:val="en-GB"/>
        </w:rPr>
        <w:t xml:space="preserve">  However, the most </w:t>
      </w:r>
      <w:r w:rsidR="003E4FC0">
        <w:rPr>
          <w:rFonts w:ascii="Avenir Next" w:hAnsi="Avenir Next" w:cs="Arial"/>
          <w:color w:val="808080" w:themeColor="background1" w:themeShade="80"/>
          <w:sz w:val="22"/>
          <w:szCs w:val="22"/>
          <w:lang w:val="en-GB"/>
        </w:rPr>
        <w:t>successful</w:t>
      </w:r>
      <w:r w:rsidR="00D22645">
        <w:rPr>
          <w:rFonts w:ascii="Avenir Next" w:hAnsi="Avenir Next" w:cs="Arial"/>
          <w:color w:val="808080" w:themeColor="background1" w:themeShade="80"/>
          <w:sz w:val="22"/>
          <w:szCs w:val="22"/>
          <w:lang w:val="en-GB"/>
        </w:rPr>
        <w:t xml:space="preserve"> is </w:t>
      </w:r>
      <w:r w:rsidR="003E4FC0">
        <w:rPr>
          <w:rFonts w:ascii="Avenir Next" w:hAnsi="Avenir Next" w:cs="Arial"/>
          <w:color w:val="808080" w:themeColor="background1" w:themeShade="80"/>
          <w:sz w:val="22"/>
          <w:szCs w:val="22"/>
          <w:lang w:val="en-GB"/>
        </w:rPr>
        <w:t>t</w:t>
      </w:r>
      <w:r w:rsidR="00D22645">
        <w:rPr>
          <w:rFonts w:ascii="Avenir Next" w:hAnsi="Avenir Next" w:cs="Arial"/>
          <w:color w:val="808080" w:themeColor="background1" w:themeShade="80"/>
          <w:sz w:val="22"/>
          <w:szCs w:val="22"/>
          <w:lang w:val="en-GB"/>
        </w:rPr>
        <w:t xml:space="preserve">he United Nations </w:t>
      </w:r>
      <w:r w:rsidR="003E4FC0">
        <w:rPr>
          <w:rFonts w:ascii="Avenir Next" w:hAnsi="Avenir Next" w:cs="Arial"/>
          <w:color w:val="808080" w:themeColor="background1" w:themeShade="80"/>
          <w:sz w:val="22"/>
          <w:szCs w:val="22"/>
          <w:lang w:val="en-GB"/>
        </w:rPr>
        <w:t>Commission</w:t>
      </w:r>
      <w:r w:rsidR="00D22645">
        <w:rPr>
          <w:rFonts w:ascii="Avenir Next" w:hAnsi="Avenir Next" w:cs="Arial"/>
          <w:color w:val="808080" w:themeColor="background1" w:themeShade="80"/>
          <w:sz w:val="22"/>
          <w:szCs w:val="22"/>
          <w:lang w:val="en-GB"/>
        </w:rPr>
        <w:t xml:space="preserve"> on In</w:t>
      </w:r>
      <w:r w:rsidR="003E4FC0">
        <w:rPr>
          <w:rFonts w:ascii="Avenir Next" w:hAnsi="Avenir Next" w:cs="Arial"/>
          <w:color w:val="808080" w:themeColor="background1" w:themeShade="80"/>
          <w:sz w:val="22"/>
          <w:szCs w:val="22"/>
          <w:lang w:val="en-GB"/>
        </w:rPr>
        <w:t>ternational Trade Law and its legislative guide on insolvency law.  This is the best example of a successful treaty regarding international insolvency law.</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3E2BFFDF" w:rsidR="001E1C34" w:rsidRDefault="001F2DAD"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differences between formal and informal insolvency proceedings are that formal proceedings are normally done in the courts, are public and enforce a monitorium on enforcement procedures.  A formal process begins a collective debt collection process.  On the other hand, an informal insolvency arrangement is a private one, is not in the public domain and does not enforce a monitorium on debt collection processes.</w:t>
      </w:r>
    </w:p>
    <w:p w14:paraId="3903E574" w14:textId="00BF77F9" w:rsidR="001F2DAD" w:rsidRPr="00AB63DE" w:rsidRDefault="001F2DAD"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advantages that Lobo should consider regarding any informal out of court workout arrangement is that as aforementioned, such arrangement will be private and it will not raise speculation in the marketplace, which could jeopardise future contracts and/or business.  The disadvantage to this is that there will be no monitorium on enforcement proceedings and therefore the numerous other debt collection proceedings could be instituted.  Thus, this could lead to assets of </w:t>
      </w:r>
      <w:r w:rsidR="00FB268E">
        <w:rPr>
          <w:rFonts w:ascii="Avenir Next" w:hAnsi="Avenir Next" w:cs="Arial"/>
          <w:color w:val="808080" w:themeColor="background1" w:themeShade="80"/>
          <w:sz w:val="22"/>
          <w:szCs w:val="22"/>
          <w:lang w:val="en-GB"/>
        </w:rPr>
        <w:t>Lobo’s being attached without the protection of the formal procedures afforded to it should it enter into such formal recovery procedures.</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4685F3E0" w14:textId="77777777" w:rsidR="0046436A" w:rsidRDefault="00CA381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difficulties that could arise for </w:t>
      </w:r>
      <w:r w:rsidR="0046436A">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insolvency representatives is that the two countries may very well not be signatories to any treaty of convention granting recognition to the other country’s courts jurisdiction</w:t>
      </w:r>
      <w:r w:rsidR="0046436A">
        <w:rPr>
          <w:rFonts w:ascii="Avenir Next" w:hAnsi="Avenir Next" w:cs="Arial"/>
          <w:color w:val="808080" w:themeColor="background1" w:themeShade="80"/>
          <w:sz w:val="22"/>
          <w:szCs w:val="22"/>
          <w:lang w:val="en-GB"/>
        </w:rPr>
        <w:t xml:space="preserve">.  Thus, the assets int eh one country could be utilised solely for the benefit of that country’s creditors and to the detriment of the other countries. </w:t>
      </w:r>
    </w:p>
    <w:p w14:paraId="16C41B21" w14:textId="514FF13D" w:rsidR="001E1C34" w:rsidRPr="00AB63DE" w:rsidRDefault="0046436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However, to avoid this detriment and duplication of efforts and costs certain instruments have been developed, such as the European Insolvency Regulations, UNCITRAL Legislative Guide on Insolvency Law and principals relating to the enforcement of foreign judgements stemming from private and public international law.</w:t>
      </w:r>
    </w:p>
    <w:p w14:paraId="6D7E0649" w14:textId="77777777" w:rsidR="001E1C34" w:rsidRPr="004216EA" w:rsidRDefault="001E1C34" w:rsidP="00692852">
      <w:pPr>
        <w:jc w:val="both"/>
        <w:rPr>
          <w:rFonts w:ascii="Avenir Next" w:hAnsi="Avenir Next" w:cs="Arial"/>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w:t>
      </w:r>
      <w:r w:rsidR="00B12F13" w:rsidRPr="004216EA">
        <w:rPr>
          <w:rFonts w:ascii="Avenir Next" w:hAnsi="Avenir Next" w:cs="Arial"/>
          <w:sz w:val="22"/>
          <w:szCs w:val="22"/>
          <w:lang w:val="en-GB"/>
        </w:rPr>
        <w:lastRenderedPageBreak/>
        <w:t>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5AEC8068" w:rsidR="001E1C34" w:rsidRDefault="00825CB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above set of </w:t>
      </w:r>
      <w:r w:rsidR="001B1C1D">
        <w:rPr>
          <w:rFonts w:ascii="Avenir Next" w:hAnsi="Avenir Next" w:cs="Arial"/>
          <w:color w:val="808080" w:themeColor="background1" w:themeShade="80"/>
          <w:sz w:val="22"/>
          <w:szCs w:val="22"/>
          <w:lang w:val="en-GB"/>
        </w:rPr>
        <w:t>facts,</w:t>
      </w:r>
      <w:r>
        <w:rPr>
          <w:rFonts w:ascii="Avenir Next" w:hAnsi="Avenir Next" w:cs="Arial"/>
          <w:color w:val="808080" w:themeColor="background1" w:themeShade="80"/>
          <w:sz w:val="22"/>
          <w:szCs w:val="22"/>
          <w:lang w:val="en-GB"/>
        </w:rPr>
        <w:t xml:space="preserve"> the European Insolvency Regulation Recast would not apply to the UK proceedings, as the EIR Recast no longer applies to UK proceedings instituted after 11pm on 31 December 2020.</w:t>
      </w:r>
      <w:r w:rsidR="001B1C1D">
        <w:rPr>
          <w:rFonts w:ascii="Avenir Next" w:hAnsi="Avenir Next" w:cs="Arial"/>
          <w:color w:val="808080" w:themeColor="background1" w:themeShade="80"/>
          <w:sz w:val="22"/>
          <w:szCs w:val="22"/>
          <w:lang w:val="en-GB"/>
        </w:rPr>
        <w:t xml:space="preserve">  Therefore, the normal rules of cross order insolvency would apply, and to this end one would need to look at current law which, in terms of the UK law, the Insolvency Act of 1986 and more specifically S426(5) thereof</w:t>
      </w:r>
      <w:r w:rsidR="0088305F">
        <w:rPr>
          <w:rFonts w:ascii="Avenir Next" w:hAnsi="Avenir Next" w:cs="Arial"/>
          <w:color w:val="808080" w:themeColor="background1" w:themeShade="80"/>
          <w:sz w:val="22"/>
          <w:szCs w:val="22"/>
          <w:lang w:val="en-GB"/>
        </w:rPr>
        <w:t xml:space="preserve"> empowers UK courts the ability to apply, upon request, the insolvency law applicable to either jurisdiction when the matter falls within that’s courts jurisdictions.</w:t>
      </w:r>
    </w:p>
    <w:p w14:paraId="3E0705CD" w14:textId="27E05F58" w:rsidR="00043DA0" w:rsidRPr="00AB63DE" w:rsidRDefault="00043DA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to give a more in-depth answer to the above one would need to know the exact location of assets and debtors in relation to jurisdiction.</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A8DB" w14:textId="77777777" w:rsidR="00AD7278" w:rsidRDefault="00AD7278" w:rsidP="00241B44">
      <w:r>
        <w:separator/>
      </w:r>
    </w:p>
  </w:endnote>
  <w:endnote w:type="continuationSeparator" w:id="0">
    <w:p w14:paraId="128662E9" w14:textId="77777777" w:rsidR="00AD7278" w:rsidRDefault="00AD727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1EE2BA3" w:rsidR="00B64A85" w:rsidRPr="00297BDF" w:rsidRDefault="000A05AC" w:rsidP="0052732A">
    <w:pPr>
      <w:pStyle w:val="Footer"/>
      <w:ind w:right="360"/>
      <w:rPr>
        <w:rFonts w:ascii="Avenir Next" w:hAnsi="Avenir Next" w:cs="Arial"/>
        <w:sz w:val="22"/>
        <w:szCs w:val="22"/>
      </w:rPr>
    </w:pPr>
    <w:r>
      <w:rPr>
        <w:rFonts w:ascii="Avenir Next" w:hAnsi="Avenir Next" w:cs="Arial"/>
        <w:sz w:val="22"/>
        <w:szCs w:val="22"/>
      </w:rPr>
      <w:t>202223-856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5892" w14:textId="77777777" w:rsidR="00AD7278" w:rsidRDefault="00AD7278" w:rsidP="00241B44">
      <w:r>
        <w:separator/>
      </w:r>
    </w:p>
  </w:footnote>
  <w:footnote w:type="continuationSeparator" w:id="0">
    <w:p w14:paraId="0798C373" w14:textId="77777777" w:rsidR="00AD7278" w:rsidRDefault="00AD727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049909">
    <w:abstractNumId w:val="18"/>
  </w:num>
  <w:num w:numId="2" w16cid:durableId="2098358448">
    <w:abstractNumId w:val="22"/>
  </w:num>
  <w:num w:numId="3" w16cid:durableId="1318343834">
    <w:abstractNumId w:val="2"/>
  </w:num>
  <w:num w:numId="4" w16cid:durableId="1744373864">
    <w:abstractNumId w:val="3"/>
  </w:num>
  <w:num w:numId="5" w16cid:durableId="1038701850">
    <w:abstractNumId w:val="14"/>
  </w:num>
  <w:num w:numId="6" w16cid:durableId="819663130">
    <w:abstractNumId w:val="19"/>
  </w:num>
  <w:num w:numId="7" w16cid:durableId="1927693496">
    <w:abstractNumId w:val="8"/>
  </w:num>
  <w:num w:numId="8" w16cid:durableId="86198694">
    <w:abstractNumId w:val="23"/>
  </w:num>
  <w:num w:numId="9" w16cid:durableId="283967596">
    <w:abstractNumId w:val="7"/>
  </w:num>
  <w:num w:numId="10" w16cid:durableId="495271480">
    <w:abstractNumId w:val="20"/>
  </w:num>
  <w:num w:numId="11" w16cid:durableId="1088577382">
    <w:abstractNumId w:val="6"/>
  </w:num>
  <w:num w:numId="12" w16cid:durableId="25911115">
    <w:abstractNumId w:val="21"/>
  </w:num>
  <w:num w:numId="13" w16cid:durableId="204560895">
    <w:abstractNumId w:val="13"/>
  </w:num>
  <w:num w:numId="14" w16cid:durableId="515651820">
    <w:abstractNumId w:val="12"/>
  </w:num>
  <w:num w:numId="15" w16cid:durableId="1990206281">
    <w:abstractNumId w:val="4"/>
  </w:num>
  <w:num w:numId="16" w16cid:durableId="1907841842">
    <w:abstractNumId w:val="15"/>
  </w:num>
  <w:num w:numId="17" w16cid:durableId="1911698272">
    <w:abstractNumId w:val="10"/>
  </w:num>
  <w:num w:numId="18" w16cid:durableId="948700498">
    <w:abstractNumId w:val="11"/>
  </w:num>
  <w:num w:numId="19" w16cid:durableId="1843272303">
    <w:abstractNumId w:val="17"/>
  </w:num>
  <w:num w:numId="20" w16cid:durableId="1871794509">
    <w:abstractNumId w:val="5"/>
  </w:num>
  <w:num w:numId="21" w16cid:durableId="1017124792">
    <w:abstractNumId w:val="9"/>
  </w:num>
  <w:num w:numId="22" w16cid:durableId="1093818188">
    <w:abstractNumId w:val="0"/>
  </w:num>
  <w:num w:numId="23" w16cid:durableId="986662577">
    <w:abstractNumId w:val="16"/>
  </w:num>
  <w:num w:numId="24" w16cid:durableId="2375543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3DA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5AC"/>
    <w:rsid w:val="000A0C1B"/>
    <w:rsid w:val="000A2761"/>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1C1D"/>
    <w:rsid w:val="001B5016"/>
    <w:rsid w:val="001B6CEE"/>
    <w:rsid w:val="001C2522"/>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2DAD"/>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2ED8"/>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4FC0"/>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B70"/>
    <w:rsid w:val="00445CE6"/>
    <w:rsid w:val="00446987"/>
    <w:rsid w:val="004534C2"/>
    <w:rsid w:val="00453967"/>
    <w:rsid w:val="0045446F"/>
    <w:rsid w:val="00454C9D"/>
    <w:rsid w:val="0045683E"/>
    <w:rsid w:val="0046142D"/>
    <w:rsid w:val="0046274F"/>
    <w:rsid w:val="0046298C"/>
    <w:rsid w:val="00463259"/>
    <w:rsid w:val="0046436A"/>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41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1A4"/>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550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0FE2"/>
    <w:rsid w:val="006D176A"/>
    <w:rsid w:val="006D564C"/>
    <w:rsid w:val="006D6BD5"/>
    <w:rsid w:val="006E00EF"/>
    <w:rsid w:val="006E1CB0"/>
    <w:rsid w:val="006E254C"/>
    <w:rsid w:val="006E2974"/>
    <w:rsid w:val="006E481A"/>
    <w:rsid w:val="006E5298"/>
    <w:rsid w:val="006E6A1F"/>
    <w:rsid w:val="006E6A6A"/>
    <w:rsid w:val="006E77B0"/>
    <w:rsid w:val="006F6B2E"/>
    <w:rsid w:val="006F734A"/>
    <w:rsid w:val="00700D83"/>
    <w:rsid w:val="00704715"/>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5CB1"/>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05F"/>
    <w:rsid w:val="008837A6"/>
    <w:rsid w:val="008841E5"/>
    <w:rsid w:val="00884D7C"/>
    <w:rsid w:val="0089145D"/>
    <w:rsid w:val="00894EE5"/>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85B6D"/>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27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21D"/>
    <w:rsid w:val="00C92A0D"/>
    <w:rsid w:val="00C952A2"/>
    <w:rsid w:val="00C963D3"/>
    <w:rsid w:val="00CA1802"/>
    <w:rsid w:val="00CA3817"/>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3FD0"/>
    <w:rsid w:val="00D068C5"/>
    <w:rsid w:val="00D07F87"/>
    <w:rsid w:val="00D148DC"/>
    <w:rsid w:val="00D1688E"/>
    <w:rsid w:val="00D17FDC"/>
    <w:rsid w:val="00D223E4"/>
    <w:rsid w:val="00D22645"/>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975"/>
    <w:rsid w:val="00E26E19"/>
    <w:rsid w:val="00E31DF3"/>
    <w:rsid w:val="00E37049"/>
    <w:rsid w:val="00E4126D"/>
    <w:rsid w:val="00E42DEA"/>
    <w:rsid w:val="00E450A4"/>
    <w:rsid w:val="00E506BE"/>
    <w:rsid w:val="00E518B6"/>
    <w:rsid w:val="00E525B9"/>
    <w:rsid w:val="00E53AE9"/>
    <w:rsid w:val="00E54ADD"/>
    <w:rsid w:val="00E55547"/>
    <w:rsid w:val="00E55E9B"/>
    <w:rsid w:val="00E5710D"/>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4AA"/>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68E"/>
    <w:rsid w:val="00FB2C81"/>
    <w:rsid w:val="00FB6703"/>
    <w:rsid w:val="00FB7C8F"/>
    <w:rsid w:val="00FB7D52"/>
    <w:rsid w:val="00FC2741"/>
    <w:rsid w:val="00FC30E1"/>
    <w:rsid w:val="00FC337F"/>
    <w:rsid w:val="00FC374A"/>
    <w:rsid w:val="00FC4F43"/>
    <w:rsid w:val="00FC5D26"/>
    <w:rsid w:val="00FC7B47"/>
    <w:rsid w:val="00FD0169"/>
    <w:rsid w:val="00FD035C"/>
    <w:rsid w:val="00FD0394"/>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Morris</cp:lastModifiedBy>
  <cp:revision>25</cp:revision>
  <cp:lastPrinted>2020-06-12T02:43:00Z</cp:lastPrinted>
  <dcterms:created xsi:type="dcterms:W3CDTF">2022-11-12T09:31:00Z</dcterms:created>
  <dcterms:modified xsi:type="dcterms:W3CDTF">2022-11-12T11:19:00Z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