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F382C" w:rsidRDefault="002D2356" w:rsidP="008071D5">
      <w:pPr>
        <w:pStyle w:val="a3"/>
        <w:numPr>
          <w:ilvl w:val="0"/>
          <w:numId w:val="15"/>
        </w:numPr>
        <w:ind w:left="425" w:hanging="357"/>
        <w:jc w:val="both"/>
        <w:rPr>
          <w:rFonts w:ascii="Avenir Next" w:hAnsi="Avenir Next" w:cs="Arial"/>
          <w:sz w:val="22"/>
          <w:szCs w:val="22"/>
          <w:highlight w:val="yellow"/>
        </w:rPr>
      </w:pPr>
      <w:r w:rsidRPr="006F382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F382C">
        <w:rPr>
          <w:rFonts w:ascii="Avenir Next" w:hAnsi="Avenir Next" w:cs="Arial"/>
          <w:sz w:val="22"/>
          <w:szCs w:val="22"/>
          <w:highlight w:val="yellow"/>
          <w:vertAlign w:val="superscript"/>
        </w:rPr>
        <w:t>th</w:t>
      </w:r>
      <w:r w:rsidRPr="006F382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F382C" w:rsidRDefault="002D2356" w:rsidP="008071D5">
      <w:pPr>
        <w:pStyle w:val="a3"/>
        <w:numPr>
          <w:ilvl w:val="0"/>
          <w:numId w:val="16"/>
        </w:numPr>
        <w:ind w:left="426"/>
        <w:jc w:val="both"/>
        <w:rPr>
          <w:rFonts w:ascii="Avenir Next" w:hAnsi="Avenir Next" w:cs="Arial"/>
          <w:sz w:val="22"/>
          <w:szCs w:val="22"/>
          <w:highlight w:val="yellow"/>
        </w:rPr>
      </w:pPr>
      <w:r w:rsidRPr="006F382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a3"/>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F382C" w:rsidRDefault="002D2356" w:rsidP="008071D5">
      <w:pPr>
        <w:pStyle w:val="a3"/>
        <w:numPr>
          <w:ilvl w:val="0"/>
          <w:numId w:val="17"/>
        </w:numPr>
        <w:ind w:left="426"/>
        <w:jc w:val="both"/>
        <w:rPr>
          <w:rFonts w:ascii="Avenir Next" w:hAnsi="Avenir Next" w:cs="Arial"/>
          <w:sz w:val="22"/>
          <w:szCs w:val="22"/>
          <w:highlight w:val="yellow"/>
        </w:rPr>
      </w:pPr>
      <w:r w:rsidRPr="006F382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F382C" w:rsidRDefault="00466ED6" w:rsidP="008071D5">
      <w:pPr>
        <w:pStyle w:val="a3"/>
        <w:numPr>
          <w:ilvl w:val="0"/>
          <w:numId w:val="18"/>
        </w:numPr>
        <w:ind w:left="426"/>
        <w:jc w:val="both"/>
        <w:rPr>
          <w:rFonts w:ascii="Avenir Next" w:hAnsi="Avenir Next" w:cs="Arial"/>
          <w:sz w:val="22"/>
          <w:szCs w:val="22"/>
          <w:highlight w:val="yellow"/>
        </w:rPr>
      </w:pPr>
      <w:r w:rsidRPr="006F382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a3"/>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26E1B" w:rsidRDefault="002D2356" w:rsidP="008071D5">
      <w:pPr>
        <w:pStyle w:val="a3"/>
        <w:numPr>
          <w:ilvl w:val="0"/>
          <w:numId w:val="19"/>
        </w:numPr>
        <w:ind w:left="425" w:hanging="357"/>
        <w:jc w:val="both"/>
        <w:rPr>
          <w:rFonts w:ascii="Avenir Next" w:hAnsi="Avenir Next" w:cs="Arial"/>
          <w:sz w:val="22"/>
          <w:szCs w:val="22"/>
          <w:highlight w:val="yellow"/>
        </w:rPr>
      </w:pPr>
      <w:r w:rsidRPr="00026E1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lastRenderedPageBreak/>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BC6FA5" w:rsidRDefault="002D2356" w:rsidP="008071D5">
      <w:pPr>
        <w:pStyle w:val="a3"/>
        <w:numPr>
          <w:ilvl w:val="0"/>
          <w:numId w:val="20"/>
        </w:numPr>
        <w:ind w:left="426"/>
        <w:jc w:val="both"/>
        <w:rPr>
          <w:rFonts w:ascii="Avenir Next" w:eastAsiaTheme="minorHAnsi" w:hAnsi="Avenir Next" w:cs="Arial"/>
          <w:sz w:val="22"/>
          <w:szCs w:val="22"/>
          <w:highlight w:val="yellow"/>
          <w:lang w:val="en-GB"/>
        </w:rPr>
      </w:pPr>
      <w:r w:rsidRPr="00BC6FA5">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a3"/>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a3"/>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86249" w:rsidRDefault="009A0501" w:rsidP="008071D5">
      <w:pPr>
        <w:pStyle w:val="a3"/>
        <w:numPr>
          <w:ilvl w:val="0"/>
          <w:numId w:val="21"/>
        </w:numPr>
        <w:ind w:left="426"/>
        <w:jc w:val="both"/>
        <w:rPr>
          <w:rFonts w:ascii="Avenir Next" w:eastAsiaTheme="minorHAnsi" w:hAnsi="Avenir Next" w:cs="Arial"/>
          <w:sz w:val="22"/>
          <w:szCs w:val="22"/>
          <w:highlight w:val="yellow"/>
          <w:lang w:val="en-GB"/>
        </w:rPr>
      </w:pPr>
      <w:r w:rsidRPr="0078624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86249">
        <w:rPr>
          <w:rFonts w:ascii="Avenir Next" w:eastAsiaTheme="minorHAnsi" w:hAnsi="Avenir Next" w:cs="Arial"/>
          <w:sz w:val="22"/>
          <w:szCs w:val="22"/>
          <w:highlight w:val="yellow"/>
          <w:lang w:val="en-GB"/>
        </w:rPr>
        <w:t xml:space="preserve"> </w:t>
      </w:r>
      <w:r w:rsidRPr="00786249">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a3"/>
        <w:numPr>
          <w:ilvl w:val="0"/>
          <w:numId w:val="22"/>
        </w:numPr>
        <w:ind w:left="426"/>
        <w:jc w:val="both"/>
        <w:rPr>
          <w:rFonts w:ascii="Avenir Next" w:eastAsiaTheme="minorHAnsi" w:hAnsi="Avenir Next" w:cs="Arial"/>
          <w:sz w:val="22"/>
          <w:szCs w:val="22"/>
          <w:lang w:val="en-GB"/>
        </w:rPr>
      </w:pPr>
      <w:r w:rsidRPr="00786249">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a3"/>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lastRenderedPageBreak/>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86249" w:rsidRDefault="00F5239B" w:rsidP="008071D5">
      <w:pPr>
        <w:pStyle w:val="a3"/>
        <w:numPr>
          <w:ilvl w:val="0"/>
          <w:numId w:val="23"/>
        </w:numPr>
        <w:ind w:left="426"/>
        <w:jc w:val="both"/>
        <w:rPr>
          <w:rFonts w:ascii="Avenir Next" w:hAnsi="Avenir Next" w:cs="Arial"/>
          <w:sz w:val="22"/>
          <w:szCs w:val="22"/>
          <w:highlight w:val="yellow"/>
        </w:rPr>
      </w:pPr>
      <w:r w:rsidRPr="00786249">
        <w:rPr>
          <w:rFonts w:ascii="Avenir Next" w:hAnsi="Avenir Next" w:cs="Arial"/>
          <w:sz w:val="22"/>
          <w:szCs w:val="22"/>
          <w:highlight w:val="yellow"/>
        </w:rPr>
        <w:t xml:space="preserve">This statement is true because </w:t>
      </w:r>
      <w:r w:rsidR="007B5180" w:rsidRPr="00786249">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a3"/>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86249" w:rsidRDefault="009355DB" w:rsidP="008071D5">
      <w:pPr>
        <w:pStyle w:val="a3"/>
        <w:numPr>
          <w:ilvl w:val="0"/>
          <w:numId w:val="24"/>
        </w:numPr>
        <w:ind w:left="426"/>
        <w:jc w:val="both"/>
        <w:rPr>
          <w:rFonts w:ascii="Avenir Next" w:hAnsi="Avenir Next" w:cs="Arial"/>
          <w:sz w:val="22"/>
          <w:szCs w:val="22"/>
          <w:highlight w:val="yellow"/>
        </w:rPr>
      </w:pPr>
      <w:r w:rsidRPr="00786249">
        <w:rPr>
          <w:rFonts w:ascii="Avenir Next" w:hAnsi="Avenir Next" w:cs="Arial"/>
          <w:sz w:val="22"/>
          <w:szCs w:val="22"/>
          <w:highlight w:val="yellow"/>
        </w:rPr>
        <w:t xml:space="preserve">This statement is true because </w:t>
      </w:r>
      <w:r w:rsidR="005C4FF2" w:rsidRPr="0078624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A40B610" w:rsidR="0081547D" w:rsidRPr="00AB63DE" w:rsidRDefault="00F35D69" w:rsidP="00F35D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w:t>
      </w:r>
      <w:r w:rsidR="00F45E1C">
        <w:rPr>
          <w:rFonts w:ascii="Avenir Next" w:hAnsi="Avenir Next" w:cs="Arial"/>
          <w:color w:val="808080" w:themeColor="background1" w:themeShade="80"/>
          <w:sz w:val="22"/>
          <w:szCs w:val="22"/>
          <w:lang w:val="en-GB"/>
        </w:rPr>
        <w:t xml:space="preserve">not only basic </w:t>
      </w:r>
      <w:r>
        <w:rPr>
          <w:rFonts w:ascii="Avenir Next" w:hAnsi="Avenir Next" w:cs="Arial"/>
          <w:color w:val="808080" w:themeColor="background1" w:themeShade="80"/>
          <w:sz w:val="22"/>
          <w:szCs w:val="22"/>
          <w:lang w:val="en-GB"/>
        </w:rPr>
        <w:t>legal system</w:t>
      </w:r>
      <w:r w:rsidR="00F45E1C">
        <w:rPr>
          <w:rFonts w:ascii="Avenir Next" w:hAnsi="Avenir Next" w:cs="Arial"/>
          <w:color w:val="808080" w:themeColor="background1" w:themeShade="80"/>
          <w:sz w:val="22"/>
          <w:szCs w:val="22"/>
          <w:lang w:val="en-GB"/>
        </w:rPr>
        <w:t xml:space="preserve"> but also insolvency law systems</w:t>
      </w:r>
      <w:r>
        <w:rPr>
          <w:rFonts w:ascii="Avenir Next" w:hAnsi="Avenir Next" w:cs="Arial"/>
          <w:color w:val="808080" w:themeColor="background1" w:themeShade="80"/>
          <w:sz w:val="22"/>
          <w:szCs w:val="22"/>
          <w:lang w:val="en-GB"/>
        </w:rPr>
        <w:t xml:space="preserve">, respective colonial power has still given impact on African countries. For example, </w:t>
      </w:r>
      <w:r w:rsidR="00F45E1C">
        <w:rPr>
          <w:rFonts w:ascii="Avenir Next" w:hAnsi="Avenir Next" w:cs="Arial"/>
          <w:color w:val="808080" w:themeColor="background1" w:themeShade="80"/>
          <w:sz w:val="22"/>
          <w:szCs w:val="22"/>
          <w:lang w:val="en-GB"/>
        </w:rPr>
        <w:t>an English law system</w:t>
      </w:r>
      <w:r w:rsidR="00F45E1C" w:rsidRPr="00F35D69">
        <w:rPr>
          <w:rFonts w:ascii="Avenir Next" w:hAnsi="Avenir Next" w:cs="Arial"/>
          <w:color w:val="808080" w:themeColor="background1" w:themeShade="80"/>
          <w:sz w:val="22"/>
          <w:szCs w:val="22"/>
          <w:lang w:val="en-GB"/>
        </w:rPr>
        <w:t xml:space="preserve"> </w:t>
      </w:r>
      <w:r w:rsidR="00F45E1C">
        <w:rPr>
          <w:rFonts w:ascii="Avenir Next" w:hAnsi="Avenir Next" w:cs="Arial"/>
          <w:color w:val="808080" w:themeColor="background1" w:themeShade="80"/>
          <w:sz w:val="22"/>
          <w:szCs w:val="22"/>
          <w:lang w:val="en-GB"/>
        </w:rPr>
        <w:t xml:space="preserve">affects </w:t>
      </w:r>
      <w:r w:rsidRPr="00F35D69">
        <w:rPr>
          <w:rFonts w:ascii="Avenir Next" w:hAnsi="Avenir Next" w:cs="Arial"/>
          <w:color w:val="808080" w:themeColor="background1" w:themeShade="80"/>
          <w:sz w:val="22"/>
          <w:szCs w:val="22"/>
          <w:lang w:val="en-GB"/>
        </w:rPr>
        <w:t>Nigeria, Kenya, Botswana and Zambia, and countries in the Eastern part of Africa such as Tanzania</w:t>
      </w:r>
      <w:r w:rsidR="00F45E1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45E1C">
        <w:rPr>
          <w:rFonts w:ascii="Avenir Next" w:hAnsi="Avenir Next" w:cs="Arial"/>
          <w:color w:val="808080" w:themeColor="background1" w:themeShade="80"/>
          <w:sz w:val="22"/>
          <w:szCs w:val="22"/>
          <w:lang w:val="en-GB"/>
        </w:rPr>
        <w:t xml:space="preserve">However, there are the introduction of new and modern legislation to many African countries.  An example of this introduction is that </w:t>
      </w:r>
      <w:r w:rsidR="00F45E1C" w:rsidRPr="00F45E1C">
        <w:rPr>
          <w:rFonts w:ascii="Avenir Next" w:hAnsi="Avenir Next" w:cs="Arial"/>
          <w:color w:val="808080" w:themeColor="background1" w:themeShade="80"/>
          <w:sz w:val="22"/>
          <w:szCs w:val="22"/>
          <w:lang w:val="en-GB"/>
        </w:rPr>
        <w:t>Sub-Saharan Africa</w:t>
      </w:r>
      <w:r w:rsidR="00F45E1C">
        <w:rPr>
          <w:rFonts w:ascii="Avenir Next" w:hAnsi="Avenir Next" w:cs="Arial"/>
          <w:color w:val="808080" w:themeColor="background1" w:themeShade="80"/>
          <w:sz w:val="22"/>
          <w:szCs w:val="22"/>
          <w:lang w:val="en-GB"/>
        </w:rPr>
        <w:t xml:space="preserve"> has established the </w:t>
      </w:r>
      <w:r w:rsidR="00F45E1C" w:rsidRPr="00F45E1C">
        <w:rPr>
          <w:rFonts w:ascii="Avenir Next" w:hAnsi="Avenir Next" w:cs="Arial"/>
          <w:color w:val="808080" w:themeColor="background1" w:themeShade="80"/>
          <w:sz w:val="22"/>
          <w:szCs w:val="22"/>
          <w:lang w:val="en-GB"/>
        </w:rPr>
        <w:t xml:space="preserve">Organisation pour </w:t>
      </w:r>
      <w:proofErr w:type="spellStart"/>
      <w:r w:rsidR="00F45E1C" w:rsidRPr="00F45E1C">
        <w:rPr>
          <w:rFonts w:ascii="Avenir Next" w:hAnsi="Avenir Next" w:cs="Arial"/>
          <w:color w:val="808080" w:themeColor="background1" w:themeShade="80"/>
          <w:sz w:val="22"/>
          <w:szCs w:val="22"/>
          <w:lang w:val="en-GB"/>
        </w:rPr>
        <w:t>l’Harmonisation</w:t>
      </w:r>
      <w:proofErr w:type="spellEnd"/>
      <w:r w:rsidR="00F45E1C" w:rsidRPr="00F45E1C">
        <w:rPr>
          <w:rFonts w:ascii="Avenir Next" w:hAnsi="Avenir Next" w:cs="Arial"/>
          <w:color w:val="808080" w:themeColor="background1" w:themeShade="80"/>
          <w:sz w:val="22"/>
          <w:szCs w:val="22"/>
          <w:lang w:val="en-GB"/>
        </w:rPr>
        <w:t xml:space="preserve"> </w:t>
      </w:r>
      <w:proofErr w:type="spellStart"/>
      <w:r w:rsidR="00F45E1C" w:rsidRPr="00F45E1C">
        <w:rPr>
          <w:rFonts w:ascii="Avenir Next" w:hAnsi="Avenir Next" w:cs="Arial"/>
          <w:color w:val="808080" w:themeColor="background1" w:themeShade="80"/>
          <w:sz w:val="22"/>
          <w:szCs w:val="22"/>
          <w:lang w:val="en-GB"/>
        </w:rPr>
        <w:t>en</w:t>
      </w:r>
      <w:proofErr w:type="spellEnd"/>
      <w:r w:rsidR="00F45E1C" w:rsidRPr="00F45E1C">
        <w:rPr>
          <w:rFonts w:ascii="Avenir Next" w:hAnsi="Avenir Next" w:cs="Arial"/>
          <w:color w:val="808080" w:themeColor="background1" w:themeShade="80"/>
          <w:sz w:val="22"/>
          <w:szCs w:val="22"/>
          <w:lang w:val="en-GB"/>
        </w:rPr>
        <w:t xml:space="preserve"> </w:t>
      </w:r>
      <w:proofErr w:type="spellStart"/>
      <w:r w:rsidR="00F45E1C" w:rsidRPr="00F45E1C">
        <w:rPr>
          <w:rFonts w:ascii="Avenir Next" w:hAnsi="Avenir Next" w:cs="Arial"/>
          <w:color w:val="808080" w:themeColor="background1" w:themeShade="80"/>
          <w:sz w:val="22"/>
          <w:szCs w:val="22"/>
          <w:lang w:val="en-GB"/>
        </w:rPr>
        <w:t>Afrique</w:t>
      </w:r>
      <w:proofErr w:type="spellEnd"/>
      <w:r w:rsidR="00F45E1C" w:rsidRPr="00F45E1C">
        <w:rPr>
          <w:rFonts w:ascii="Avenir Next" w:hAnsi="Avenir Next" w:cs="Arial"/>
          <w:color w:val="808080" w:themeColor="background1" w:themeShade="80"/>
          <w:sz w:val="22"/>
          <w:szCs w:val="22"/>
          <w:lang w:val="en-GB"/>
        </w:rPr>
        <w:t xml:space="preserve"> du Droit des Affaires (OHADA) or Organisation for the Harmonisation of Business Law in Africa (OHBLA)</w:t>
      </w:r>
      <w:r w:rsidR="00F45E1C">
        <w:rPr>
          <w:rFonts w:ascii="Avenir Next" w:hAnsi="Avenir Next" w:cs="Arial"/>
          <w:color w:val="808080" w:themeColor="background1" w:themeShade="80"/>
          <w:sz w:val="22"/>
          <w:szCs w:val="22"/>
          <w:lang w:val="en-GB"/>
        </w:rPr>
        <w:t xml:space="preserve"> to reform or coordinate with the domestic laws of its member countries, including insolvency law systems. As a result, </w:t>
      </w:r>
      <w:r w:rsidR="009E2518">
        <w:rPr>
          <w:rFonts w:ascii="Avenir Next" w:hAnsi="Avenir Next" w:cs="Arial"/>
          <w:color w:val="808080" w:themeColor="background1" w:themeShade="80"/>
          <w:sz w:val="22"/>
          <w:szCs w:val="22"/>
          <w:lang w:val="en-GB"/>
        </w:rPr>
        <w:t>1ll of the OHADA member states introduced the UNCITRAL Model Law on Cross-border insolvency.</w:t>
      </w:r>
      <w:r w:rsidR="00F45E1C">
        <w:rPr>
          <w:rFonts w:ascii="Avenir Next" w:hAnsi="Avenir Next" w:cs="Arial"/>
          <w:color w:val="808080" w:themeColor="background1" w:themeShade="80"/>
          <w:sz w:val="22"/>
          <w:szCs w:val="22"/>
          <w:lang w:val="en-GB"/>
        </w:rPr>
        <w:t xml:space="preserve"> </w:t>
      </w:r>
    </w:p>
    <w:p w14:paraId="0B17CF2F" w14:textId="77777777" w:rsidR="0081547D" w:rsidRPr="00F45E1C"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BF5E631" w:rsidR="00AB63DE" w:rsidRPr="00AB63DE" w:rsidRDefault="00EF27BB" w:rsidP="00EF2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1998 financial crisis in East Asia, especially Indonesia and Thailand, gave the impact on the reform of insolvency law. Especially, Thailand significantly reformed its bankruptcy laws. In addition, there is an introduction of new insolvency law in Singapore: Restructuring and Dissolution Act, coming into force on 30 July 2020. Additionally, Corporate Restructuring and Insolvency in Asia has been indicat</w:t>
      </w:r>
      <w:r w:rsidR="00F12787">
        <w:rPr>
          <w:rFonts w:ascii="Avenir Next" w:hAnsi="Avenir Next" w:cs="Arial"/>
          <w:color w:val="808080" w:themeColor="background1" w:themeShade="80"/>
          <w:sz w:val="22"/>
          <w:szCs w:val="22"/>
          <w:lang w:val="en-GB"/>
        </w:rPr>
        <w:t xml:space="preserve">ed as a recent Asian initiative, affecting many East Asian countries, including ASEAN, China, Hong Kong, Japan and South Korea. </w:t>
      </w:r>
      <w:r>
        <w:rPr>
          <w:rFonts w:ascii="Avenir Next" w:hAnsi="Avenir Next" w:cs="Arial"/>
          <w:color w:val="808080" w:themeColor="background1" w:themeShade="80"/>
          <w:sz w:val="22"/>
          <w:szCs w:val="22"/>
          <w:lang w:val="en-GB"/>
        </w:rPr>
        <w:t xml:space="preserve"> </w:t>
      </w:r>
    </w:p>
    <w:p w14:paraId="09F61129" w14:textId="3FFD16C1" w:rsidR="00AB63DE" w:rsidRPr="00EF27BB"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9984A27" w14:textId="73ECE78F" w:rsidR="00AB63DE" w:rsidRPr="00C22419" w:rsidRDefault="0040084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w:t>
      </w:r>
      <w:r w:rsidR="00F12787">
        <w:rPr>
          <w:rFonts w:ascii="Avenir Next" w:hAnsi="Avenir Next" w:cs="Arial"/>
          <w:color w:val="808080" w:themeColor="background1" w:themeShade="80"/>
          <w:sz w:val="22"/>
          <w:szCs w:val="22"/>
          <w:lang w:val="en-GB"/>
        </w:rPr>
        <w:t>Canada and US failed to reach an bilateral insolvency treaty</w:t>
      </w:r>
      <w:r>
        <w:rPr>
          <w:rFonts w:ascii="Avenir Next" w:hAnsi="Avenir Next" w:cs="Arial"/>
          <w:color w:val="808080" w:themeColor="background1" w:themeShade="80"/>
          <w:sz w:val="22"/>
          <w:szCs w:val="22"/>
          <w:lang w:val="en-GB"/>
        </w:rPr>
        <w:t xml:space="preserve"> in the 1970’s, both countries has adopted Model Law and cooperation mechanisms, e.g., Protocols, as practical progress though there had been cooperation and coordination between them. In addition, </w:t>
      </w:r>
      <w:r w:rsidR="00761F37" w:rsidRPr="00761F37">
        <w:rPr>
          <w:rFonts w:ascii="Avenir Next" w:hAnsi="Avenir Next" w:cs="Arial"/>
          <w:color w:val="808080" w:themeColor="background1" w:themeShade="80"/>
          <w:sz w:val="22"/>
          <w:szCs w:val="22"/>
          <w:lang w:val="en-GB"/>
        </w:rPr>
        <w:t>the American Law Institute (ALI)</w:t>
      </w:r>
      <w:r w:rsidR="00761F37">
        <w:rPr>
          <w:rFonts w:ascii="Avenir Next" w:hAnsi="Avenir Next" w:cs="Arial"/>
          <w:color w:val="808080" w:themeColor="background1" w:themeShade="80"/>
          <w:sz w:val="22"/>
          <w:szCs w:val="22"/>
          <w:lang w:val="en-GB"/>
        </w:rPr>
        <w:t xml:space="preserve"> took the initiative to</w:t>
      </w:r>
      <w:r w:rsidR="00C22419">
        <w:rPr>
          <w:rFonts w:ascii="Avenir Next" w:hAnsi="Avenir Next" w:cs="Arial"/>
          <w:color w:val="808080" w:themeColor="background1" w:themeShade="80"/>
          <w:sz w:val="22"/>
          <w:szCs w:val="22"/>
          <w:lang w:val="en-GB"/>
        </w:rPr>
        <w:t xml:space="preserve"> make the improvement of the co-operation in international insolvencies across  US, Canada and Mexico, i.e., NAFTA member States. As a result, </w:t>
      </w:r>
      <w:r w:rsidR="00C22419" w:rsidRPr="00C22419">
        <w:rPr>
          <w:rFonts w:ascii="Avenir Next" w:hAnsi="Avenir Next" w:cs="Arial"/>
          <w:color w:val="808080" w:themeColor="background1" w:themeShade="80"/>
          <w:sz w:val="22"/>
          <w:szCs w:val="22"/>
          <w:lang w:val="en-GB"/>
        </w:rPr>
        <w:t xml:space="preserve">the ALI Council and Members </w:t>
      </w:r>
      <w:r w:rsidR="00C22419">
        <w:rPr>
          <w:rFonts w:ascii="Avenir Next" w:hAnsi="Avenir Next" w:cs="Arial"/>
          <w:color w:val="808080" w:themeColor="background1" w:themeShade="80"/>
          <w:sz w:val="22"/>
          <w:szCs w:val="22"/>
          <w:lang w:val="en-GB"/>
        </w:rPr>
        <w:t xml:space="preserve"> approved </w:t>
      </w:r>
      <w:r w:rsidR="00C22419" w:rsidRPr="00C22419">
        <w:rPr>
          <w:rFonts w:ascii="Avenir Next" w:hAnsi="Avenir Next" w:cs="Arial"/>
          <w:color w:val="808080" w:themeColor="background1" w:themeShade="80"/>
          <w:sz w:val="22"/>
          <w:szCs w:val="22"/>
          <w:lang w:val="en-GB"/>
        </w:rPr>
        <w:t>Principles of Cooperation among the NAFTA Countries</w:t>
      </w:r>
      <w:r w:rsidR="00C22419">
        <w:rPr>
          <w:rFonts w:ascii="Avenir Next" w:hAnsi="Avenir Next" w:cs="Arial"/>
          <w:color w:val="808080" w:themeColor="background1" w:themeShade="80"/>
          <w:sz w:val="22"/>
          <w:szCs w:val="22"/>
          <w:lang w:val="en-GB"/>
        </w:rPr>
        <w:t xml:space="preserve"> in 2000.</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4608B1BD" w:rsidR="00AB63DE" w:rsidRPr="00AB63DE" w:rsidRDefault="00D51B5E" w:rsidP="009F01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one of the functions of </w:t>
      </w:r>
      <w:r w:rsidR="009F01E7">
        <w:rPr>
          <w:rFonts w:ascii="Avenir Next" w:hAnsi="Avenir Next" w:cs="Arial"/>
          <w:color w:val="808080" w:themeColor="background1" w:themeShade="80"/>
          <w:sz w:val="22"/>
          <w:szCs w:val="22"/>
          <w:lang w:val="en-GB"/>
        </w:rPr>
        <w:t>insolvency procedure is to collect all assets of a debtor and then distribute them to all creditors on a pro-rata basis.  However, if a debtor makes preferential transactions with some creditors</w:t>
      </w:r>
      <w:r w:rsidR="00A05E61">
        <w:rPr>
          <w:rFonts w:ascii="Avenir Next" w:hAnsi="Avenir Next" w:cs="Arial"/>
          <w:color w:val="808080" w:themeColor="background1" w:themeShade="80"/>
          <w:sz w:val="22"/>
          <w:szCs w:val="22"/>
          <w:lang w:val="en-GB"/>
        </w:rPr>
        <w:t xml:space="preserve"> before the commencement of the insolvency proceeding</w:t>
      </w:r>
      <w:r w:rsidR="009F01E7">
        <w:rPr>
          <w:rFonts w:ascii="Avenir Next" w:hAnsi="Avenir Next" w:cs="Arial"/>
          <w:color w:val="808080" w:themeColor="background1" w:themeShade="80"/>
          <w:sz w:val="22"/>
          <w:szCs w:val="22"/>
          <w:lang w:val="en-GB"/>
        </w:rPr>
        <w:t>, other creditors are treated unfairly. Likewise, if a debtors hides her/his assets to be distributed to creditors, they cannot receive proper benefits from the debtor’s assets. Therefore, some transactions which cause damages against</w:t>
      </w:r>
      <w:r w:rsidR="00A05E61">
        <w:rPr>
          <w:rFonts w:ascii="Avenir Next" w:hAnsi="Avenir Next" w:cs="Arial"/>
          <w:color w:val="808080" w:themeColor="background1" w:themeShade="80"/>
          <w:sz w:val="22"/>
          <w:szCs w:val="22"/>
          <w:lang w:val="en-GB"/>
        </w:rPr>
        <w:t xml:space="preserve"> creditors should be voidable if this is justifiable under the insolvency collective mechanism. On the other hand, requirements to make debtor’s transaction voidable under one jurisdiction may be different from under other jurisdictions. This difference might be caused by historical reasons of respective jurisdictions</w:t>
      </w:r>
      <w:r w:rsidR="00EE7D90">
        <w:rPr>
          <w:rFonts w:ascii="Avenir Next" w:hAnsi="Avenir Next" w:cs="Arial"/>
          <w:color w:val="808080" w:themeColor="background1" w:themeShade="80"/>
          <w:sz w:val="22"/>
          <w:szCs w:val="22"/>
          <w:lang w:val="en-GB"/>
        </w:rPr>
        <w:t xml:space="preserve"> because what type of transactions to be justifiable or unjustifiable for insolvent debtors under insolvency proceedings depend on a policy decision, not logical conclusion. </w:t>
      </w:r>
      <w:r w:rsidR="00A05E61">
        <w:rPr>
          <w:rFonts w:ascii="Avenir Next" w:hAnsi="Avenir Next" w:cs="Arial"/>
          <w:color w:val="808080" w:themeColor="background1" w:themeShade="80"/>
          <w:sz w:val="22"/>
          <w:szCs w:val="22"/>
          <w:lang w:val="en-GB"/>
        </w:rPr>
        <w:t xml:space="preserve"> In fact, the basis of </w:t>
      </w:r>
      <w:r w:rsidR="00A05E61" w:rsidRPr="00A05E61">
        <w:rPr>
          <w:rFonts w:ascii="Avenir Next" w:hAnsi="Avenir Next" w:cs="Arial"/>
          <w:color w:val="808080" w:themeColor="background1" w:themeShade="80"/>
          <w:sz w:val="22"/>
          <w:szCs w:val="22"/>
          <w:lang w:val="en-GB"/>
        </w:rPr>
        <w:t>fraudulent conveyance law</w:t>
      </w:r>
      <w:r w:rsidR="00A05E61">
        <w:rPr>
          <w:rFonts w:ascii="Avenir Next" w:hAnsi="Avenir Next" w:cs="Arial"/>
          <w:color w:val="808080" w:themeColor="background1" w:themeShade="80"/>
          <w:sz w:val="22"/>
          <w:szCs w:val="22"/>
          <w:lang w:val="en-GB"/>
        </w:rPr>
        <w:t xml:space="preserve"> in civil law comes from </w:t>
      </w:r>
      <w:proofErr w:type="spellStart"/>
      <w:r w:rsidR="00A05E61" w:rsidRPr="00A05E61">
        <w:rPr>
          <w:rFonts w:ascii="Avenir Next" w:hAnsi="Avenir Next" w:cs="Arial"/>
          <w:color w:val="808080" w:themeColor="background1" w:themeShade="80"/>
          <w:sz w:val="22"/>
          <w:szCs w:val="22"/>
          <w:lang w:val="en-GB"/>
        </w:rPr>
        <w:t>actio</w:t>
      </w:r>
      <w:proofErr w:type="spellEnd"/>
      <w:r w:rsidR="00A05E61" w:rsidRPr="00A05E61">
        <w:rPr>
          <w:rFonts w:ascii="Avenir Next" w:hAnsi="Avenir Next" w:cs="Arial"/>
          <w:color w:val="808080" w:themeColor="background1" w:themeShade="80"/>
          <w:sz w:val="22"/>
          <w:szCs w:val="22"/>
          <w:lang w:val="en-GB"/>
        </w:rPr>
        <w:t xml:space="preserve"> </w:t>
      </w:r>
      <w:proofErr w:type="spellStart"/>
      <w:r w:rsidR="00A05E61" w:rsidRPr="00A05E61">
        <w:rPr>
          <w:rFonts w:ascii="Avenir Next" w:hAnsi="Avenir Next" w:cs="Arial"/>
          <w:color w:val="808080" w:themeColor="background1" w:themeShade="80"/>
          <w:sz w:val="22"/>
          <w:szCs w:val="22"/>
          <w:lang w:val="en-GB"/>
        </w:rPr>
        <w:t>Pauliana</w:t>
      </w:r>
      <w:proofErr w:type="spellEnd"/>
      <w:r w:rsidR="00A05E61">
        <w:rPr>
          <w:rFonts w:ascii="Avenir Next" w:hAnsi="Avenir Next" w:cs="Arial"/>
          <w:color w:val="808080" w:themeColor="background1" w:themeShade="80"/>
          <w:sz w:val="22"/>
          <w:szCs w:val="22"/>
          <w:lang w:val="en-GB"/>
        </w:rPr>
        <w:t xml:space="preserve"> and that in English law comes from </w:t>
      </w:r>
      <w:r w:rsidR="00EE7D90" w:rsidRPr="00EE7D90">
        <w:rPr>
          <w:rFonts w:ascii="Avenir Next" w:hAnsi="Avenir Next" w:cs="Arial"/>
          <w:color w:val="808080" w:themeColor="background1" w:themeShade="80"/>
          <w:sz w:val="22"/>
          <w:szCs w:val="22"/>
          <w:lang w:val="en-GB"/>
        </w:rPr>
        <w:t>the Act of Elizabeth of 1570</w:t>
      </w:r>
      <w:r w:rsidR="00EE7D90">
        <w:rPr>
          <w:rFonts w:ascii="Avenir Next" w:hAnsi="Avenir Next" w:cs="Arial"/>
          <w:color w:val="808080" w:themeColor="background1" w:themeShade="80"/>
          <w:sz w:val="22"/>
          <w:szCs w:val="22"/>
          <w:lang w:val="en-GB"/>
        </w:rPr>
        <w:t xml:space="preserve">.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38BF6E52" w:rsidR="001E1C34" w:rsidRPr="00AB63DE" w:rsidRDefault="00EE7D90" w:rsidP="009D3E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reason why this definition is limited is that it assumes the existence of </w:t>
      </w:r>
      <w:r w:rsidR="009D3E50">
        <w:rPr>
          <w:rFonts w:ascii="Avenir Next" w:hAnsi="Avenir Next" w:cs="Arial"/>
          <w:color w:val="808080" w:themeColor="background1" w:themeShade="80"/>
          <w:sz w:val="22"/>
          <w:szCs w:val="22"/>
          <w:lang w:val="en-GB"/>
        </w:rPr>
        <w:t>domestic insolvency legal system, namely, if there is no such legal system under the certain jurisdiction, the definition lacks the assumption of “</w:t>
      </w:r>
      <w:r w:rsidR="009D3E50" w:rsidRPr="009D3E50">
        <w:rPr>
          <w:rFonts w:ascii="Avenir Next" w:hAnsi="Avenir Next" w:cs="Arial"/>
          <w:color w:val="808080" w:themeColor="background1" w:themeShade="80"/>
          <w:sz w:val="22"/>
          <w:szCs w:val="22"/>
          <w:lang w:val="en-GB"/>
        </w:rPr>
        <w:t>a body of rules concerning certain insolvency proceedings or measures</w:t>
      </w:r>
      <w:r w:rsidR="009D3E50">
        <w:rPr>
          <w:rFonts w:ascii="Avenir Next" w:hAnsi="Avenir Next" w:cs="Arial"/>
          <w:color w:val="808080" w:themeColor="background1" w:themeShade="80"/>
          <w:sz w:val="22"/>
          <w:szCs w:val="22"/>
          <w:lang w:val="en-GB"/>
        </w:rPr>
        <w:t xml:space="preserve">”. However, there are some situation that insolvency law is not equipped in a country. On the other hand, due to </w:t>
      </w:r>
      <w:r w:rsidR="00DB2CCE">
        <w:rPr>
          <w:rFonts w:ascii="Avenir Next" w:hAnsi="Avenir Next" w:cs="Arial"/>
          <w:color w:val="808080" w:themeColor="background1" w:themeShade="80"/>
          <w:sz w:val="22"/>
          <w:szCs w:val="22"/>
          <w:lang w:val="en-GB"/>
        </w:rPr>
        <w:t>flexibility of mobility of people and goods across countries, it is necessary to have cooperation and coordination between different countries in terms of the treatment of insolvency situation. Therefore, although the definition of international insolvency law cover such issue between different countries, it does not consider the ill-equipped insolvency legal system, resulting in the limitation as definition.</w:t>
      </w:r>
    </w:p>
    <w:p w14:paraId="4B38DBAD" w14:textId="77777777" w:rsidR="001E1C34" w:rsidRPr="00DB2CCE" w:rsidRDefault="001E1C34" w:rsidP="00692852">
      <w:pPr>
        <w:jc w:val="both"/>
        <w:rPr>
          <w:rFonts w:ascii="Avenir Next" w:hAnsi="Avenir Next" w:cs="Arial"/>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28715AB3" w14:textId="6ED2D521" w:rsidR="000028F4" w:rsidRDefault="009D390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w:t>
      </w:r>
      <w:r w:rsidRPr="009D390C">
        <w:rPr>
          <w:rFonts w:ascii="Avenir Next" w:hAnsi="Avenir Next" w:cs="Arial"/>
          <w:color w:val="808080" w:themeColor="background1" w:themeShade="80"/>
          <w:sz w:val="22"/>
          <w:szCs w:val="22"/>
          <w:lang w:val="en-GB"/>
        </w:rPr>
        <w:t xml:space="preserve"> conventions</w:t>
      </w:r>
      <w:r>
        <w:rPr>
          <w:rFonts w:ascii="Avenir Next" w:hAnsi="Avenir Next" w:cs="Arial"/>
          <w:color w:val="808080" w:themeColor="background1" w:themeShade="80"/>
          <w:sz w:val="22"/>
          <w:szCs w:val="22"/>
          <w:lang w:val="en-GB"/>
        </w:rPr>
        <w:t xml:space="preserve"> are regarded as classic public instruments for </w:t>
      </w:r>
      <w:r w:rsidRPr="009D390C">
        <w:rPr>
          <w:rFonts w:ascii="Avenir Next" w:hAnsi="Avenir Next" w:cs="Arial"/>
          <w:color w:val="808080" w:themeColor="background1" w:themeShade="80"/>
          <w:sz w:val="22"/>
          <w:szCs w:val="22"/>
          <w:lang w:val="en-GB"/>
        </w:rPr>
        <w:t>cross-border insolvency law</w:t>
      </w:r>
      <w:r>
        <w:rPr>
          <w:rFonts w:ascii="Avenir Next" w:hAnsi="Avenir Next" w:cs="Arial"/>
          <w:color w:val="808080" w:themeColor="background1" w:themeShade="80"/>
          <w:sz w:val="22"/>
          <w:szCs w:val="22"/>
          <w:lang w:val="en-GB"/>
        </w:rPr>
        <w:t xml:space="preserve">. </w:t>
      </w:r>
      <w:r w:rsidRPr="009D390C">
        <w:rPr>
          <w:rFonts w:ascii="Avenir Next" w:hAnsi="Avenir Next" w:cs="Arial"/>
          <w:color w:val="808080" w:themeColor="background1" w:themeShade="80"/>
          <w:sz w:val="22"/>
          <w:szCs w:val="22"/>
          <w:lang w:val="en-GB"/>
        </w:rPr>
        <w:t xml:space="preserve">Treaties and conventions </w:t>
      </w:r>
      <w:r>
        <w:rPr>
          <w:rFonts w:ascii="Avenir Next" w:hAnsi="Avenir Next" w:cs="Arial"/>
          <w:color w:val="808080" w:themeColor="background1" w:themeShade="80"/>
          <w:sz w:val="22"/>
          <w:szCs w:val="22"/>
          <w:lang w:val="en-GB"/>
        </w:rPr>
        <w:t xml:space="preserve">affect the domestic law by the ratification of the countries to be required. As a result, such international insolvency law as “hard law” comes into enforceable. However, the “hard law” as a source for international insolvency law becomes unsuccessful, except for some rare case like the Nordic Convention (1933) across the Scandinavian countries. </w:t>
      </w:r>
      <w:r w:rsidR="000028F4">
        <w:rPr>
          <w:rFonts w:ascii="Avenir Next" w:hAnsi="Avenir Next" w:cs="Arial"/>
          <w:color w:val="808080" w:themeColor="background1" w:themeShade="80"/>
          <w:sz w:val="22"/>
          <w:szCs w:val="22"/>
          <w:lang w:val="en-GB"/>
        </w:rPr>
        <w:t xml:space="preserve">For example, only 3 European countries has ratified the </w:t>
      </w:r>
      <w:r w:rsidR="000028F4" w:rsidRPr="000028F4">
        <w:rPr>
          <w:rFonts w:ascii="Avenir Next" w:hAnsi="Avenir Next" w:cs="Arial"/>
          <w:color w:val="808080" w:themeColor="background1" w:themeShade="80"/>
          <w:sz w:val="22"/>
          <w:szCs w:val="22"/>
          <w:lang w:val="en-GB"/>
        </w:rPr>
        <w:t xml:space="preserve">European Convention on Certain International Aspects of Bankruptcy (ETS No. 136) </w:t>
      </w:r>
      <w:r w:rsidR="000028F4">
        <w:rPr>
          <w:rFonts w:ascii="Avenir Next" w:hAnsi="Avenir Next" w:cs="Arial"/>
          <w:color w:val="808080" w:themeColor="background1" w:themeShade="80"/>
          <w:sz w:val="22"/>
          <w:szCs w:val="22"/>
          <w:lang w:val="en-GB"/>
        </w:rPr>
        <w:t xml:space="preserve">for common and democratic mechanisms.  In European counties, </w:t>
      </w:r>
      <w:r w:rsidR="000028F4" w:rsidRPr="000028F4">
        <w:rPr>
          <w:rFonts w:ascii="Avenir Next" w:hAnsi="Avenir Next" w:cs="Arial"/>
          <w:color w:val="808080" w:themeColor="background1" w:themeShade="80"/>
          <w:sz w:val="22"/>
          <w:szCs w:val="22"/>
          <w:lang w:val="en-GB"/>
        </w:rPr>
        <w:t>the European Insolvency Regulation (EIR) (2000)</w:t>
      </w:r>
      <w:r w:rsidR="000028F4">
        <w:rPr>
          <w:rFonts w:ascii="Avenir Next" w:hAnsi="Avenir Next" w:cs="Arial"/>
          <w:color w:val="808080" w:themeColor="background1" w:themeShade="80"/>
          <w:sz w:val="22"/>
          <w:szCs w:val="22"/>
          <w:lang w:val="en-GB"/>
        </w:rPr>
        <w:t xml:space="preserve"> as amended, not convention, has been successful as multinational insolvency development. In addition, “soft law” solutions are more successful as a source of international insolvency law than “hard law”. </w:t>
      </w:r>
      <w:r w:rsidR="000028F4" w:rsidRPr="000028F4">
        <w:rPr>
          <w:rFonts w:ascii="Avenir Next" w:hAnsi="Avenir Next" w:cs="Arial"/>
          <w:color w:val="808080" w:themeColor="background1" w:themeShade="80"/>
          <w:sz w:val="22"/>
          <w:szCs w:val="22"/>
          <w:lang w:val="en-GB"/>
        </w:rPr>
        <w:t>Model Law on Cross-border Insolvency</w:t>
      </w:r>
      <w:r w:rsidR="000028F4">
        <w:rPr>
          <w:rFonts w:ascii="Avenir Next" w:hAnsi="Avenir Next" w:cs="Arial"/>
          <w:color w:val="808080" w:themeColor="background1" w:themeShade="80"/>
          <w:sz w:val="22"/>
          <w:szCs w:val="22"/>
          <w:lang w:val="en-GB"/>
        </w:rPr>
        <w:t xml:space="preserve"> is exemplified as</w:t>
      </w:r>
      <w:r w:rsidR="00E14914">
        <w:rPr>
          <w:rFonts w:ascii="Avenir Next" w:hAnsi="Avenir Next" w:cs="Arial"/>
          <w:color w:val="808080" w:themeColor="background1" w:themeShade="80"/>
          <w:sz w:val="22"/>
          <w:szCs w:val="22"/>
          <w:lang w:val="en-GB"/>
        </w:rPr>
        <w:t xml:space="preserve"> the most successful “soft law”, adopted by various counties with or without amendments.</w:t>
      </w:r>
    </w:p>
    <w:p w14:paraId="4D152DD2" w14:textId="77777777" w:rsidR="000028F4" w:rsidRDefault="000028F4" w:rsidP="00692852">
      <w:pPr>
        <w:jc w:val="both"/>
        <w:rPr>
          <w:rFonts w:ascii="Avenir Next" w:hAnsi="Avenir Next" w:cs="Arial"/>
          <w:color w:val="808080" w:themeColor="background1" w:themeShade="80"/>
          <w:sz w:val="22"/>
          <w:szCs w:val="22"/>
          <w:lang w:val="en-GB"/>
        </w:rPr>
      </w:pPr>
    </w:p>
    <w:p w14:paraId="55C402CC" w14:textId="00D02B2E"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5EFFB27B" w:rsidR="001E1C34" w:rsidRDefault="00F67625" w:rsidP="00F676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four (4) big differences between in-court insolvency proceeding and out-of-court proceeding: moratorium, cost, publicity and binding. Although formal insolvency proceeding typically has a moratorium system and a rescue plan under the in-court proceeding is binding to dissenting creditors, the commencement of the insolvency procedure is released to the public and the cost to undertake it is more expensive than out-of-court proceeding. On the other hand, </w:t>
      </w:r>
      <w:r w:rsidR="00055BE6">
        <w:rPr>
          <w:rFonts w:ascii="Avenir Next" w:hAnsi="Avenir Next" w:cs="Arial"/>
          <w:color w:val="808080" w:themeColor="background1" w:themeShade="80"/>
          <w:sz w:val="22"/>
          <w:szCs w:val="22"/>
          <w:lang w:val="en-GB"/>
        </w:rPr>
        <w:t xml:space="preserve">the cost to undertake informal insolvency proceeding is cheaper and it is undisclosed to the public, protecting a debtor’s business value based on its financial reputation. However, it has disadvantage that a debtor cannot prevent a creditor from taking the legal proceeding against the debtor and from dissenting the rehabilitation plan. </w:t>
      </w:r>
    </w:p>
    <w:p w14:paraId="126F0376" w14:textId="693292DC" w:rsidR="00055BE6" w:rsidRPr="00AB63DE" w:rsidRDefault="00055BE6" w:rsidP="00F676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w:t>
      </w:r>
      <w:r w:rsidR="00661896">
        <w:rPr>
          <w:rFonts w:ascii="Avenir Next" w:hAnsi="Avenir Next" w:cs="Arial"/>
          <w:color w:val="808080" w:themeColor="background1" w:themeShade="80"/>
          <w:sz w:val="22"/>
          <w:szCs w:val="22"/>
          <w:lang w:val="en-GB"/>
        </w:rPr>
        <w:t xml:space="preserve">Lobo as creditor of FPPL should consider how to collect its debt against FPPL. Therefore, “formal” insolvency proceeding which is costly and shows FPPL’s financial difficulty to the public may cause </w:t>
      </w:r>
      <w:r w:rsidR="006C75FE">
        <w:rPr>
          <w:rFonts w:ascii="Avenir Next" w:hAnsi="Avenir Next" w:cs="Arial"/>
          <w:color w:val="808080" w:themeColor="background1" w:themeShade="80"/>
          <w:sz w:val="22"/>
          <w:szCs w:val="22"/>
          <w:lang w:val="en-GB"/>
        </w:rPr>
        <w:t xml:space="preserve">the damage against FPPL and the risk not to collect its debt. On the other hand, Lobo should note that, if other creditors take some legal action against FPPL, it may give negative impact on the negotiation between Lobo and FPPL. </w:t>
      </w:r>
      <w:r w:rsidR="00661896">
        <w:rPr>
          <w:rFonts w:ascii="Avenir Next" w:hAnsi="Avenir Next" w:cs="Arial"/>
          <w:color w:val="808080" w:themeColor="background1" w:themeShade="80"/>
          <w:sz w:val="22"/>
          <w:szCs w:val="22"/>
          <w:lang w:val="en-GB"/>
        </w:rPr>
        <w:t xml:space="preserve"> </w:t>
      </w:r>
    </w:p>
    <w:p w14:paraId="7CBF012E" w14:textId="77777777" w:rsidR="001E1C34" w:rsidRPr="00F67625"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Pr="00940815" w:rsidRDefault="001E1C34" w:rsidP="00692852">
      <w:pPr>
        <w:jc w:val="both"/>
        <w:rPr>
          <w:rFonts w:ascii="Avenir Next" w:hAnsi="Avenir Next" w:cs="Arial"/>
          <w:sz w:val="22"/>
          <w:szCs w:val="22"/>
          <w:lang w:val="en-GB"/>
        </w:rPr>
      </w:pPr>
    </w:p>
    <w:p w14:paraId="4F43D395" w14:textId="77777777" w:rsidR="006769BA" w:rsidRDefault="0094081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first, t</w:t>
      </w:r>
      <w:r w:rsidRPr="00940815">
        <w:rPr>
          <w:rFonts w:ascii="Avenir Next" w:hAnsi="Avenir Next" w:cs="Arial"/>
          <w:color w:val="808080" w:themeColor="background1" w:themeShade="80"/>
          <w:sz w:val="22"/>
          <w:szCs w:val="22"/>
          <w:lang w:val="en-GB"/>
        </w:rPr>
        <w:t>he Asgardian insolvency representative</w:t>
      </w:r>
      <w:r>
        <w:rPr>
          <w:rFonts w:ascii="Avenir Next" w:hAnsi="Avenir Next" w:cs="Arial"/>
          <w:color w:val="808080" w:themeColor="background1" w:themeShade="80"/>
          <w:sz w:val="22"/>
          <w:szCs w:val="22"/>
          <w:lang w:val="en-GB"/>
        </w:rPr>
        <w:t xml:space="preserve"> may face which insolvency proceedings take </w:t>
      </w:r>
      <w:proofErr w:type="spellStart"/>
      <w:proofErr w:type="gramStart"/>
      <w:r>
        <w:rPr>
          <w:rFonts w:ascii="Avenir Next" w:hAnsi="Avenir Next" w:cs="Arial"/>
          <w:color w:val="808080" w:themeColor="background1" w:themeShade="80"/>
          <w:sz w:val="22"/>
          <w:szCs w:val="22"/>
          <w:lang w:val="en-GB"/>
        </w:rPr>
        <w:t>a</w:t>
      </w:r>
      <w:proofErr w:type="spellEnd"/>
      <w:proofErr w:type="gramEnd"/>
      <w:r>
        <w:rPr>
          <w:rFonts w:ascii="Avenir Next" w:hAnsi="Avenir Next" w:cs="Arial"/>
          <w:color w:val="808080" w:themeColor="background1" w:themeShade="80"/>
          <w:sz w:val="22"/>
          <w:szCs w:val="22"/>
          <w:lang w:val="en-GB"/>
        </w:rPr>
        <w:t xml:space="preserve"> initiative role for FPPL. If there is no co-operation nor</w:t>
      </w:r>
      <w:r w:rsidRPr="00940815">
        <w:rPr>
          <w:rFonts w:ascii="Avenir Next" w:hAnsi="Avenir Next" w:cs="Arial"/>
          <w:color w:val="808080" w:themeColor="background1" w:themeShade="80"/>
          <w:sz w:val="22"/>
          <w:szCs w:val="22"/>
          <w:lang w:val="en-GB"/>
        </w:rPr>
        <w:t xml:space="preserve"> co-ordination</w:t>
      </w:r>
      <w:r>
        <w:rPr>
          <w:rFonts w:ascii="Avenir Next" w:hAnsi="Avenir Next" w:cs="Arial"/>
          <w:color w:val="808080" w:themeColor="background1" w:themeShade="80"/>
          <w:sz w:val="22"/>
          <w:szCs w:val="22"/>
          <w:lang w:val="en-GB"/>
        </w:rPr>
        <w:t xml:space="preserve"> between </w:t>
      </w:r>
      <w:proofErr w:type="spellStart"/>
      <w:r w:rsidRPr="00940815">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sidRPr="00940815">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and each of the insolvency proceedings </w:t>
      </w:r>
      <w:r w:rsidR="00561012">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independent</w:t>
      </w:r>
      <w:r w:rsidR="00561012">
        <w:rPr>
          <w:rFonts w:ascii="Avenir Next" w:hAnsi="Avenir Next" w:cs="Arial"/>
          <w:color w:val="808080" w:themeColor="background1" w:themeShade="80"/>
          <w:sz w:val="22"/>
          <w:szCs w:val="22"/>
          <w:lang w:val="en-GB"/>
        </w:rPr>
        <w:t>, there is a risk that some creditors, especially foreign creditors, against FPPL are unfairly treated.</w:t>
      </w:r>
      <w:r>
        <w:rPr>
          <w:rFonts w:ascii="Avenir Next" w:hAnsi="Avenir Next" w:cs="Arial"/>
          <w:color w:val="808080" w:themeColor="background1" w:themeShade="80"/>
          <w:sz w:val="22"/>
          <w:szCs w:val="22"/>
          <w:lang w:val="en-GB"/>
        </w:rPr>
        <w:t xml:space="preserve">  </w:t>
      </w:r>
      <w:r w:rsidR="00561012">
        <w:rPr>
          <w:rFonts w:ascii="Avenir Next" w:hAnsi="Avenir Next" w:cs="Arial"/>
          <w:color w:val="808080" w:themeColor="background1" w:themeShade="80"/>
          <w:sz w:val="22"/>
          <w:szCs w:val="22"/>
          <w:lang w:val="en-GB"/>
        </w:rPr>
        <w:t xml:space="preserve">Also, it is too difficult to predict which legislation will be applied to questions related to insolvency proceedings for the debtor, e.g., security rights and priority payments. Therefore, the development of international insolvency law is very important. If UNCITRAL model law is introduced in </w:t>
      </w:r>
      <w:proofErr w:type="spellStart"/>
      <w:r w:rsidR="00A73B02" w:rsidRPr="00940815">
        <w:rPr>
          <w:rFonts w:ascii="Avenir Next" w:hAnsi="Avenir Next" w:cs="Arial"/>
          <w:color w:val="808080" w:themeColor="background1" w:themeShade="80"/>
          <w:sz w:val="22"/>
          <w:szCs w:val="22"/>
          <w:lang w:val="en-GB"/>
        </w:rPr>
        <w:t>Asgard</w:t>
      </w:r>
      <w:proofErr w:type="spellEnd"/>
      <w:r w:rsidR="00A73B02">
        <w:rPr>
          <w:rFonts w:ascii="Avenir Next" w:hAnsi="Avenir Next" w:cs="Arial"/>
          <w:color w:val="808080" w:themeColor="background1" w:themeShade="80"/>
          <w:sz w:val="22"/>
          <w:szCs w:val="22"/>
          <w:lang w:val="en-GB"/>
        </w:rPr>
        <w:t xml:space="preserve"> and </w:t>
      </w:r>
      <w:proofErr w:type="spellStart"/>
      <w:r w:rsidR="00A73B02" w:rsidRPr="00940815">
        <w:rPr>
          <w:rFonts w:ascii="Avenir Next" w:hAnsi="Avenir Next" w:cs="Arial"/>
          <w:color w:val="808080" w:themeColor="background1" w:themeShade="80"/>
          <w:sz w:val="22"/>
          <w:szCs w:val="22"/>
          <w:lang w:val="en-GB"/>
        </w:rPr>
        <w:t>Encanto</w:t>
      </w:r>
      <w:proofErr w:type="spellEnd"/>
      <w:r w:rsidR="008E15A2">
        <w:rPr>
          <w:rFonts w:ascii="Avenir Next" w:hAnsi="Avenir Next" w:cs="Arial"/>
          <w:color w:val="808080" w:themeColor="background1" w:themeShade="80"/>
          <w:sz w:val="22"/>
          <w:szCs w:val="22"/>
          <w:lang w:val="en-GB"/>
        </w:rPr>
        <w:t>, such law is likely to require their relevant authorities for insolvency proceedings</w:t>
      </w:r>
      <w:r w:rsidR="008E15A2" w:rsidRPr="008E15A2">
        <w:rPr>
          <w:rFonts w:ascii="Avenir Next" w:hAnsi="Avenir Next" w:cs="Arial"/>
          <w:color w:val="808080" w:themeColor="background1" w:themeShade="80"/>
          <w:sz w:val="22"/>
          <w:szCs w:val="22"/>
          <w:lang w:val="en-GB"/>
        </w:rPr>
        <w:t xml:space="preserve"> </w:t>
      </w:r>
      <w:r w:rsidR="008E15A2">
        <w:rPr>
          <w:rFonts w:ascii="Avenir Next" w:hAnsi="Avenir Next" w:cs="Arial"/>
          <w:color w:val="808080" w:themeColor="background1" w:themeShade="80"/>
          <w:sz w:val="22"/>
          <w:szCs w:val="22"/>
          <w:lang w:val="en-GB"/>
        </w:rPr>
        <w:t xml:space="preserve">to make </w:t>
      </w:r>
      <w:r w:rsidR="008E15A2" w:rsidRPr="008E15A2">
        <w:rPr>
          <w:rFonts w:ascii="Avenir Next" w:hAnsi="Avenir Next" w:cs="Arial"/>
          <w:color w:val="808080" w:themeColor="background1" w:themeShade="80"/>
          <w:sz w:val="22"/>
          <w:szCs w:val="22"/>
          <w:lang w:val="en-GB"/>
        </w:rPr>
        <w:t>cooperation and direct communication between</w:t>
      </w:r>
      <w:r w:rsidR="008E15A2">
        <w:rPr>
          <w:rFonts w:ascii="Avenir Next" w:hAnsi="Avenir Next" w:cs="Arial"/>
          <w:color w:val="808080" w:themeColor="background1" w:themeShade="80"/>
          <w:sz w:val="22"/>
          <w:szCs w:val="22"/>
          <w:lang w:val="en-GB"/>
        </w:rPr>
        <w:t xml:space="preserve"> them</w:t>
      </w:r>
      <w:r w:rsidR="008E15A2" w:rsidRPr="008E15A2">
        <w:rPr>
          <w:rFonts w:ascii="Avenir Next" w:hAnsi="Avenir Next" w:cs="Arial"/>
          <w:color w:val="808080" w:themeColor="background1" w:themeShade="80"/>
          <w:sz w:val="22"/>
          <w:szCs w:val="22"/>
          <w:lang w:val="en-GB"/>
        </w:rPr>
        <w:t>.</w:t>
      </w:r>
      <w:r w:rsidR="008E15A2">
        <w:rPr>
          <w:rFonts w:ascii="Avenir Next" w:hAnsi="Avenir Next" w:cs="Arial"/>
          <w:color w:val="808080" w:themeColor="background1" w:themeShade="80"/>
          <w:sz w:val="22"/>
          <w:szCs w:val="22"/>
          <w:lang w:val="en-GB"/>
        </w:rPr>
        <w:t xml:space="preserve"> In addition, to avoid the conflicts between their concurrent insol</w:t>
      </w:r>
      <w:r w:rsidR="006769BA">
        <w:rPr>
          <w:rFonts w:ascii="Avenir Next" w:hAnsi="Avenir Next" w:cs="Arial"/>
          <w:color w:val="808080" w:themeColor="background1" w:themeShade="80"/>
          <w:sz w:val="22"/>
          <w:szCs w:val="22"/>
          <w:lang w:val="en-GB"/>
        </w:rPr>
        <w:t xml:space="preserve">vency proceedings, </w:t>
      </w:r>
      <w:r w:rsidR="006769BA">
        <w:rPr>
          <w:rFonts w:ascii="Avenir Next" w:hAnsi="Avenir Next" w:cs="Arial"/>
          <w:color w:val="808080" w:themeColor="background1" w:themeShade="80"/>
          <w:sz w:val="22"/>
          <w:szCs w:val="22"/>
          <w:lang w:val="en-GB"/>
        </w:rPr>
        <w:lastRenderedPageBreak/>
        <w:t>coordination is likely to be required by analysing which county is a centre of main interests for a debtor.</w:t>
      </w:r>
    </w:p>
    <w:p w14:paraId="0D3B1D18" w14:textId="2E13F8FD" w:rsidR="004E1D03" w:rsidRPr="004216EA" w:rsidRDefault="006769BA" w:rsidP="00692852">
      <w:pPr>
        <w:jc w:val="both"/>
        <w:rPr>
          <w:rFonts w:ascii="Avenir Next" w:hAnsi="Avenir Next"/>
          <w:sz w:val="22"/>
          <w:szCs w:val="22"/>
          <w:lang w:val="en-GB"/>
        </w:rPr>
      </w:pPr>
      <w:r w:rsidRPr="004216EA">
        <w:rPr>
          <w:rFonts w:ascii="Avenir Next" w:hAnsi="Avenir Next"/>
          <w:sz w:val="22"/>
          <w:szCs w:val="22"/>
          <w:lang w:val="en-GB"/>
        </w:rPr>
        <w:t xml:space="preserve"> </w:t>
      </w: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395AAC6" w14:textId="6C148C20" w:rsidR="001E1C34" w:rsidRDefault="002F4354" w:rsidP="002F43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BREXIT, there is no application of </w:t>
      </w:r>
      <w:r w:rsidRPr="002F4354">
        <w:rPr>
          <w:rFonts w:ascii="Avenir Next" w:hAnsi="Avenir Next" w:cs="Arial"/>
          <w:color w:val="808080" w:themeColor="background1" w:themeShade="80"/>
          <w:sz w:val="22"/>
          <w:szCs w:val="22"/>
          <w:lang w:val="en-GB"/>
        </w:rPr>
        <w:t>the European Insolvency Regulation Recast</w:t>
      </w:r>
      <w:r>
        <w:rPr>
          <w:rFonts w:ascii="Avenir Next" w:hAnsi="Avenir Next" w:cs="Arial"/>
          <w:color w:val="808080" w:themeColor="background1" w:themeShade="80"/>
          <w:sz w:val="22"/>
          <w:szCs w:val="22"/>
          <w:lang w:val="en-GB"/>
        </w:rPr>
        <w:t xml:space="preserve"> to </w:t>
      </w:r>
      <w:r w:rsidRPr="002F4354">
        <w:rPr>
          <w:rFonts w:ascii="Avenir Next" w:hAnsi="Avenir Next" w:cs="Arial"/>
          <w:color w:val="808080" w:themeColor="background1" w:themeShade="80"/>
          <w:sz w:val="22"/>
          <w:szCs w:val="22"/>
          <w:lang w:val="en-GB"/>
        </w:rPr>
        <w:t>post-11pm 31 December 2020 proceedings in the UK</w:t>
      </w:r>
      <w:r>
        <w:rPr>
          <w:rFonts w:ascii="Avenir Next" w:hAnsi="Avenir Next" w:cs="Arial"/>
          <w:color w:val="808080" w:themeColor="background1" w:themeShade="80"/>
          <w:sz w:val="22"/>
          <w:szCs w:val="22"/>
          <w:lang w:val="en-GB"/>
        </w:rPr>
        <w:t>. On the other hand, in the case that the main insolvency proceedings are commences before 11pm</w:t>
      </w:r>
      <w:r>
        <w:rPr>
          <w:rFonts w:ascii="Avenir Next" w:eastAsiaTheme="minorEastAsia" w:hAnsi="Avenir Next" w:cs="Arial" w:hint="eastAsia"/>
          <w:color w:val="808080" w:themeColor="background1" w:themeShade="80"/>
          <w:sz w:val="22"/>
          <w:szCs w:val="22"/>
          <w:lang w:val="en-GB" w:eastAsia="ja-JP"/>
        </w:rPr>
        <w:t xml:space="preserve"> </w:t>
      </w:r>
      <w:r w:rsidRPr="002F4354">
        <w:rPr>
          <w:rFonts w:ascii="Avenir Next" w:hAnsi="Avenir Next" w:cs="Arial"/>
          <w:color w:val="808080" w:themeColor="background1" w:themeShade="80"/>
          <w:sz w:val="22"/>
          <w:szCs w:val="22"/>
          <w:lang w:val="en-GB"/>
        </w:rPr>
        <w:t>on 31 December 2020</w:t>
      </w:r>
      <w:r>
        <w:rPr>
          <w:rFonts w:ascii="Avenir Next" w:hAnsi="Avenir Next" w:cs="Arial"/>
          <w:color w:val="808080" w:themeColor="background1" w:themeShade="80"/>
          <w:sz w:val="22"/>
          <w:szCs w:val="22"/>
          <w:lang w:val="en-GB"/>
        </w:rPr>
        <w:t xml:space="preserve">, </w:t>
      </w:r>
      <w:r w:rsidRPr="002F4354">
        <w:rPr>
          <w:rFonts w:ascii="Avenir Next" w:hAnsi="Avenir Next" w:cs="Arial"/>
          <w:color w:val="808080" w:themeColor="background1" w:themeShade="80"/>
          <w:sz w:val="22"/>
          <w:szCs w:val="22"/>
          <w:lang w:val="en-GB"/>
        </w:rPr>
        <w:t>the European Insolvency Regulation Recast</w:t>
      </w:r>
      <w:r>
        <w:rPr>
          <w:rFonts w:ascii="Avenir Next" w:hAnsi="Avenir Next" w:cs="Arial"/>
          <w:color w:val="808080" w:themeColor="background1" w:themeShade="80"/>
          <w:sz w:val="22"/>
          <w:szCs w:val="22"/>
          <w:lang w:val="en-GB"/>
        </w:rPr>
        <w:t xml:space="preserve"> applies. As an insolvency proceeding against FFPL was commenced in the UK on 30 June 2022, it seems that </w:t>
      </w:r>
      <w:r w:rsidRPr="002F4354">
        <w:rPr>
          <w:rFonts w:ascii="Avenir Next" w:hAnsi="Avenir Next" w:cs="Arial"/>
          <w:color w:val="808080" w:themeColor="background1" w:themeShade="80"/>
          <w:sz w:val="22"/>
          <w:szCs w:val="22"/>
          <w:lang w:val="en-GB"/>
        </w:rPr>
        <w:t>the European Insolvency Regulation Recast</w:t>
      </w:r>
      <w:r>
        <w:rPr>
          <w:rFonts w:ascii="Avenir Next" w:hAnsi="Avenir Next" w:cs="Arial"/>
          <w:color w:val="808080" w:themeColor="background1" w:themeShade="80"/>
          <w:sz w:val="22"/>
          <w:szCs w:val="22"/>
          <w:lang w:val="en-GB"/>
        </w:rPr>
        <w:t xml:space="preserve"> would apply to such proceeding. However, </w:t>
      </w:r>
      <w:r w:rsidR="00F04CD3">
        <w:rPr>
          <w:rFonts w:ascii="Avenir Next" w:hAnsi="Avenir Next" w:cs="Arial"/>
          <w:color w:val="808080" w:themeColor="background1" w:themeShade="80"/>
          <w:sz w:val="22"/>
          <w:szCs w:val="22"/>
          <w:lang w:val="en-GB"/>
        </w:rPr>
        <w:t xml:space="preserve">we do not have any information about a centre of main interest (“COMI”), i.e., whether this insolvency proceeding in the UK is main or not. Therefore, we need the analysis of COMI for the application of </w:t>
      </w:r>
      <w:r w:rsidR="00F04CD3" w:rsidRPr="002F4354">
        <w:rPr>
          <w:rFonts w:ascii="Avenir Next" w:hAnsi="Avenir Next" w:cs="Arial"/>
          <w:color w:val="808080" w:themeColor="background1" w:themeShade="80"/>
          <w:sz w:val="22"/>
          <w:szCs w:val="22"/>
          <w:lang w:val="en-GB"/>
        </w:rPr>
        <w:t>the European Insolvency Regulation Recast</w:t>
      </w:r>
      <w:r w:rsidR="00F04CD3">
        <w:rPr>
          <w:rFonts w:ascii="Avenir Next" w:hAnsi="Avenir Next" w:cs="Arial"/>
          <w:color w:val="808080" w:themeColor="background1" w:themeShade="80"/>
          <w:sz w:val="22"/>
          <w:szCs w:val="22"/>
          <w:lang w:val="en-GB"/>
        </w:rPr>
        <w:t xml:space="preserve"> to</w:t>
      </w:r>
      <w:r w:rsidR="00F04CD3">
        <w:rPr>
          <w:rFonts w:ascii="Avenir Next" w:hAnsi="Avenir Next" w:cs="Arial"/>
          <w:color w:val="808080" w:themeColor="background1" w:themeShade="80"/>
          <w:sz w:val="22"/>
          <w:szCs w:val="22"/>
          <w:lang w:val="en-GB"/>
        </w:rPr>
        <w:t xml:space="preserve"> the UK insolvency procee</w:t>
      </w:r>
      <w:bookmarkStart w:id="0" w:name="_GoBack"/>
      <w:bookmarkEnd w:id="0"/>
      <w:r w:rsidR="00F04CD3">
        <w:rPr>
          <w:rFonts w:ascii="Avenir Next" w:hAnsi="Avenir Next" w:cs="Arial"/>
          <w:color w:val="808080" w:themeColor="background1" w:themeShade="80"/>
          <w:sz w:val="22"/>
          <w:szCs w:val="22"/>
          <w:lang w:val="en-GB"/>
        </w:rPr>
        <w:t>ding against FFPL.</w:t>
      </w:r>
    </w:p>
    <w:p w14:paraId="61A20F3C" w14:textId="3E0740FA" w:rsidR="002F4354" w:rsidRDefault="002F4354" w:rsidP="00692852">
      <w:pPr>
        <w:ind w:left="720" w:hanging="720"/>
        <w:jc w:val="both"/>
        <w:rPr>
          <w:rFonts w:ascii="Avenir Next" w:hAnsi="Avenir Next" w:cs="Arial"/>
          <w:color w:val="808080" w:themeColor="background1" w:themeShade="80"/>
          <w:sz w:val="22"/>
          <w:szCs w:val="22"/>
          <w:lang w:val="en-GB"/>
        </w:rPr>
      </w:pPr>
    </w:p>
    <w:p w14:paraId="37547C48" w14:textId="77777777" w:rsidR="002F4354" w:rsidRPr="004216EA" w:rsidRDefault="002F435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8E15A2" w:rsidRDefault="008E15A2" w:rsidP="00241B44">
      <w:r>
        <w:separator/>
      </w:r>
    </w:p>
  </w:endnote>
  <w:endnote w:type="continuationSeparator" w:id="0">
    <w:p w14:paraId="7967B051" w14:textId="77777777" w:rsidR="008E15A2" w:rsidRDefault="008E15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8E15A2" w:rsidRPr="00A31881" w:rsidRDefault="008E15A2"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8E15A2" w:rsidRPr="00A31881" w:rsidRDefault="008E15A2" w:rsidP="00FC7B47">
    <w:pPr>
      <w:pStyle w:val="af"/>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venir Next" w:hAnsi="Avenir Next" w:cs="Arial"/>
        <w:sz w:val="22"/>
        <w:szCs w:val="22"/>
      </w:rPr>
      <w:id w:val="-2016673495"/>
      <w:docPartObj>
        <w:docPartGallery w:val="Page Numbers (Bottom of Page)"/>
        <w:docPartUnique/>
      </w:docPartObj>
    </w:sdtPr>
    <w:sdtEndPr>
      <w:rPr>
        <w:rStyle w:val="af1"/>
        <w:rFonts w:ascii="Arial" w:hAnsi="Arial"/>
      </w:rPr>
    </w:sdtEndPr>
    <w:sdtContent>
      <w:p w14:paraId="532C33C7" w14:textId="19414912" w:rsidR="008E15A2" w:rsidRPr="00297BDF" w:rsidRDefault="008E15A2" w:rsidP="006E1CB0">
        <w:pPr>
          <w:pStyle w:val="af"/>
          <w:framePr w:wrap="none" w:vAnchor="text" w:hAnchor="margin" w:xAlign="right" w:y="1"/>
          <w:rPr>
            <w:rStyle w:val="af1"/>
            <w:rFonts w:ascii="Arial" w:hAnsi="Arial" w:cs="Arial"/>
            <w:sz w:val="22"/>
            <w:szCs w:val="22"/>
          </w:rPr>
        </w:pPr>
        <w:r w:rsidRPr="00297BDF">
          <w:rPr>
            <w:rStyle w:val="af1"/>
            <w:rFonts w:ascii="Avenir Next" w:hAnsi="Avenir Next" w:cs="Arial"/>
            <w:sz w:val="22"/>
            <w:szCs w:val="22"/>
          </w:rPr>
          <w:t xml:space="preserve">Page </w:t>
        </w:r>
        <w:r w:rsidRPr="00297BDF">
          <w:rPr>
            <w:rStyle w:val="af1"/>
            <w:rFonts w:ascii="Avenir Next" w:hAnsi="Avenir Next" w:cs="Arial"/>
            <w:sz w:val="22"/>
            <w:szCs w:val="22"/>
          </w:rPr>
          <w:fldChar w:fldCharType="begin"/>
        </w:r>
        <w:r w:rsidRPr="00297BDF">
          <w:rPr>
            <w:rStyle w:val="af1"/>
            <w:rFonts w:ascii="Avenir Next" w:hAnsi="Avenir Next" w:cs="Arial"/>
            <w:sz w:val="22"/>
            <w:szCs w:val="22"/>
          </w:rPr>
          <w:instrText xml:space="preserve"> PAGE </w:instrText>
        </w:r>
        <w:r w:rsidRPr="00297BDF">
          <w:rPr>
            <w:rStyle w:val="af1"/>
            <w:rFonts w:ascii="Avenir Next" w:hAnsi="Avenir Next" w:cs="Arial"/>
            <w:sz w:val="22"/>
            <w:szCs w:val="22"/>
          </w:rPr>
          <w:fldChar w:fldCharType="separate"/>
        </w:r>
        <w:r w:rsidR="00F04CD3">
          <w:rPr>
            <w:rStyle w:val="af1"/>
            <w:rFonts w:ascii="Avenir Next" w:hAnsi="Avenir Next" w:cs="Arial"/>
            <w:noProof/>
            <w:sz w:val="22"/>
            <w:szCs w:val="22"/>
          </w:rPr>
          <w:t>10</w:t>
        </w:r>
        <w:r w:rsidRPr="00297BDF">
          <w:rPr>
            <w:rStyle w:val="af1"/>
            <w:rFonts w:ascii="Avenir Next" w:hAnsi="Avenir Next" w:cs="Arial"/>
            <w:sz w:val="22"/>
            <w:szCs w:val="22"/>
          </w:rPr>
          <w:fldChar w:fldCharType="end"/>
        </w:r>
      </w:p>
    </w:sdtContent>
  </w:sdt>
  <w:p w14:paraId="12ABA5E1" w14:textId="2BE5DAC9" w:rsidR="008E15A2" w:rsidRPr="00297BDF" w:rsidRDefault="008E15A2" w:rsidP="0052732A">
    <w:pPr>
      <w:pStyle w:val="af"/>
      <w:ind w:right="360"/>
      <w:rPr>
        <w:rFonts w:ascii="Avenir Next" w:hAnsi="Avenir Next" w:cs="Arial"/>
        <w:sz w:val="22"/>
        <w:szCs w:val="22"/>
      </w:rPr>
    </w:pPr>
    <w:r>
      <w:rPr>
        <w:rFonts w:ascii="Avenir Next" w:hAnsi="Avenir Next" w:cs="Arial"/>
        <w:sz w:val="22"/>
        <w:szCs w:val="22"/>
      </w:rPr>
      <w:t>202223-954</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8E15A2" w:rsidRDefault="008E15A2" w:rsidP="00241B44">
      <w:r>
        <w:separator/>
      </w:r>
    </w:p>
  </w:footnote>
  <w:footnote w:type="continuationSeparator" w:id="0">
    <w:p w14:paraId="06AAAAEE" w14:textId="77777777" w:rsidR="008E15A2" w:rsidRDefault="008E15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28F4"/>
    <w:rsid w:val="00003D8F"/>
    <w:rsid w:val="0000420A"/>
    <w:rsid w:val="00004AE7"/>
    <w:rsid w:val="00007968"/>
    <w:rsid w:val="00010BA0"/>
    <w:rsid w:val="00015EE6"/>
    <w:rsid w:val="00020557"/>
    <w:rsid w:val="0002322B"/>
    <w:rsid w:val="000250C7"/>
    <w:rsid w:val="00025C83"/>
    <w:rsid w:val="00026E1B"/>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BE6"/>
    <w:rsid w:val="00055EB9"/>
    <w:rsid w:val="00055F02"/>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354"/>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84E"/>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1012"/>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B7557"/>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1896"/>
    <w:rsid w:val="006643E7"/>
    <w:rsid w:val="006661EF"/>
    <w:rsid w:val="006746CB"/>
    <w:rsid w:val="006769BA"/>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C75FE"/>
    <w:rsid w:val="006D0529"/>
    <w:rsid w:val="006D0605"/>
    <w:rsid w:val="006D176A"/>
    <w:rsid w:val="006D564C"/>
    <w:rsid w:val="006D6BD5"/>
    <w:rsid w:val="006E1CB0"/>
    <w:rsid w:val="006E254C"/>
    <w:rsid w:val="006E2974"/>
    <w:rsid w:val="006E481A"/>
    <w:rsid w:val="006E5298"/>
    <w:rsid w:val="006E6A1F"/>
    <w:rsid w:val="006E6A6A"/>
    <w:rsid w:val="006E77B0"/>
    <w:rsid w:val="006F382C"/>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1F37"/>
    <w:rsid w:val="00764DB0"/>
    <w:rsid w:val="007671EB"/>
    <w:rsid w:val="0076764D"/>
    <w:rsid w:val="0076766F"/>
    <w:rsid w:val="00770DF5"/>
    <w:rsid w:val="0077498C"/>
    <w:rsid w:val="00777070"/>
    <w:rsid w:val="00782B3F"/>
    <w:rsid w:val="00784128"/>
    <w:rsid w:val="00786249"/>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5A2"/>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815"/>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390C"/>
    <w:rsid w:val="009D3E50"/>
    <w:rsid w:val="009D43D0"/>
    <w:rsid w:val="009D510C"/>
    <w:rsid w:val="009D5CDB"/>
    <w:rsid w:val="009D6709"/>
    <w:rsid w:val="009E13C1"/>
    <w:rsid w:val="009E2518"/>
    <w:rsid w:val="009E2A9C"/>
    <w:rsid w:val="009E2AEB"/>
    <w:rsid w:val="009E2E27"/>
    <w:rsid w:val="009E44C0"/>
    <w:rsid w:val="009E4DE3"/>
    <w:rsid w:val="009E50C1"/>
    <w:rsid w:val="009F01E7"/>
    <w:rsid w:val="009F0C29"/>
    <w:rsid w:val="009F2472"/>
    <w:rsid w:val="00A02198"/>
    <w:rsid w:val="00A047EE"/>
    <w:rsid w:val="00A057CA"/>
    <w:rsid w:val="00A05E61"/>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3B02"/>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C6FA5"/>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419"/>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B5E"/>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2CCE"/>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4914"/>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E7D90"/>
    <w:rsid w:val="00EF090E"/>
    <w:rsid w:val="00EF16B6"/>
    <w:rsid w:val="00EF1B1A"/>
    <w:rsid w:val="00EF27BB"/>
    <w:rsid w:val="00EF2D08"/>
    <w:rsid w:val="00EF54D7"/>
    <w:rsid w:val="00EF5705"/>
    <w:rsid w:val="00EF6653"/>
    <w:rsid w:val="00F033DA"/>
    <w:rsid w:val="00F0424E"/>
    <w:rsid w:val="00F04CD3"/>
    <w:rsid w:val="00F106CE"/>
    <w:rsid w:val="00F1096A"/>
    <w:rsid w:val="00F12787"/>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69"/>
    <w:rsid w:val="00F35D73"/>
    <w:rsid w:val="00F366E1"/>
    <w:rsid w:val="00F42B4B"/>
    <w:rsid w:val="00F4376C"/>
    <w:rsid w:val="00F44D8C"/>
    <w:rsid w:val="00F45599"/>
    <w:rsid w:val="00F45E1C"/>
    <w:rsid w:val="00F50D48"/>
    <w:rsid w:val="00F5239B"/>
    <w:rsid w:val="00F52552"/>
    <w:rsid w:val="00F52E31"/>
    <w:rsid w:val="00F54776"/>
    <w:rsid w:val="00F5524B"/>
    <w:rsid w:val="00F5710B"/>
    <w:rsid w:val="00F61DD2"/>
    <w:rsid w:val="00F62000"/>
    <w:rsid w:val="00F63720"/>
    <w:rsid w:val="00F65FB6"/>
    <w:rsid w:val="00F66AFF"/>
    <w:rsid w:val="00F67625"/>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9A0"/>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コメント文字列 (文字)"/>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6">
    <w:name w:val="Revision"/>
    <w:hidden/>
    <w:uiPriority w:val="99"/>
    <w:semiHidden/>
    <w:rsid w:val="002173C5"/>
    <w:rPr>
      <w:rFonts w:eastAsia="Times New Roman"/>
      <w:sz w:val="20"/>
    </w:rPr>
  </w:style>
  <w:style w:type="paragraph" w:customStyle="1" w:styleId="legclearfix">
    <w:name w:val="legclearfix"/>
    <w:basedOn w:val="a"/>
    <w:rsid w:val="00AB1B60"/>
    <w:pPr>
      <w:spacing w:before="100" w:beforeAutospacing="1" w:after="100" w:afterAutospacing="1"/>
    </w:pPr>
    <w:rPr>
      <w:rFonts w:ascii="Times New Roman" w:hAnsi="Times New Roman" w:cs="Times New Roman"/>
      <w:sz w:val="24"/>
    </w:rPr>
  </w:style>
  <w:style w:type="character" w:customStyle="1" w:styleId="legds">
    <w:name w:val="legds"/>
    <w:basedOn w:val="a0"/>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FE18542-902F-40E2-B64C-4C5870F3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10</Pages>
  <Words>3649</Words>
  <Characters>20805</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AMT(MOS)</cp:lastModifiedBy>
  <cp:revision>23</cp:revision>
  <cp:lastPrinted>2020-06-12T02:43:00Z</cp:lastPrinted>
  <dcterms:created xsi:type="dcterms:W3CDTF">2022-07-27T13:31:00Z</dcterms:created>
  <dcterms:modified xsi:type="dcterms:W3CDTF">2022-11-11T14:09:00Z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