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PargrafodaLista"/>
        <w:numPr>
          <w:ilvl w:val="0"/>
          <w:numId w:val="15"/>
        </w:numPr>
        <w:ind w:left="425" w:hanging="357"/>
        <w:jc w:val="both"/>
        <w:rPr>
          <w:rFonts w:ascii="Avenir Next" w:hAnsi="Avenir Next" w:cs="Arial"/>
          <w:sz w:val="22"/>
          <w:szCs w:val="22"/>
        </w:rPr>
      </w:pPr>
      <w:r w:rsidRPr="00AB63DE">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AB63DE">
        <w:rPr>
          <w:rFonts w:ascii="Avenir Next" w:hAnsi="Avenir Next" w:cs="Arial"/>
          <w:sz w:val="22"/>
          <w:szCs w:val="22"/>
          <w:vertAlign w:val="superscript"/>
        </w:rPr>
        <w:t>th</w:t>
      </w:r>
      <w:r w:rsidRPr="00AB63DE">
        <w:rPr>
          <w:rFonts w:ascii="Avenir Next" w:hAnsi="Avenir Next" w:cs="Arial"/>
          <w:sz w:val="22"/>
          <w:szCs w:val="22"/>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Pr="00E73494" w:rsidRDefault="002D2356" w:rsidP="008071D5">
      <w:pPr>
        <w:pStyle w:val="PargrafodaLista"/>
        <w:numPr>
          <w:ilvl w:val="0"/>
          <w:numId w:val="15"/>
        </w:numPr>
        <w:ind w:left="425" w:hanging="357"/>
        <w:jc w:val="both"/>
        <w:rPr>
          <w:rFonts w:ascii="Avenir Next" w:hAnsi="Avenir Next" w:cs="Arial"/>
          <w:sz w:val="22"/>
          <w:szCs w:val="22"/>
          <w:highlight w:val="yellow"/>
        </w:rPr>
      </w:pPr>
      <w:r w:rsidRPr="00E73494">
        <w:rPr>
          <w:rFonts w:ascii="Avenir Next" w:hAnsi="Avenir Next" w:cs="Arial"/>
          <w:sz w:val="22"/>
          <w:szCs w:val="22"/>
          <w:highlight w:val="yellow"/>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73494" w:rsidRDefault="002D2356" w:rsidP="008071D5">
      <w:pPr>
        <w:pStyle w:val="PargrafodaLista"/>
        <w:numPr>
          <w:ilvl w:val="0"/>
          <w:numId w:val="16"/>
        </w:numPr>
        <w:ind w:left="426"/>
        <w:jc w:val="both"/>
        <w:rPr>
          <w:rFonts w:ascii="Avenir Next" w:hAnsi="Avenir Next" w:cs="Arial"/>
          <w:sz w:val="22"/>
          <w:szCs w:val="22"/>
          <w:highlight w:val="yellow"/>
        </w:rPr>
      </w:pPr>
      <w:r w:rsidRPr="00E73494">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F4F6C" w:rsidRDefault="002D2356" w:rsidP="008071D5">
      <w:pPr>
        <w:pStyle w:val="PargrafodaLista"/>
        <w:numPr>
          <w:ilvl w:val="0"/>
          <w:numId w:val="17"/>
        </w:numPr>
        <w:ind w:left="426"/>
        <w:jc w:val="both"/>
        <w:rPr>
          <w:rFonts w:ascii="Avenir Next" w:hAnsi="Avenir Next" w:cs="Arial"/>
          <w:sz w:val="22"/>
          <w:szCs w:val="22"/>
          <w:highlight w:val="yellow"/>
        </w:rPr>
      </w:pPr>
      <w:r w:rsidRPr="00FF4F6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Pr="00FF4F6C" w:rsidRDefault="002D2356" w:rsidP="008071D5">
      <w:pPr>
        <w:pStyle w:val="PargrafodaLista"/>
        <w:numPr>
          <w:ilvl w:val="0"/>
          <w:numId w:val="17"/>
        </w:numPr>
        <w:ind w:left="426"/>
        <w:jc w:val="both"/>
        <w:rPr>
          <w:rFonts w:ascii="Avenir Next" w:hAnsi="Avenir Next" w:cs="Arial"/>
          <w:sz w:val="22"/>
          <w:szCs w:val="22"/>
        </w:rPr>
      </w:pPr>
      <w:r w:rsidRPr="00FF4F6C">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A7963" w:rsidRDefault="00466ED6" w:rsidP="008071D5">
      <w:pPr>
        <w:pStyle w:val="PargrafodaLista"/>
        <w:numPr>
          <w:ilvl w:val="0"/>
          <w:numId w:val="18"/>
        </w:numPr>
        <w:ind w:left="426"/>
        <w:jc w:val="both"/>
        <w:rPr>
          <w:rFonts w:ascii="Avenir Next" w:hAnsi="Avenir Next" w:cs="Arial"/>
          <w:sz w:val="22"/>
          <w:szCs w:val="22"/>
          <w:highlight w:val="yellow"/>
        </w:rPr>
      </w:pPr>
      <w:r w:rsidRPr="00FA7963">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F17E9" w:rsidRDefault="002D2356" w:rsidP="008071D5">
      <w:pPr>
        <w:pStyle w:val="PargrafodaLista"/>
        <w:numPr>
          <w:ilvl w:val="0"/>
          <w:numId w:val="19"/>
        </w:numPr>
        <w:ind w:left="425" w:hanging="357"/>
        <w:jc w:val="both"/>
        <w:rPr>
          <w:rFonts w:ascii="Avenir Next" w:hAnsi="Avenir Next" w:cs="Arial"/>
          <w:sz w:val="22"/>
          <w:szCs w:val="22"/>
          <w:highlight w:val="yellow"/>
        </w:rPr>
      </w:pPr>
      <w:r w:rsidRPr="00EF17E9">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885DBC" w:rsidRDefault="002D2356" w:rsidP="008071D5">
      <w:pPr>
        <w:pStyle w:val="PargrafodaLista"/>
        <w:numPr>
          <w:ilvl w:val="0"/>
          <w:numId w:val="20"/>
        </w:numPr>
        <w:ind w:left="426"/>
        <w:jc w:val="both"/>
        <w:rPr>
          <w:rFonts w:ascii="Avenir Next" w:eastAsiaTheme="minorHAnsi" w:hAnsi="Avenir Next" w:cs="Arial"/>
          <w:sz w:val="22"/>
          <w:szCs w:val="22"/>
          <w:highlight w:val="yellow"/>
          <w:lang w:val="en-GB"/>
        </w:rPr>
      </w:pPr>
      <w:r w:rsidRPr="00885DBC">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C9036D" w:rsidRDefault="009A0501" w:rsidP="008071D5">
      <w:pPr>
        <w:pStyle w:val="PargrafodaLista"/>
        <w:numPr>
          <w:ilvl w:val="0"/>
          <w:numId w:val="21"/>
        </w:numPr>
        <w:ind w:left="426"/>
        <w:jc w:val="both"/>
        <w:rPr>
          <w:rFonts w:ascii="Avenir Next" w:eastAsiaTheme="minorHAnsi" w:hAnsi="Avenir Next" w:cs="Arial"/>
          <w:sz w:val="22"/>
          <w:szCs w:val="22"/>
          <w:highlight w:val="yellow"/>
          <w:lang w:val="en-GB"/>
        </w:rPr>
      </w:pPr>
      <w:r w:rsidRPr="00C9036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9036D">
        <w:rPr>
          <w:rFonts w:ascii="Avenir Next" w:eastAsiaTheme="minorHAnsi" w:hAnsi="Avenir Next" w:cs="Arial"/>
          <w:sz w:val="22"/>
          <w:szCs w:val="22"/>
          <w:highlight w:val="yellow"/>
          <w:lang w:val="en-GB"/>
        </w:rPr>
        <w:t xml:space="preserve"> </w:t>
      </w:r>
      <w:r w:rsidRPr="00C9036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25C9C" w:rsidRDefault="003D3410" w:rsidP="008071D5">
      <w:pPr>
        <w:pStyle w:val="PargrafodaLista"/>
        <w:numPr>
          <w:ilvl w:val="0"/>
          <w:numId w:val="22"/>
        </w:numPr>
        <w:ind w:left="426"/>
        <w:jc w:val="both"/>
        <w:rPr>
          <w:rFonts w:ascii="Avenir Next" w:eastAsiaTheme="minorHAnsi" w:hAnsi="Avenir Next" w:cs="Arial"/>
          <w:sz w:val="22"/>
          <w:szCs w:val="22"/>
          <w:highlight w:val="yellow"/>
          <w:lang w:val="en-GB"/>
        </w:rPr>
      </w:pPr>
      <w:r w:rsidRPr="00525C9C">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03CAB" w:rsidRDefault="00F5239B" w:rsidP="008071D5">
      <w:pPr>
        <w:pStyle w:val="PargrafodaLista"/>
        <w:numPr>
          <w:ilvl w:val="0"/>
          <w:numId w:val="23"/>
        </w:numPr>
        <w:ind w:left="426"/>
        <w:jc w:val="both"/>
        <w:rPr>
          <w:rFonts w:ascii="Avenir Next" w:hAnsi="Avenir Next" w:cs="Arial"/>
          <w:sz w:val="22"/>
          <w:szCs w:val="22"/>
          <w:highlight w:val="yellow"/>
        </w:rPr>
      </w:pPr>
      <w:r w:rsidRPr="00703CAB">
        <w:rPr>
          <w:rFonts w:ascii="Avenir Next" w:hAnsi="Avenir Next" w:cs="Arial"/>
          <w:sz w:val="22"/>
          <w:szCs w:val="22"/>
          <w:highlight w:val="yellow"/>
        </w:rPr>
        <w:t xml:space="preserve">This statement is true because </w:t>
      </w:r>
      <w:r w:rsidR="007B5180" w:rsidRPr="00703CA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42518E" w:rsidRDefault="009355DB" w:rsidP="008071D5">
      <w:pPr>
        <w:pStyle w:val="PargrafodaLista"/>
        <w:numPr>
          <w:ilvl w:val="0"/>
          <w:numId w:val="24"/>
        </w:numPr>
        <w:ind w:left="426"/>
        <w:jc w:val="both"/>
        <w:rPr>
          <w:rFonts w:ascii="Avenir Next" w:hAnsi="Avenir Next" w:cs="Arial"/>
          <w:sz w:val="22"/>
          <w:szCs w:val="22"/>
          <w:highlight w:val="yellow"/>
        </w:rPr>
      </w:pPr>
      <w:r w:rsidRPr="0042518E">
        <w:rPr>
          <w:rFonts w:ascii="Avenir Next" w:hAnsi="Avenir Next" w:cs="Arial"/>
          <w:sz w:val="22"/>
          <w:szCs w:val="22"/>
          <w:highlight w:val="yellow"/>
        </w:rPr>
        <w:t xml:space="preserve">This statement is true because </w:t>
      </w:r>
      <w:r w:rsidR="005C4FF2" w:rsidRPr="0042518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78A62F1" w:rsidR="0081547D" w:rsidRPr="00832FA2" w:rsidRDefault="006A781B" w:rsidP="00FC330F">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 xml:space="preserve">In general, African countries have taken different roots </w:t>
      </w:r>
      <w:r w:rsidR="009A54EF" w:rsidRPr="00832FA2">
        <w:rPr>
          <w:rFonts w:ascii="Avenir Next" w:hAnsi="Avenir Next" w:cs="Arial"/>
          <w:color w:val="808080" w:themeColor="background1" w:themeShade="80"/>
          <w:sz w:val="22"/>
          <w:szCs w:val="22"/>
          <w:lang w:val="en-GB"/>
        </w:rPr>
        <w:t>regarding their law system, especially because most of them follow the law models adopted in their formal colonizer’s countries.</w:t>
      </w:r>
      <w:r w:rsidR="00FE6D3F" w:rsidRPr="00832FA2">
        <w:rPr>
          <w:rFonts w:ascii="Avenir Next" w:hAnsi="Avenir Next" w:cs="Arial"/>
          <w:color w:val="808080" w:themeColor="background1" w:themeShade="80"/>
          <w:sz w:val="22"/>
          <w:szCs w:val="22"/>
          <w:lang w:val="en-GB"/>
        </w:rPr>
        <w:t xml:space="preserve"> While countries like Nigeria, Ke</w:t>
      </w:r>
      <w:r w:rsidR="001D0BDD" w:rsidRPr="00832FA2">
        <w:rPr>
          <w:rFonts w:ascii="Avenir Next" w:hAnsi="Avenir Next" w:cs="Arial"/>
          <w:color w:val="808080" w:themeColor="background1" w:themeShade="80"/>
          <w:sz w:val="22"/>
          <w:szCs w:val="22"/>
          <w:lang w:val="en-GB"/>
        </w:rPr>
        <w:t>n</w:t>
      </w:r>
      <w:r w:rsidR="00FE6D3F" w:rsidRPr="00832FA2">
        <w:rPr>
          <w:rFonts w:ascii="Avenir Next" w:hAnsi="Avenir Next" w:cs="Arial"/>
          <w:color w:val="808080" w:themeColor="background1" w:themeShade="80"/>
          <w:sz w:val="22"/>
          <w:szCs w:val="22"/>
          <w:lang w:val="en-GB"/>
        </w:rPr>
        <w:t xml:space="preserve">ya and Zambia apply the English Law tradition, </w:t>
      </w:r>
      <w:r w:rsidR="001D0BDD" w:rsidRPr="00832FA2">
        <w:rPr>
          <w:rFonts w:ascii="Avenir Next" w:hAnsi="Avenir Next" w:cs="Arial"/>
          <w:color w:val="808080" w:themeColor="background1" w:themeShade="80"/>
          <w:sz w:val="22"/>
          <w:szCs w:val="22"/>
          <w:lang w:val="en-GB"/>
        </w:rPr>
        <w:t xml:space="preserve">Angola and Mozambique are structure in the civil law. In terms of the insolvency law, it is reasonable to state that most of their legislation is </w:t>
      </w:r>
      <w:r w:rsidR="001D0BDD" w:rsidRPr="00832FA2">
        <w:rPr>
          <w:rFonts w:ascii="Avenir Next" w:hAnsi="Avenir Next" w:cs="Arial"/>
          <w:color w:val="808080" w:themeColor="background1" w:themeShade="80"/>
          <w:sz w:val="22"/>
          <w:szCs w:val="22"/>
          <w:lang w:val="en-GB"/>
        </w:rPr>
        <w:lastRenderedPageBreak/>
        <w:t>imported from foreign count</w:t>
      </w:r>
      <w:r w:rsidR="00B816BA" w:rsidRPr="00832FA2">
        <w:rPr>
          <w:rFonts w:ascii="Avenir Next" w:hAnsi="Avenir Next" w:cs="Arial"/>
          <w:color w:val="808080" w:themeColor="background1" w:themeShade="80"/>
          <w:sz w:val="22"/>
          <w:szCs w:val="22"/>
          <w:lang w:val="en-GB"/>
        </w:rPr>
        <w:t>ries. However, some of them are developing more modern and updated legislation</w:t>
      </w:r>
      <w:r w:rsidR="00D86BC6" w:rsidRPr="00832FA2">
        <w:rPr>
          <w:rFonts w:ascii="Avenir Next" w:hAnsi="Avenir Next" w:cs="Arial"/>
          <w:color w:val="808080" w:themeColor="background1" w:themeShade="80"/>
          <w:sz w:val="22"/>
          <w:szCs w:val="22"/>
          <w:lang w:val="en-GB"/>
        </w:rPr>
        <w:t>, which might better address their current issues and concerns</w:t>
      </w:r>
      <w:r w:rsidR="00B816BA" w:rsidRPr="00832FA2">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28CC01EE" w14:textId="77777777" w:rsidR="008901AC" w:rsidRDefault="008901AC" w:rsidP="00692852">
      <w:pPr>
        <w:ind w:left="720" w:hanging="720"/>
        <w:jc w:val="both"/>
        <w:rPr>
          <w:rFonts w:ascii="Avenir Next" w:hAnsi="Avenir Next" w:cs="Arial"/>
          <w:sz w:val="22"/>
          <w:szCs w:val="22"/>
          <w:lang w:val="en-GB"/>
        </w:rPr>
      </w:pPr>
    </w:p>
    <w:p w14:paraId="09F61129" w14:textId="49CD9D2E" w:rsidR="00AB63DE" w:rsidRPr="00832FA2" w:rsidRDefault="008901AC" w:rsidP="00FC330F">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Th</w:t>
      </w:r>
      <w:r w:rsidR="004D51F2" w:rsidRPr="00832FA2">
        <w:rPr>
          <w:rFonts w:ascii="Avenir Next" w:hAnsi="Avenir Next" w:cs="Arial"/>
          <w:color w:val="808080" w:themeColor="background1" w:themeShade="80"/>
          <w:sz w:val="22"/>
          <w:szCs w:val="22"/>
          <w:lang w:val="en-GB"/>
        </w:rPr>
        <w:t>e</w:t>
      </w:r>
      <w:r w:rsidRPr="00832FA2">
        <w:rPr>
          <w:rFonts w:ascii="Avenir Next" w:hAnsi="Avenir Next" w:cs="Arial"/>
          <w:color w:val="808080" w:themeColor="background1" w:themeShade="80"/>
          <w:sz w:val="22"/>
          <w:szCs w:val="22"/>
          <w:lang w:val="en-GB"/>
        </w:rPr>
        <w:t xml:space="preserve"> 1998 financial </w:t>
      </w:r>
      <w:r w:rsidR="008C60F8" w:rsidRPr="00832FA2">
        <w:rPr>
          <w:rFonts w:ascii="Avenir Next" w:hAnsi="Avenir Next" w:cs="Arial"/>
          <w:color w:val="808080" w:themeColor="background1" w:themeShade="80"/>
          <w:sz w:val="22"/>
          <w:szCs w:val="22"/>
          <w:lang w:val="en-GB"/>
        </w:rPr>
        <w:t>crisis</w:t>
      </w:r>
      <w:r w:rsidRPr="00832FA2">
        <w:rPr>
          <w:rFonts w:ascii="Avenir Next" w:hAnsi="Avenir Next" w:cs="Arial"/>
          <w:color w:val="808080" w:themeColor="background1" w:themeShade="80"/>
          <w:sz w:val="22"/>
          <w:szCs w:val="22"/>
          <w:lang w:val="en-GB"/>
        </w:rPr>
        <w:t xml:space="preserve"> in East Asia is one of the most important event that triggered insolvency law reforms</w:t>
      </w:r>
      <w:r w:rsidR="00731BF8">
        <w:rPr>
          <w:rFonts w:ascii="Avenir Next" w:hAnsi="Avenir Next" w:cs="Arial"/>
          <w:color w:val="808080" w:themeColor="background1" w:themeShade="80"/>
          <w:sz w:val="22"/>
          <w:szCs w:val="22"/>
          <w:lang w:val="en-GB"/>
        </w:rPr>
        <w:t xml:space="preserve"> in this continent</w:t>
      </w:r>
      <w:r w:rsidRPr="00832FA2">
        <w:rPr>
          <w:rFonts w:ascii="Avenir Next" w:hAnsi="Avenir Next" w:cs="Arial"/>
          <w:color w:val="808080" w:themeColor="background1" w:themeShade="80"/>
          <w:sz w:val="22"/>
          <w:szCs w:val="22"/>
          <w:lang w:val="en-GB"/>
        </w:rPr>
        <w:t xml:space="preserve">. </w:t>
      </w:r>
      <w:r w:rsidR="008C60F8" w:rsidRPr="00832FA2">
        <w:rPr>
          <w:rFonts w:ascii="Avenir Next" w:hAnsi="Avenir Next" w:cs="Arial"/>
          <w:color w:val="808080" w:themeColor="background1" w:themeShade="80"/>
          <w:sz w:val="22"/>
          <w:szCs w:val="22"/>
          <w:lang w:val="en-GB"/>
        </w:rPr>
        <w:t>Examples</w:t>
      </w:r>
      <w:r w:rsidR="00B730D1" w:rsidRPr="00832FA2">
        <w:rPr>
          <w:rFonts w:ascii="Avenir Next" w:hAnsi="Avenir Next" w:cs="Arial"/>
          <w:color w:val="808080" w:themeColor="background1" w:themeShade="80"/>
          <w:sz w:val="22"/>
          <w:szCs w:val="22"/>
          <w:lang w:val="en-GB"/>
        </w:rPr>
        <w:t xml:space="preserve">: (1) Thailand reformed its bankruptcy law; and (2) </w:t>
      </w:r>
      <w:r w:rsidR="008C60F8" w:rsidRPr="00832FA2">
        <w:rPr>
          <w:rFonts w:ascii="Avenir Next" w:hAnsi="Avenir Next" w:cs="Arial"/>
          <w:color w:val="808080" w:themeColor="background1" w:themeShade="80"/>
          <w:sz w:val="22"/>
          <w:szCs w:val="22"/>
          <w:lang w:val="en-GB"/>
        </w:rPr>
        <w:t>Singapore</w:t>
      </w:r>
      <w:r w:rsidR="00B730D1" w:rsidRPr="00832FA2">
        <w:rPr>
          <w:rFonts w:ascii="Avenir Next" w:hAnsi="Avenir Next" w:cs="Arial"/>
          <w:color w:val="808080" w:themeColor="background1" w:themeShade="80"/>
          <w:sz w:val="22"/>
          <w:szCs w:val="22"/>
          <w:lang w:val="en-GB"/>
        </w:rPr>
        <w:t xml:space="preserve">, in October 2018, </w:t>
      </w:r>
      <w:r w:rsidR="008C60F8" w:rsidRPr="00832FA2">
        <w:rPr>
          <w:rFonts w:ascii="Avenir Next" w:hAnsi="Avenir Next" w:cs="Arial"/>
          <w:color w:val="808080" w:themeColor="background1" w:themeShade="80"/>
          <w:sz w:val="22"/>
          <w:szCs w:val="22"/>
          <w:lang w:val="en-GB"/>
        </w:rPr>
        <w:t>unified</w:t>
      </w:r>
      <w:r w:rsidR="004D51F2" w:rsidRPr="00832FA2">
        <w:rPr>
          <w:rFonts w:ascii="Avenir Next" w:hAnsi="Avenir Next" w:cs="Arial"/>
          <w:color w:val="808080" w:themeColor="background1" w:themeShade="80"/>
          <w:sz w:val="22"/>
          <w:szCs w:val="22"/>
          <w:lang w:val="en-GB"/>
        </w:rPr>
        <w:t xml:space="preserve"> in a </w:t>
      </w:r>
      <w:r w:rsidR="008C60F8" w:rsidRPr="00832FA2">
        <w:rPr>
          <w:rFonts w:ascii="Avenir Next" w:hAnsi="Avenir Next" w:cs="Arial"/>
          <w:color w:val="808080" w:themeColor="background1" w:themeShade="80"/>
          <w:sz w:val="22"/>
          <w:szCs w:val="22"/>
          <w:lang w:val="en-GB"/>
        </w:rPr>
        <w:t>Sigle</w:t>
      </w:r>
      <w:r w:rsidR="004D51F2" w:rsidRPr="00832FA2">
        <w:rPr>
          <w:rFonts w:ascii="Avenir Next" w:hAnsi="Avenir Next" w:cs="Arial"/>
          <w:color w:val="808080" w:themeColor="background1" w:themeShade="80"/>
          <w:sz w:val="22"/>
          <w:szCs w:val="22"/>
          <w:lang w:val="en-GB"/>
        </w:rPr>
        <w:t xml:space="preserve"> Act its corporate and personal insolvency and restructuring.</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034F7BB" w14:textId="5A0DED4B" w:rsidR="00AB63DE" w:rsidRPr="00832FA2" w:rsidRDefault="004D51F2" w:rsidP="00692852">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 xml:space="preserve">The first initiative occurred </w:t>
      </w:r>
      <w:r w:rsidR="008C60F8" w:rsidRPr="00832FA2">
        <w:rPr>
          <w:rFonts w:ascii="Avenir Next" w:hAnsi="Avenir Next" w:cs="Arial"/>
          <w:color w:val="808080" w:themeColor="background1" w:themeShade="80"/>
          <w:sz w:val="22"/>
          <w:szCs w:val="22"/>
          <w:lang w:val="en-GB"/>
        </w:rPr>
        <w:t xml:space="preserve">in the 1970s, when Canada and the United Stated tried to </w:t>
      </w:r>
      <w:r w:rsidR="00B020E2" w:rsidRPr="00832FA2">
        <w:rPr>
          <w:rFonts w:ascii="Avenir Next" w:hAnsi="Avenir Next" w:cs="Arial"/>
          <w:color w:val="808080" w:themeColor="background1" w:themeShade="80"/>
          <w:sz w:val="22"/>
          <w:szCs w:val="22"/>
          <w:lang w:val="en-GB"/>
        </w:rPr>
        <w:t xml:space="preserve">implement a bilateral insolvency treaty to regulate international insolvency issues between them. </w:t>
      </w:r>
      <w:r w:rsidR="008C60F8" w:rsidRPr="00832FA2">
        <w:rPr>
          <w:rFonts w:ascii="Avenir Next" w:hAnsi="Avenir Next" w:cs="Arial"/>
          <w:color w:val="808080" w:themeColor="background1" w:themeShade="80"/>
          <w:sz w:val="22"/>
          <w:szCs w:val="22"/>
          <w:lang w:val="en-GB"/>
        </w:rPr>
        <w:t xml:space="preserve"> </w:t>
      </w:r>
      <w:r w:rsidR="00B020E2" w:rsidRPr="00832FA2">
        <w:rPr>
          <w:rFonts w:ascii="Avenir Next" w:hAnsi="Avenir Next" w:cs="Arial"/>
          <w:color w:val="808080" w:themeColor="background1" w:themeShade="80"/>
          <w:sz w:val="22"/>
          <w:szCs w:val="22"/>
          <w:lang w:val="en-GB"/>
        </w:rPr>
        <w:t xml:space="preserve">They failed, however, to reach an </w:t>
      </w:r>
      <w:r w:rsidR="00E718C7" w:rsidRPr="00832FA2">
        <w:rPr>
          <w:rFonts w:ascii="Avenir Next" w:hAnsi="Avenir Next" w:cs="Arial"/>
          <w:color w:val="808080" w:themeColor="background1" w:themeShade="80"/>
          <w:sz w:val="22"/>
          <w:szCs w:val="22"/>
          <w:lang w:val="en-GB"/>
        </w:rPr>
        <w:t>agreement</w:t>
      </w:r>
      <w:r w:rsidR="00B020E2" w:rsidRPr="00832FA2">
        <w:rPr>
          <w:rFonts w:ascii="Avenir Next" w:hAnsi="Avenir Next" w:cs="Arial"/>
          <w:color w:val="808080" w:themeColor="background1" w:themeShade="80"/>
          <w:sz w:val="22"/>
          <w:szCs w:val="22"/>
          <w:lang w:val="en-GB"/>
        </w:rPr>
        <w:t>. Notwithstanding this failed attempt, the American Law Institute has been</w:t>
      </w:r>
      <w:r w:rsidR="00E718C7" w:rsidRPr="00832FA2">
        <w:rPr>
          <w:rFonts w:ascii="Avenir Next" w:hAnsi="Avenir Next" w:cs="Arial"/>
          <w:color w:val="808080" w:themeColor="background1" w:themeShade="80"/>
          <w:sz w:val="22"/>
          <w:szCs w:val="22"/>
          <w:lang w:val="en-GB"/>
        </w:rPr>
        <w:t xml:space="preserve"> working towards the resolution of </w:t>
      </w:r>
      <w:r w:rsidR="006404A5" w:rsidRPr="00832FA2">
        <w:rPr>
          <w:rFonts w:ascii="Avenir Next" w:hAnsi="Avenir Next" w:cs="Arial"/>
          <w:color w:val="808080" w:themeColor="background1" w:themeShade="80"/>
          <w:sz w:val="22"/>
          <w:szCs w:val="22"/>
          <w:lang w:val="en-GB"/>
        </w:rPr>
        <w:t>these</w:t>
      </w:r>
      <w:r w:rsidR="00E718C7" w:rsidRPr="00832FA2">
        <w:rPr>
          <w:rFonts w:ascii="Avenir Next" w:hAnsi="Avenir Next" w:cs="Arial"/>
          <w:color w:val="808080" w:themeColor="background1" w:themeShade="80"/>
          <w:sz w:val="22"/>
          <w:szCs w:val="22"/>
          <w:lang w:val="en-GB"/>
        </w:rPr>
        <w:t xml:space="preserve"> issues, especially encouraging the co-operation among NAFT</w:t>
      </w:r>
      <w:r w:rsidR="006404A5" w:rsidRPr="00832FA2">
        <w:rPr>
          <w:rFonts w:ascii="Avenir Next" w:hAnsi="Avenir Next" w:cs="Arial"/>
          <w:color w:val="808080" w:themeColor="background1" w:themeShade="80"/>
          <w:sz w:val="22"/>
          <w:szCs w:val="22"/>
          <w:lang w:val="en-GB"/>
        </w:rPr>
        <w:t>A’s</w:t>
      </w:r>
      <w:r w:rsidR="00E718C7" w:rsidRPr="00832FA2">
        <w:rPr>
          <w:rFonts w:ascii="Avenir Next" w:hAnsi="Avenir Next" w:cs="Arial"/>
          <w:color w:val="808080" w:themeColor="background1" w:themeShade="80"/>
          <w:sz w:val="22"/>
          <w:szCs w:val="22"/>
          <w:lang w:val="en-GB"/>
        </w:rPr>
        <w:t xml:space="preserve"> </w:t>
      </w:r>
      <w:r w:rsidR="009A473A" w:rsidRPr="00832FA2">
        <w:rPr>
          <w:rFonts w:ascii="Avenir Next" w:hAnsi="Avenir Next" w:cs="Arial"/>
          <w:color w:val="808080" w:themeColor="background1" w:themeShade="80"/>
          <w:sz w:val="22"/>
          <w:szCs w:val="22"/>
          <w:lang w:val="en-GB"/>
        </w:rPr>
        <w:t>countries,</w:t>
      </w:r>
      <w:r w:rsidR="006404A5" w:rsidRPr="00832FA2">
        <w:rPr>
          <w:rFonts w:ascii="Avenir Next" w:hAnsi="Avenir Next" w:cs="Arial"/>
          <w:color w:val="808080" w:themeColor="background1" w:themeShade="80"/>
          <w:sz w:val="22"/>
          <w:szCs w:val="22"/>
          <w:lang w:val="en-GB"/>
        </w:rPr>
        <w:t xml:space="preserve"> and establishing principles that seek to </w:t>
      </w:r>
      <w:r w:rsidR="00FC330F" w:rsidRPr="00832FA2">
        <w:rPr>
          <w:rFonts w:ascii="Avenir Next" w:hAnsi="Avenir Next" w:cs="Arial"/>
          <w:color w:val="808080" w:themeColor="background1" w:themeShade="80"/>
          <w:sz w:val="22"/>
          <w:szCs w:val="22"/>
          <w:lang w:val="en-GB"/>
        </w:rPr>
        <w:t>address matters related to corporate insolvency</w:t>
      </w:r>
      <w:r w:rsidR="00E718C7" w:rsidRPr="00832FA2">
        <w:rPr>
          <w:rFonts w:ascii="Avenir Next" w:hAnsi="Avenir Next" w:cs="Arial"/>
          <w:color w:val="808080" w:themeColor="background1" w:themeShade="80"/>
          <w:sz w:val="22"/>
          <w:szCs w:val="22"/>
          <w:lang w:val="en-GB"/>
        </w:rPr>
        <w:t xml:space="preserve">. </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139C4E3" w14:textId="25D7B97F" w:rsidR="0011095C" w:rsidRDefault="0011095C" w:rsidP="00957A62">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The treatment of voidable disposition</w:t>
      </w:r>
      <w:r w:rsidR="0017350E" w:rsidRPr="00832FA2">
        <w:rPr>
          <w:rFonts w:ascii="Avenir Next" w:hAnsi="Avenir Next" w:cs="Arial"/>
          <w:color w:val="808080" w:themeColor="background1" w:themeShade="80"/>
          <w:sz w:val="22"/>
          <w:szCs w:val="22"/>
          <w:lang w:val="en-GB"/>
        </w:rPr>
        <w:t>s</w:t>
      </w:r>
      <w:r w:rsidRPr="00832FA2">
        <w:rPr>
          <w:rFonts w:ascii="Avenir Next" w:hAnsi="Avenir Next" w:cs="Arial"/>
          <w:color w:val="808080" w:themeColor="background1" w:themeShade="80"/>
          <w:sz w:val="22"/>
          <w:szCs w:val="22"/>
          <w:lang w:val="en-GB"/>
        </w:rPr>
        <w:t xml:space="preserve"> plays a crucial role </w:t>
      </w:r>
      <w:r w:rsidR="0017350E" w:rsidRPr="00832FA2">
        <w:rPr>
          <w:rFonts w:ascii="Avenir Next" w:hAnsi="Avenir Next" w:cs="Arial"/>
          <w:color w:val="808080" w:themeColor="background1" w:themeShade="80"/>
          <w:sz w:val="22"/>
          <w:szCs w:val="22"/>
          <w:lang w:val="en-GB"/>
        </w:rPr>
        <w:t xml:space="preserve">in insolvency </w:t>
      </w:r>
      <w:r w:rsidR="009D5FD1" w:rsidRPr="00832FA2">
        <w:rPr>
          <w:rFonts w:ascii="Avenir Next" w:hAnsi="Avenir Next" w:cs="Arial"/>
          <w:color w:val="808080" w:themeColor="background1" w:themeShade="80"/>
          <w:sz w:val="22"/>
          <w:szCs w:val="22"/>
          <w:lang w:val="en-GB"/>
        </w:rPr>
        <w:t>systems</w:t>
      </w:r>
      <w:r w:rsidR="0017350E" w:rsidRPr="00832FA2">
        <w:rPr>
          <w:rFonts w:ascii="Avenir Next" w:hAnsi="Avenir Next" w:cs="Arial"/>
          <w:color w:val="808080" w:themeColor="background1" w:themeShade="80"/>
          <w:sz w:val="22"/>
          <w:szCs w:val="22"/>
          <w:lang w:val="en-GB"/>
        </w:rPr>
        <w:t xml:space="preserve">. These rules, in general, ultimately repudiates the actions of a debtor or a creditor prior to the bankruptcy liquidation or other insolvency regime that have the effect </w:t>
      </w:r>
      <w:r w:rsidR="00FA0F70" w:rsidRPr="00832FA2">
        <w:rPr>
          <w:rFonts w:ascii="Avenir Next" w:hAnsi="Avenir Next" w:cs="Arial"/>
          <w:color w:val="808080" w:themeColor="background1" w:themeShade="80"/>
          <w:sz w:val="22"/>
          <w:szCs w:val="22"/>
          <w:lang w:val="en-GB"/>
        </w:rPr>
        <w:t>of allowing one creditor or other third party (or insider) to obtain an unfair advantage at the expense or to the detriment of other creditors and stakeholders, which shall harm the values for creditors and debtors, and the equality of treatment and distribution amongst creditors</w:t>
      </w:r>
      <w:r w:rsidR="009D5FD1" w:rsidRPr="00832FA2">
        <w:rPr>
          <w:color w:val="808080" w:themeColor="background1" w:themeShade="80"/>
        </w:rPr>
        <w:footnoteReference w:id="1"/>
      </w:r>
      <w:r w:rsidR="009D5FD1" w:rsidRPr="00832FA2">
        <w:rPr>
          <w:rFonts w:ascii="Avenir Next" w:hAnsi="Avenir Next" w:cs="Arial"/>
          <w:color w:val="808080" w:themeColor="background1" w:themeShade="80"/>
          <w:sz w:val="22"/>
          <w:szCs w:val="22"/>
          <w:lang w:val="en-GB"/>
        </w:rPr>
        <w:t xml:space="preserve"> </w:t>
      </w:r>
    </w:p>
    <w:p w14:paraId="4D7A9C84" w14:textId="77777777" w:rsidR="003305C1" w:rsidRPr="00832FA2" w:rsidRDefault="003305C1" w:rsidP="00957A62">
      <w:pPr>
        <w:jc w:val="both"/>
        <w:rPr>
          <w:rFonts w:ascii="Avenir Next" w:hAnsi="Avenir Next" w:cs="Arial"/>
          <w:color w:val="808080" w:themeColor="background1" w:themeShade="80"/>
          <w:sz w:val="22"/>
          <w:szCs w:val="22"/>
          <w:lang w:val="en-GB"/>
        </w:rPr>
      </w:pPr>
    </w:p>
    <w:p w14:paraId="0D579A66" w14:textId="7C788E33" w:rsidR="00B30A68" w:rsidRPr="00832FA2" w:rsidRDefault="00FB2B6D" w:rsidP="00957A62">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 xml:space="preserve">In the </w:t>
      </w:r>
      <w:r w:rsidR="00B30A68" w:rsidRPr="00832FA2">
        <w:rPr>
          <w:rFonts w:ascii="Avenir Next" w:hAnsi="Avenir Next" w:cs="Arial"/>
          <w:color w:val="808080" w:themeColor="background1" w:themeShade="80"/>
          <w:sz w:val="22"/>
          <w:szCs w:val="22"/>
          <w:lang w:val="en-GB"/>
        </w:rPr>
        <w:t xml:space="preserve">civil law </w:t>
      </w:r>
      <w:r w:rsidRPr="00832FA2">
        <w:rPr>
          <w:rFonts w:ascii="Avenir Next" w:hAnsi="Avenir Next" w:cs="Arial"/>
          <w:color w:val="808080" w:themeColor="background1" w:themeShade="80"/>
          <w:sz w:val="22"/>
          <w:szCs w:val="22"/>
          <w:lang w:val="en-GB"/>
        </w:rPr>
        <w:t>system</w:t>
      </w:r>
      <w:r w:rsidR="00074AA8" w:rsidRPr="00832FA2">
        <w:rPr>
          <w:rFonts w:ascii="Avenir Next" w:hAnsi="Avenir Next" w:cs="Arial"/>
          <w:color w:val="808080" w:themeColor="background1" w:themeShade="80"/>
          <w:sz w:val="22"/>
          <w:szCs w:val="22"/>
          <w:lang w:val="en-GB"/>
        </w:rPr>
        <w:t>,</w:t>
      </w:r>
      <w:r w:rsidRPr="00832FA2">
        <w:rPr>
          <w:rFonts w:ascii="Avenir Next" w:hAnsi="Avenir Next" w:cs="Arial"/>
          <w:color w:val="808080" w:themeColor="background1" w:themeShade="80"/>
          <w:sz w:val="22"/>
          <w:szCs w:val="22"/>
          <w:lang w:val="en-GB"/>
        </w:rPr>
        <w:t xml:space="preserve"> these rules have been mostly influenced by the “Actio Pauliana”</w:t>
      </w:r>
      <w:r w:rsidR="00074AA8" w:rsidRPr="00832FA2">
        <w:rPr>
          <w:rFonts w:ascii="Avenir Next" w:hAnsi="Avenir Next" w:cs="Arial"/>
          <w:color w:val="808080" w:themeColor="background1" w:themeShade="80"/>
          <w:sz w:val="22"/>
          <w:szCs w:val="22"/>
          <w:lang w:val="en-GB"/>
        </w:rPr>
        <w:t>. On the other hand, the “Act of Elizabeth of 1570” is the basis of these rule</w:t>
      </w:r>
      <w:r w:rsidR="00541936" w:rsidRPr="00832FA2">
        <w:rPr>
          <w:rFonts w:ascii="Avenir Next" w:hAnsi="Avenir Next" w:cs="Arial"/>
          <w:color w:val="808080" w:themeColor="background1" w:themeShade="80"/>
          <w:sz w:val="22"/>
          <w:szCs w:val="22"/>
          <w:lang w:val="en-GB"/>
        </w:rPr>
        <w:t xml:space="preserve">s </w:t>
      </w:r>
      <w:r w:rsidR="00074AA8" w:rsidRPr="00832FA2">
        <w:rPr>
          <w:rFonts w:ascii="Avenir Next" w:hAnsi="Avenir Next" w:cs="Arial"/>
          <w:color w:val="808080" w:themeColor="background1" w:themeShade="80"/>
          <w:sz w:val="22"/>
          <w:szCs w:val="22"/>
          <w:lang w:val="en-GB"/>
        </w:rPr>
        <w:t>in the common law system.</w:t>
      </w:r>
    </w:p>
    <w:p w14:paraId="15D19048" w14:textId="62259024" w:rsidR="00353C30" w:rsidRPr="00832FA2" w:rsidRDefault="00074AA8" w:rsidP="00957A62">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 xml:space="preserve">Notwithstanding this fact (i.e., different acts providing the </w:t>
      </w:r>
      <w:r w:rsidR="00541936" w:rsidRPr="00832FA2">
        <w:rPr>
          <w:rFonts w:ascii="Avenir Next" w:hAnsi="Avenir Next" w:cs="Arial"/>
          <w:color w:val="808080" w:themeColor="background1" w:themeShade="80"/>
          <w:sz w:val="22"/>
          <w:szCs w:val="22"/>
          <w:lang w:val="en-GB"/>
        </w:rPr>
        <w:t>basis of</w:t>
      </w:r>
      <w:r w:rsidRPr="00832FA2">
        <w:rPr>
          <w:rFonts w:ascii="Avenir Next" w:hAnsi="Avenir Next" w:cs="Arial"/>
          <w:color w:val="808080" w:themeColor="background1" w:themeShade="80"/>
          <w:sz w:val="22"/>
          <w:szCs w:val="22"/>
          <w:lang w:val="en-GB"/>
        </w:rPr>
        <w:t xml:space="preserve"> the civil and common law systems)</w:t>
      </w:r>
      <w:r w:rsidR="00541936" w:rsidRPr="00832FA2">
        <w:rPr>
          <w:rFonts w:ascii="Avenir Next" w:hAnsi="Avenir Next" w:cs="Arial"/>
          <w:color w:val="808080" w:themeColor="background1" w:themeShade="80"/>
          <w:sz w:val="22"/>
          <w:szCs w:val="22"/>
          <w:lang w:val="en-GB"/>
        </w:rPr>
        <w:t>, it is necessary to observe that they (the rules) are</w:t>
      </w:r>
      <w:r w:rsidR="00353C30" w:rsidRPr="00832FA2">
        <w:rPr>
          <w:rFonts w:ascii="Avenir Next" w:hAnsi="Avenir Next" w:cs="Arial"/>
          <w:color w:val="808080" w:themeColor="background1" w:themeShade="80"/>
          <w:sz w:val="22"/>
          <w:szCs w:val="22"/>
          <w:lang w:val="en-GB"/>
        </w:rPr>
        <w:t xml:space="preserve"> in general similar, differing mostly in details around </w:t>
      </w:r>
      <w:r w:rsidR="00353C30" w:rsidRPr="00832FA2">
        <w:rPr>
          <w:rFonts w:ascii="Avenir Next" w:hAnsi="Avenir Next" w:cs="Arial"/>
          <w:color w:val="808080" w:themeColor="background1" w:themeShade="80"/>
          <w:sz w:val="22"/>
          <w:szCs w:val="22"/>
          <w:lang w:val="en-GB"/>
        </w:rPr>
        <w:lastRenderedPageBreak/>
        <w:t>the remedies that shall be applied for such voidable dispositions</w:t>
      </w:r>
      <w:r w:rsidR="00560E04" w:rsidRPr="00832FA2">
        <w:rPr>
          <w:rFonts w:ascii="Avenir Next" w:hAnsi="Avenir Next" w:cs="Arial"/>
          <w:color w:val="808080" w:themeColor="background1" w:themeShade="80"/>
          <w:sz w:val="22"/>
          <w:szCs w:val="22"/>
          <w:lang w:val="en-GB"/>
        </w:rPr>
        <w:t xml:space="preserve"> and also the extend and nature of the defenses of good faith and lack of knowledge</w:t>
      </w:r>
      <w:r w:rsidR="00560E04" w:rsidRPr="00832FA2">
        <w:rPr>
          <w:color w:val="808080" w:themeColor="background1" w:themeShade="80"/>
        </w:rPr>
        <w:footnoteReference w:id="2"/>
      </w:r>
      <w:r w:rsidR="00353C30" w:rsidRPr="00832FA2">
        <w:rPr>
          <w:rFonts w:ascii="Avenir Next" w:hAnsi="Avenir Next" w:cs="Arial"/>
          <w:color w:val="808080" w:themeColor="background1" w:themeShade="80"/>
          <w:sz w:val="22"/>
          <w:szCs w:val="22"/>
          <w:lang w:val="en-GB"/>
        </w:rPr>
        <w:t>.</w:t>
      </w:r>
    </w:p>
    <w:p w14:paraId="4C7C92B7" w14:textId="4BF32EA7" w:rsidR="00074AA8" w:rsidRPr="00832FA2" w:rsidRDefault="00353C30" w:rsidP="00957A62">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The reason for this similarity might be explained by the fact tha</w:t>
      </w:r>
      <w:r w:rsidR="00FB65FB" w:rsidRPr="00832FA2">
        <w:rPr>
          <w:rFonts w:ascii="Avenir Next" w:hAnsi="Avenir Next" w:cs="Arial"/>
          <w:color w:val="808080" w:themeColor="background1" w:themeShade="80"/>
          <w:sz w:val="22"/>
          <w:szCs w:val="22"/>
          <w:lang w:val="en-GB"/>
        </w:rPr>
        <w:t>t, on a principle basis, the developments of insolvency law as a system is the same in all systems, especially because the civil and the common law system</w:t>
      </w:r>
      <w:r w:rsidR="008C4A1F" w:rsidRPr="00832FA2">
        <w:rPr>
          <w:rFonts w:ascii="Avenir Next" w:hAnsi="Avenir Next" w:cs="Arial"/>
          <w:color w:val="808080" w:themeColor="background1" w:themeShade="80"/>
          <w:sz w:val="22"/>
          <w:szCs w:val="22"/>
          <w:lang w:val="en-GB"/>
        </w:rPr>
        <w:t>s</w:t>
      </w:r>
      <w:r w:rsidR="00FB65FB" w:rsidRPr="00832FA2">
        <w:rPr>
          <w:rFonts w:ascii="Avenir Next" w:hAnsi="Avenir Next" w:cs="Arial"/>
          <w:color w:val="808080" w:themeColor="background1" w:themeShade="80"/>
          <w:sz w:val="22"/>
          <w:szCs w:val="22"/>
          <w:lang w:val="en-GB"/>
        </w:rPr>
        <w:t xml:space="preserve"> have the same historical roots, originally initiated in the ancient Roman Law.</w:t>
      </w:r>
    </w:p>
    <w:p w14:paraId="0758D510" w14:textId="77777777" w:rsidR="0011095C" w:rsidRDefault="0011095C" w:rsidP="00957A62">
      <w:pPr>
        <w:jc w:val="both"/>
        <w:rPr>
          <w:rFonts w:ascii="Avenir Next" w:hAnsi="Avenir Next" w:cs="Arial"/>
          <w:sz w:val="22"/>
          <w:szCs w:val="22"/>
          <w:lang w:val="en-GB"/>
        </w:rPr>
      </w:pP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0BCEC81" w:rsidR="001E1C34" w:rsidRPr="00832FA2" w:rsidRDefault="002C2346" w:rsidP="00001B61">
      <w:pPr>
        <w:jc w:val="both"/>
        <w:rPr>
          <w:rFonts w:ascii="Avenir Next" w:hAnsi="Avenir Next" w:cs="Arial"/>
          <w:color w:val="808080" w:themeColor="background1" w:themeShade="80"/>
          <w:sz w:val="22"/>
          <w:szCs w:val="22"/>
          <w:lang w:val="en-GB"/>
        </w:rPr>
      </w:pPr>
      <w:r w:rsidRPr="00832FA2">
        <w:rPr>
          <w:rFonts w:ascii="Avenir Next" w:hAnsi="Avenir Next" w:cs="Arial"/>
          <w:color w:val="808080" w:themeColor="background1" w:themeShade="80"/>
          <w:sz w:val="22"/>
          <w:szCs w:val="22"/>
          <w:lang w:val="en-GB"/>
        </w:rPr>
        <w:t xml:space="preserve">As described by the author, this definition is </w:t>
      </w:r>
      <w:r w:rsidR="00332C55" w:rsidRPr="00832FA2">
        <w:rPr>
          <w:rFonts w:ascii="Avenir Next" w:hAnsi="Avenir Next" w:cs="Arial"/>
          <w:color w:val="808080" w:themeColor="background1" w:themeShade="80"/>
          <w:sz w:val="22"/>
          <w:szCs w:val="22"/>
          <w:lang w:val="en-GB"/>
        </w:rPr>
        <w:t>limited since</w:t>
      </w:r>
      <w:r w:rsidRPr="00832FA2">
        <w:rPr>
          <w:rFonts w:ascii="Avenir Next" w:hAnsi="Avenir Next" w:cs="Arial"/>
          <w:color w:val="808080" w:themeColor="background1" w:themeShade="80"/>
          <w:sz w:val="22"/>
          <w:szCs w:val="22"/>
          <w:lang w:val="en-GB"/>
        </w:rPr>
        <w:t xml:space="preserve"> it </w:t>
      </w:r>
      <w:r w:rsidR="00E03E6E" w:rsidRPr="00832FA2">
        <w:rPr>
          <w:rFonts w:ascii="Avenir Next" w:hAnsi="Avenir Next" w:cs="Arial"/>
          <w:color w:val="808080" w:themeColor="background1" w:themeShade="80"/>
          <w:sz w:val="22"/>
          <w:szCs w:val="22"/>
          <w:lang w:val="en-GB"/>
        </w:rPr>
        <w:t>is connected to</w:t>
      </w:r>
      <w:r w:rsidRPr="00832FA2">
        <w:rPr>
          <w:rFonts w:ascii="Avenir Next" w:hAnsi="Avenir Next" w:cs="Arial"/>
          <w:color w:val="808080" w:themeColor="background1" w:themeShade="80"/>
          <w:sz w:val="22"/>
          <w:szCs w:val="22"/>
          <w:lang w:val="en-GB"/>
        </w:rPr>
        <w:t xml:space="preserve"> the existence </w:t>
      </w:r>
      <w:r w:rsidR="00332C55" w:rsidRPr="00832FA2">
        <w:rPr>
          <w:rFonts w:ascii="Avenir Next" w:hAnsi="Avenir Next" w:cs="Arial"/>
          <w:color w:val="808080" w:themeColor="background1" w:themeShade="80"/>
          <w:sz w:val="22"/>
          <w:szCs w:val="22"/>
          <w:lang w:val="en-GB"/>
        </w:rPr>
        <w:t>of a national legal framework of insolvency law. The reality, however, is very different</w:t>
      </w:r>
      <w:r w:rsidR="0048560D" w:rsidRPr="00832FA2">
        <w:rPr>
          <w:rFonts w:ascii="Avenir Next" w:hAnsi="Avenir Next" w:cs="Arial"/>
          <w:color w:val="808080" w:themeColor="background1" w:themeShade="80"/>
          <w:sz w:val="22"/>
          <w:szCs w:val="22"/>
          <w:lang w:val="en-GB"/>
        </w:rPr>
        <w:t xml:space="preserve">. Countries have their own insolvency laws, with specific rules and principles addressing their own realities. </w:t>
      </w:r>
      <w:r w:rsidR="00C72AB0" w:rsidRPr="00832FA2">
        <w:rPr>
          <w:rFonts w:ascii="Avenir Next" w:hAnsi="Avenir Next" w:cs="Arial"/>
          <w:color w:val="808080" w:themeColor="background1" w:themeShade="80"/>
          <w:sz w:val="22"/>
          <w:szCs w:val="22"/>
          <w:lang w:val="en-GB"/>
        </w:rPr>
        <w:t>In most cases, these countries have poor dispositions regarding cross-border insolvency cases, which</w:t>
      </w:r>
      <w:r w:rsidR="000A0F9A" w:rsidRPr="00832FA2">
        <w:rPr>
          <w:rFonts w:ascii="Avenir Next" w:hAnsi="Avenir Next" w:cs="Arial"/>
          <w:color w:val="808080" w:themeColor="background1" w:themeShade="80"/>
          <w:sz w:val="22"/>
          <w:szCs w:val="22"/>
          <w:lang w:val="en-GB"/>
        </w:rPr>
        <w:t xml:space="preserve"> </w:t>
      </w:r>
      <w:r w:rsidR="00AD36B7" w:rsidRPr="00832FA2">
        <w:rPr>
          <w:rFonts w:ascii="Avenir Next" w:hAnsi="Avenir Next" w:cs="Arial"/>
          <w:color w:val="808080" w:themeColor="background1" w:themeShade="80"/>
          <w:sz w:val="22"/>
          <w:szCs w:val="22"/>
          <w:lang w:val="en-GB"/>
        </w:rPr>
        <w:t>raises</w:t>
      </w:r>
      <w:r w:rsidR="000A0F9A" w:rsidRPr="00832FA2">
        <w:rPr>
          <w:rFonts w:ascii="Avenir Next" w:hAnsi="Avenir Next" w:cs="Arial"/>
          <w:color w:val="808080" w:themeColor="background1" w:themeShade="80"/>
          <w:sz w:val="22"/>
          <w:szCs w:val="22"/>
          <w:lang w:val="en-GB"/>
        </w:rPr>
        <w:t xml:space="preserve"> complex issues and discussions regarding the conflict of this national rules </w:t>
      </w:r>
      <w:r w:rsidR="00001B61" w:rsidRPr="00832FA2">
        <w:rPr>
          <w:rFonts w:ascii="Avenir Next" w:hAnsi="Avenir Next" w:cs="Arial"/>
          <w:color w:val="808080" w:themeColor="background1" w:themeShade="80"/>
          <w:sz w:val="22"/>
          <w:szCs w:val="22"/>
          <w:lang w:val="en-GB"/>
        </w:rPr>
        <w:t>(</w:t>
      </w:r>
      <w:r w:rsidR="00CC0668" w:rsidRPr="00832FA2">
        <w:rPr>
          <w:rFonts w:ascii="Avenir Next" w:hAnsi="Avenir Next" w:cs="Arial"/>
          <w:color w:val="808080" w:themeColor="background1" w:themeShade="80"/>
          <w:sz w:val="22"/>
          <w:szCs w:val="22"/>
          <w:lang w:val="en-GB"/>
        </w:rPr>
        <w:t xml:space="preserve">majority of relevant corporate insolvencies </w:t>
      </w:r>
      <w:r w:rsidR="00E03E6E" w:rsidRPr="00832FA2">
        <w:rPr>
          <w:rFonts w:ascii="Avenir Next" w:hAnsi="Avenir Next" w:cs="Arial"/>
          <w:color w:val="808080" w:themeColor="background1" w:themeShade="80"/>
          <w:sz w:val="22"/>
          <w:szCs w:val="22"/>
          <w:lang w:val="en-GB"/>
        </w:rPr>
        <w:t>are not limited to one single State, but, on the other hand, with multiple States and multiple insolvency rules</w:t>
      </w:r>
      <w:r w:rsidR="00001B61" w:rsidRPr="00832FA2">
        <w:rPr>
          <w:rFonts w:ascii="Avenir Next" w:hAnsi="Avenir Next" w:cs="Arial"/>
          <w:color w:val="808080" w:themeColor="background1" w:themeShade="80"/>
          <w:sz w:val="22"/>
          <w:szCs w:val="22"/>
          <w:lang w:val="en-GB"/>
        </w:rPr>
        <w:t xml:space="preserve">). </w:t>
      </w:r>
      <w:r w:rsidR="00AD36B7" w:rsidRPr="00832FA2">
        <w:rPr>
          <w:rFonts w:ascii="Avenir Next" w:hAnsi="Avenir Next" w:cs="Arial"/>
          <w:color w:val="808080" w:themeColor="background1" w:themeShade="80"/>
          <w:sz w:val="22"/>
          <w:szCs w:val="22"/>
          <w:lang w:val="en-GB"/>
        </w:rPr>
        <w:t>Co-ordination and co-</w:t>
      </w:r>
      <w:r w:rsidR="001F098D" w:rsidRPr="00832FA2">
        <w:rPr>
          <w:rFonts w:ascii="Avenir Next" w:hAnsi="Avenir Next" w:cs="Arial"/>
          <w:color w:val="808080" w:themeColor="background1" w:themeShade="80"/>
          <w:sz w:val="22"/>
          <w:szCs w:val="22"/>
          <w:lang w:val="en-GB"/>
        </w:rPr>
        <w:t>o</w:t>
      </w:r>
      <w:r w:rsidR="00AD36B7" w:rsidRPr="00832FA2">
        <w:rPr>
          <w:rFonts w:ascii="Avenir Next" w:hAnsi="Avenir Next" w:cs="Arial"/>
          <w:color w:val="808080" w:themeColor="background1" w:themeShade="80"/>
          <w:sz w:val="22"/>
          <w:szCs w:val="22"/>
          <w:lang w:val="en-GB"/>
        </w:rPr>
        <w:t xml:space="preserve">peration, therefore, are fundamentals principals that must be encouraged by countries </w:t>
      </w:r>
      <w:r w:rsidR="001F098D" w:rsidRPr="00832FA2">
        <w:rPr>
          <w:rFonts w:ascii="Avenir Next" w:hAnsi="Avenir Next" w:cs="Arial"/>
          <w:color w:val="808080" w:themeColor="background1" w:themeShade="80"/>
          <w:sz w:val="22"/>
          <w:szCs w:val="22"/>
          <w:lang w:val="en-GB"/>
        </w:rPr>
        <w:t>to</w:t>
      </w:r>
      <w:r w:rsidR="00AD36B7" w:rsidRPr="00832FA2">
        <w:rPr>
          <w:rFonts w:ascii="Avenir Next" w:hAnsi="Avenir Next" w:cs="Arial"/>
          <w:color w:val="808080" w:themeColor="background1" w:themeShade="80"/>
          <w:sz w:val="22"/>
          <w:szCs w:val="22"/>
          <w:lang w:val="en-GB"/>
        </w:rPr>
        <w:t xml:space="preserve"> avoid </w:t>
      </w:r>
      <w:r w:rsidR="001F098D" w:rsidRPr="00832FA2">
        <w:rPr>
          <w:rFonts w:ascii="Avenir Next" w:hAnsi="Avenir Next" w:cs="Arial"/>
          <w:color w:val="808080" w:themeColor="background1" w:themeShade="80"/>
          <w:sz w:val="22"/>
          <w:szCs w:val="22"/>
          <w:lang w:val="en-GB"/>
        </w:rPr>
        <w:t xml:space="preserve">disputes and clashes arising from the shock of national insolvency laws.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473F3481" w:rsidR="001E1C34" w:rsidRPr="00AB63DE" w:rsidRDefault="00AA5888" w:rsidP="00AA58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experience confirms that treaties and conventions play a very important hole for cross-border insolvency law, especially addressing issues arising from international insolvencies</w:t>
      </w:r>
      <w:r w:rsidR="00B73647">
        <w:rPr>
          <w:rFonts w:ascii="Avenir Next" w:hAnsi="Avenir Next" w:cs="Arial"/>
          <w:color w:val="808080" w:themeColor="background1" w:themeShade="80"/>
          <w:sz w:val="22"/>
          <w:szCs w:val="22"/>
          <w:lang w:val="en-GB"/>
        </w:rPr>
        <w:t xml:space="preserve"> </w:t>
      </w:r>
      <w:r w:rsidR="00410D57">
        <w:rPr>
          <w:rFonts w:ascii="Avenir Next" w:hAnsi="Avenir Next" w:cs="Arial"/>
          <w:color w:val="808080" w:themeColor="background1" w:themeShade="80"/>
          <w:sz w:val="22"/>
          <w:szCs w:val="22"/>
          <w:lang w:val="en-GB"/>
        </w:rPr>
        <w:t>relates especially to the</w:t>
      </w:r>
      <w:r w:rsidR="00B73647">
        <w:rPr>
          <w:rFonts w:ascii="Avenir Next" w:hAnsi="Avenir Next" w:cs="Arial"/>
          <w:color w:val="808080" w:themeColor="background1" w:themeShade="80"/>
          <w:sz w:val="22"/>
          <w:szCs w:val="22"/>
          <w:lang w:val="en-GB"/>
        </w:rPr>
        <w:t xml:space="preserve"> conflict of domestic laws. Some examples of important treaties are (i) the long-lasting treaties achieved by Latin America</w:t>
      </w:r>
      <w:r w:rsidR="00757EDD">
        <w:rPr>
          <w:rFonts w:ascii="Avenir Next" w:hAnsi="Avenir Next" w:cs="Arial"/>
          <w:color w:val="808080" w:themeColor="background1" w:themeShade="80"/>
          <w:sz w:val="22"/>
          <w:szCs w:val="22"/>
          <w:lang w:val="en-GB"/>
        </w:rPr>
        <w:t xml:space="preserve"> (e.g., the Montevideo Treaties and Havana Convention on Private Law); (ii) the Nordic Convention, which </w:t>
      </w:r>
      <w:r w:rsidR="00410D57">
        <w:rPr>
          <w:rFonts w:ascii="Avenir Next" w:hAnsi="Avenir Next" w:cs="Arial"/>
          <w:color w:val="808080" w:themeColor="background1" w:themeShade="80"/>
          <w:sz w:val="22"/>
          <w:szCs w:val="22"/>
          <w:lang w:val="en-GB"/>
        </w:rPr>
        <w:t xml:space="preserve">promoted the unification of the insolvency proceedings among the members of this Convention; and (iii) the OHADA </w:t>
      </w:r>
      <w:r w:rsidR="00503550">
        <w:rPr>
          <w:rFonts w:ascii="Avenir Next" w:hAnsi="Avenir Next" w:cs="Arial"/>
          <w:color w:val="808080" w:themeColor="background1" w:themeShade="80"/>
          <w:sz w:val="22"/>
          <w:szCs w:val="22"/>
          <w:lang w:val="en-GB"/>
        </w:rPr>
        <w:t xml:space="preserve">treaty, that incremented the development of  African countries on this matter. </w:t>
      </w:r>
    </w:p>
    <w:p w14:paraId="492D35CC" w14:textId="77777777" w:rsidR="001E1C34" w:rsidRPr="00AA5888" w:rsidRDefault="001E1C34" w:rsidP="00692852">
      <w:pPr>
        <w:jc w:val="both"/>
        <w:rPr>
          <w:rFonts w:ascii="Avenir Next" w:hAnsi="Avenir Next"/>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DDD74DA" w:rsidR="001E1C34" w:rsidRDefault="00827265" w:rsidP="00D76B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differences are:</w:t>
      </w:r>
      <w:r w:rsidR="00D76B11">
        <w:rPr>
          <w:rFonts w:ascii="Avenir Next" w:hAnsi="Avenir Next" w:cs="Arial"/>
          <w:color w:val="808080" w:themeColor="background1" w:themeShade="80"/>
          <w:sz w:val="22"/>
          <w:szCs w:val="22"/>
          <w:lang w:val="en-GB"/>
        </w:rPr>
        <w:t xml:space="preserve"> (i)</w:t>
      </w:r>
      <w:r>
        <w:rPr>
          <w:rFonts w:ascii="Avenir Next" w:hAnsi="Avenir Next" w:cs="Arial"/>
          <w:color w:val="808080" w:themeColor="background1" w:themeShade="80"/>
          <w:sz w:val="22"/>
          <w:szCs w:val="22"/>
          <w:lang w:val="en-GB"/>
        </w:rPr>
        <w:t xml:space="preserve"> </w:t>
      </w:r>
      <w:r w:rsidR="00D76B11">
        <w:rPr>
          <w:rFonts w:ascii="Avenir Next" w:hAnsi="Avenir Next" w:cs="Arial"/>
          <w:color w:val="808080" w:themeColor="background1" w:themeShade="80"/>
          <w:sz w:val="22"/>
          <w:szCs w:val="22"/>
          <w:lang w:val="en-GB"/>
        </w:rPr>
        <w:t xml:space="preserve">formal insolvency proceedings are commenced under the insolvency law and are governed by that law, while informal insolvency arrangements are not always </w:t>
      </w:r>
      <w:r w:rsidR="00EC73CB">
        <w:rPr>
          <w:rFonts w:ascii="Avenir Next" w:hAnsi="Avenir Next" w:cs="Arial"/>
          <w:color w:val="808080" w:themeColor="background1" w:themeShade="80"/>
          <w:sz w:val="22"/>
          <w:szCs w:val="22"/>
          <w:lang w:val="en-GB"/>
        </w:rPr>
        <w:t xml:space="preserve">regulated by the insolvency law; </w:t>
      </w:r>
      <w:r w:rsidR="00E65531">
        <w:rPr>
          <w:rFonts w:ascii="Avenir Next" w:hAnsi="Avenir Next" w:cs="Arial"/>
          <w:color w:val="808080" w:themeColor="background1" w:themeShade="80"/>
          <w:sz w:val="22"/>
          <w:szCs w:val="22"/>
          <w:lang w:val="en-GB"/>
        </w:rPr>
        <w:t xml:space="preserve">and </w:t>
      </w:r>
      <w:r w:rsidR="00EC73CB">
        <w:rPr>
          <w:rFonts w:ascii="Avenir Next" w:hAnsi="Avenir Next" w:cs="Arial"/>
          <w:color w:val="808080" w:themeColor="background1" w:themeShade="80"/>
          <w:sz w:val="22"/>
          <w:szCs w:val="22"/>
          <w:lang w:val="en-GB"/>
        </w:rPr>
        <w:t xml:space="preserve">(ii) formal insolvency proceedings includes both liquidation or reorganization / rescue proceedings, while informal insolvency arrangements involves voluntary negotiations between the debtor and its creditors. </w:t>
      </w:r>
    </w:p>
    <w:p w14:paraId="53D89DA5" w14:textId="3824A39A" w:rsidR="00E65531" w:rsidRDefault="00E65531" w:rsidP="00D76B11">
      <w:pPr>
        <w:jc w:val="both"/>
        <w:rPr>
          <w:rFonts w:ascii="Avenir Next" w:hAnsi="Avenir Next" w:cs="Arial"/>
          <w:color w:val="808080" w:themeColor="background1" w:themeShade="80"/>
          <w:sz w:val="22"/>
          <w:szCs w:val="22"/>
          <w:lang w:val="en-GB"/>
        </w:rPr>
      </w:pPr>
    </w:p>
    <w:p w14:paraId="70A50A8F" w14:textId="26D25417" w:rsidR="00E65531" w:rsidRDefault="00EB3CA5" w:rsidP="00D76B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w:t>
      </w:r>
      <w:r w:rsidR="00E65531">
        <w:rPr>
          <w:rFonts w:ascii="Avenir Next" w:hAnsi="Avenir Next" w:cs="Arial"/>
          <w:color w:val="808080" w:themeColor="background1" w:themeShade="80"/>
          <w:sz w:val="22"/>
          <w:szCs w:val="22"/>
          <w:lang w:val="en-GB"/>
        </w:rPr>
        <w:t xml:space="preserve">dvantages </w:t>
      </w:r>
      <w:r>
        <w:rPr>
          <w:rFonts w:ascii="Avenir Next" w:hAnsi="Avenir Next" w:cs="Arial"/>
          <w:color w:val="808080" w:themeColor="background1" w:themeShade="80"/>
          <w:sz w:val="22"/>
          <w:szCs w:val="22"/>
          <w:lang w:val="en-GB"/>
        </w:rPr>
        <w:t xml:space="preserve">of the informal arrangements </w:t>
      </w:r>
      <w:r w:rsidR="00E65531">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(i) there is no moratorium in place preventing other creditors from approaching the courts and commencing an insolvency proceeding; and (ii) there is no way of binding dissenting creditors to any agreement reached.</w:t>
      </w:r>
    </w:p>
    <w:p w14:paraId="6DF0BE6F" w14:textId="47C69E7C" w:rsidR="004B5BCE" w:rsidRDefault="004B5BCE" w:rsidP="00D76B11">
      <w:pPr>
        <w:jc w:val="both"/>
        <w:rPr>
          <w:rFonts w:ascii="Avenir Next" w:hAnsi="Avenir Next" w:cs="Arial"/>
          <w:color w:val="808080" w:themeColor="background1" w:themeShade="80"/>
          <w:sz w:val="22"/>
          <w:szCs w:val="22"/>
          <w:lang w:val="en-GB"/>
        </w:rPr>
      </w:pPr>
    </w:p>
    <w:p w14:paraId="29BAE61F" w14:textId="15AF024E" w:rsidR="004B5BCE" w:rsidRPr="00AB63DE" w:rsidRDefault="004B5BCE" w:rsidP="00D76B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Advantages of the informal arrangements are: (i) cost significantly lower; and (ii) no publicity of the fact that the debtor is experiencing financial difficulties.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3726B1AE" w:rsidR="001E1C34" w:rsidRDefault="00C26092" w:rsidP="00C260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difficult</w:t>
      </w:r>
      <w:r w:rsidR="00F05224">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that may arises from this situation is establishing </w:t>
      </w:r>
      <w:r w:rsidR="00F05224">
        <w:rPr>
          <w:rFonts w:ascii="Avenir Next" w:hAnsi="Avenir Next" w:cs="Arial"/>
          <w:color w:val="808080" w:themeColor="background1" w:themeShade="80"/>
          <w:sz w:val="22"/>
          <w:szCs w:val="22"/>
          <w:lang w:val="en-GB"/>
        </w:rPr>
        <w:t>an</w:t>
      </w:r>
      <w:r w:rsidR="00E6263B">
        <w:rPr>
          <w:rFonts w:ascii="Avenir Next" w:hAnsi="Avenir Next" w:cs="Arial"/>
          <w:color w:val="808080" w:themeColor="background1" w:themeShade="80"/>
          <w:sz w:val="22"/>
          <w:szCs w:val="22"/>
          <w:lang w:val="en-GB"/>
        </w:rPr>
        <w:t>d</w:t>
      </w:r>
      <w:r w:rsidR="00F05224">
        <w:rPr>
          <w:rFonts w:ascii="Avenir Next" w:hAnsi="Avenir Next" w:cs="Arial"/>
          <w:color w:val="808080" w:themeColor="background1" w:themeShade="80"/>
          <w:sz w:val="22"/>
          <w:szCs w:val="22"/>
          <w:lang w:val="en-GB"/>
        </w:rPr>
        <w:t xml:space="preserve"> conciliating </w:t>
      </w:r>
      <w:r>
        <w:rPr>
          <w:rFonts w:ascii="Avenir Next" w:hAnsi="Avenir Next" w:cs="Arial"/>
          <w:color w:val="808080" w:themeColor="background1" w:themeShade="80"/>
          <w:sz w:val="22"/>
          <w:szCs w:val="22"/>
          <w:lang w:val="en-GB"/>
        </w:rPr>
        <w:t xml:space="preserve">the definition of “insolvency” withing Encanto’s and Asgard’s </w:t>
      </w:r>
      <w:r w:rsidR="00F05224">
        <w:rPr>
          <w:rFonts w:ascii="Avenir Next" w:hAnsi="Avenir Next" w:cs="Arial"/>
          <w:color w:val="808080" w:themeColor="background1" w:themeShade="80"/>
          <w:sz w:val="22"/>
          <w:szCs w:val="22"/>
          <w:lang w:val="en-GB"/>
        </w:rPr>
        <w:t xml:space="preserve">domestic legislation. These jurisdictions might not adopt similar concepts, what </w:t>
      </w:r>
      <w:r w:rsidR="00691ECF">
        <w:rPr>
          <w:rFonts w:ascii="Avenir Next" w:hAnsi="Avenir Next" w:cs="Arial"/>
          <w:color w:val="808080" w:themeColor="background1" w:themeShade="80"/>
          <w:sz w:val="22"/>
          <w:szCs w:val="22"/>
          <w:lang w:val="en-GB"/>
        </w:rPr>
        <w:t xml:space="preserve">can potentially create </w:t>
      </w:r>
      <w:r w:rsidR="00E810C4">
        <w:rPr>
          <w:rFonts w:ascii="Avenir Next" w:hAnsi="Avenir Next" w:cs="Arial"/>
          <w:color w:val="808080" w:themeColor="background1" w:themeShade="80"/>
          <w:sz w:val="22"/>
          <w:szCs w:val="22"/>
          <w:lang w:val="en-GB"/>
        </w:rPr>
        <w:t xml:space="preserve">discussions around </w:t>
      </w:r>
      <w:r w:rsidR="00E6263B">
        <w:rPr>
          <w:rFonts w:ascii="Avenir Next" w:hAnsi="Avenir Next" w:cs="Arial"/>
          <w:color w:val="808080" w:themeColor="background1" w:themeShade="80"/>
          <w:sz w:val="22"/>
          <w:szCs w:val="22"/>
          <w:lang w:val="en-GB"/>
        </w:rPr>
        <w:t>the factors that must be observed in order to declare the company insolvent.</w:t>
      </w:r>
    </w:p>
    <w:p w14:paraId="6C79165D" w14:textId="6B8126C6" w:rsidR="00E6263B" w:rsidRDefault="00E810C4" w:rsidP="00C260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Moreover, the representative may also face conflicts of domestic laws especially related to the position of creditors in a potential insolvency proceeding, the priorities </w:t>
      </w:r>
      <w:r w:rsidR="0003272C">
        <w:rPr>
          <w:rFonts w:ascii="Avenir Next" w:hAnsi="Avenir Next" w:cs="Arial"/>
          <w:color w:val="808080" w:themeColor="background1" w:themeShade="80"/>
          <w:sz w:val="22"/>
          <w:szCs w:val="22"/>
          <w:lang w:val="en-GB"/>
        </w:rPr>
        <w:t>these creditors</w:t>
      </w:r>
      <w:r>
        <w:rPr>
          <w:rFonts w:ascii="Avenir Next" w:hAnsi="Avenir Next" w:cs="Arial"/>
          <w:color w:val="808080" w:themeColor="background1" w:themeShade="80"/>
          <w:sz w:val="22"/>
          <w:szCs w:val="22"/>
          <w:lang w:val="en-GB"/>
        </w:rPr>
        <w:t xml:space="preserve"> might have </w:t>
      </w:r>
      <w:r>
        <w:rPr>
          <w:rFonts w:ascii="Avenir Next" w:hAnsi="Avenir Next" w:cs="Arial"/>
          <w:color w:val="808080" w:themeColor="background1" w:themeShade="80"/>
          <w:sz w:val="22"/>
          <w:szCs w:val="22"/>
          <w:lang w:val="en-GB"/>
        </w:rPr>
        <w:lastRenderedPageBreak/>
        <w:t xml:space="preserve">over the </w:t>
      </w:r>
      <w:r w:rsidR="0003272C">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w:t>
      </w:r>
      <w:r w:rsidR="001F2310">
        <w:rPr>
          <w:rFonts w:ascii="Avenir Next" w:hAnsi="Avenir Next" w:cs="Arial"/>
          <w:color w:val="808080" w:themeColor="background1" w:themeShade="80"/>
          <w:sz w:val="22"/>
          <w:szCs w:val="22"/>
          <w:lang w:val="en-GB"/>
        </w:rPr>
        <w:t xml:space="preserve">and procedures rules, for example, security, set-off and netting arrangements. </w:t>
      </w:r>
    </w:p>
    <w:p w14:paraId="6D7E0649" w14:textId="7D2525BD" w:rsidR="001E1C34" w:rsidRDefault="001F231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Summarizing </w:t>
      </w:r>
      <w:r w:rsidR="0003272C">
        <w:rPr>
          <w:rFonts w:ascii="Avenir Next" w:hAnsi="Avenir Next" w:cs="Arial"/>
          <w:color w:val="808080" w:themeColor="background1" w:themeShade="80"/>
          <w:sz w:val="22"/>
          <w:szCs w:val="22"/>
          <w:lang w:val="en-GB"/>
        </w:rPr>
        <w:t>these difficulties</w:t>
      </w:r>
      <w:r>
        <w:rPr>
          <w:rFonts w:ascii="Avenir Next" w:hAnsi="Avenir Next" w:cs="Arial"/>
          <w:color w:val="808080" w:themeColor="background1" w:themeShade="80"/>
          <w:sz w:val="22"/>
          <w:szCs w:val="22"/>
          <w:lang w:val="en-GB"/>
        </w:rPr>
        <w:t xml:space="preserve">, Westbrook </w:t>
      </w:r>
      <w:r w:rsidR="008C0057">
        <w:rPr>
          <w:rFonts w:ascii="Avenir Next" w:hAnsi="Avenir Next" w:cs="Arial"/>
          <w:color w:val="808080" w:themeColor="background1" w:themeShade="80"/>
          <w:sz w:val="22"/>
          <w:szCs w:val="22"/>
          <w:lang w:val="en-GB"/>
        </w:rPr>
        <w:t>identifies</w:t>
      </w:r>
      <w:r>
        <w:rPr>
          <w:rFonts w:ascii="Avenir Next" w:hAnsi="Avenir Next" w:cs="Arial"/>
          <w:color w:val="808080" w:themeColor="background1" w:themeShade="80"/>
          <w:sz w:val="22"/>
          <w:szCs w:val="22"/>
          <w:lang w:val="en-GB"/>
        </w:rPr>
        <w:t xml:space="preserve"> 9 (nine) main issues in cross-border cases:</w:t>
      </w:r>
      <w:r w:rsidR="0003272C">
        <w:rPr>
          <w:rFonts w:ascii="Avenir Next" w:hAnsi="Avenir Next" w:cs="Arial"/>
          <w:color w:val="808080" w:themeColor="background1" w:themeShade="80"/>
          <w:sz w:val="22"/>
          <w:szCs w:val="22"/>
          <w:lang w:val="en-GB"/>
        </w:rPr>
        <w:t xml:space="preserve"> standing for the foreign representatives, moratorium on creditor actions, creditor participation, executory contracts, co-ordinated claims procedures, priorities and preferences, avoidance provision powers, discharges and conflict-of-law issues.</w:t>
      </w:r>
    </w:p>
    <w:p w14:paraId="2B27BABB" w14:textId="069EB135" w:rsidR="00BF614D" w:rsidRDefault="00BF614D" w:rsidP="00692852">
      <w:pPr>
        <w:jc w:val="both"/>
        <w:rPr>
          <w:rFonts w:ascii="Avenir Next" w:hAnsi="Avenir Next" w:cs="Arial"/>
          <w:color w:val="808080" w:themeColor="background1" w:themeShade="80"/>
          <w:sz w:val="22"/>
          <w:szCs w:val="22"/>
          <w:lang w:val="en-GB"/>
        </w:rPr>
      </w:pPr>
    </w:p>
    <w:p w14:paraId="057C472E" w14:textId="54F4DD79" w:rsidR="00AA0016" w:rsidRDefault="00BF614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instruments that have been developed to </w:t>
      </w:r>
      <w:r w:rsidR="00D454FE">
        <w:rPr>
          <w:rFonts w:ascii="Avenir Next" w:hAnsi="Avenir Next" w:cs="Arial"/>
          <w:color w:val="808080" w:themeColor="background1" w:themeShade="80"/>
          <w:sz w:val="22"/>
          <w:szCs w:val="22"/>
          <w:lang w:val="en-GB"/>
        </w:rPr>
        <w:t xml:space="preserve">work out </w:t>
      </w:r>
      <w:r w:rsidR="0003272C">
        <w:rPr>
          <w:rFonts w:ascii="Avenir Next" w:hAnsi="Avenir Next" w:cs="Arial"/>
          <w:color w:val="808080" w:themeColor="background1" w:themeShade="80"/>
          <w:sz w:val="22"/>
          <w:szCs w:val="22"/>
          <w:lang w:val="en-GB"/>
        </w:rPr>
        <w:t>these difficulties</w:t>
      </w:r>
      <w:r w:rsidR="00D454FE">
        <w:rPr>
          <w:rFonts w:ascii="Avenir Next" w:hAnsi="Avenir Next" w:cs="Arial"/>
          <w:color w:val="808080" w:themeColor="background1" w:themeShade="80"/>
          <w:sz w:val="22"/>
          <w:szCs w:val="22"/>
          <w:lang w:val="en-GB"/>
        </w:rPr>
        <w:t xml:space="preserve"> are treaties and conventions. Co-operating with them, multilateral commerce and professional bodies </w:t>
      </w:r>
      <w:r w:rsidR="00EC40CB">
        <w:rPr>
          <w:rFonts w:ascii="Avenir Next" w:hAnsi="Avenir Next" w:cs="Arial"/>
          <w:color w:val="808080" w:themeColor="background1" w:themeShade="80"/>
          <w:sz w:val="22"/>
          <w:szCs w:val="22"/>
          <w:lang w:val="en-GB"/>
        </w:rPr>
        <w:t>have been working on proposed solutions, seeking</w:t>
      </w:r>
      <w:r w:rsidR="004E76FB">
        <w:rPr>
          <w:rFonts w:ascii="Avenir Next" w:hAnsi="Avenir Next" w:cs="Arial"/>
          <w:color w:val="808080" w:themeColor="background1" w:themeShade="80"/>
          <w:sz w:val="22"/>
          <w:szCs w:val="22"/>
          <w:lang w:val="en-GB"/>
        </w:rPr>
        <w:t xml:space="preserve"> to promote</w:t>
      </w:r>
      <w:r w:rsidR="00EC40CB">
        <w:rPr>
          <w:rFonts w:ascii="Avenir Next" w:hAnsi="Avenir Next" w:cs="Arial"/>
          <w:color w:val="808080" w:themeColor="background1" w:themeShade="80"/>
          <w:sz w:val="22"/>
          <w:szCs w:val="22"/>
          <w:lang w:val="en-GB"/>
        </w:rPr>
        <w:t xml:space="preserve"> (i) the harmonization of domestic law</w:t>
      </w:r>
      <w:r w:rsidR="004E76FB">
        <w:rPr>
          <w:rFonts w:ascii="Avenir Next" w:hAnsi="Avenir Next" w:cs="Arial"/>
          <w:color w:val="808080" w:themeColor="background1" w:themeShade="80"/>
          <w:sz w:val="22"/>
          <w:szCs w:val="22"/>
          <w:lang w:val="en-GB"/>
        </w:rPr>
        <w:t>; (ii) the unification of choice of law principles and recognition of laws; and (iii) co-</w:t>
      </w:r>
      <w:r w:rsidR="00AA0016">
        <w:rPr>
          <w:rFonts w:ascii="Avenir Next" w:hAnsi="Avenir Next" w:cs="Arial"/>
          <w:color w:val="808080" w:themeColor="background1" w:themeShade="80"/>
          <w:sz w:val="22"/>
          <w:szCs w:val="22"/>
          <w:lang w:val="en-GB"/>
        </w:rPr>
        <w:t>o</w:t>
      </w:r>
      <w:r w:rsidR="004E76FB">
        <w:rPr>
          <w:rFonts w:ascii="Avenir Next" w:hAnsi="Avenir Next" w:cs="Arial"/>
          <w:color w:val="808080" w:themeColor="background1" w:themeShade="80"/>
          <w:sz w:val="22"/>
          <w:szCs w:val="22"/>
          <w:lang w:val="en-GB"/>
        </w:rPr>
        <w:t xml:space="preserve">peration and co-ordination </w:t>
      </w:r>
      <w:r w:rsidR="00AA0016">
        <w:rPr>
          <w:rFonts w:ascii="Avenir Next" w:hAnsi="Avenir Next" w:cs="Arial"/>
          <w:color w:val="808080" w:themeColor="background1" w:themeShade="80"/>
          <w:sz w:val="22"/>
          <w:szCs w:val="22"/>
          <w:lang w:val="en-GB"/>
        </w:rPr>
        <w:t>among different jurisdictions</w:t>
      </w:r>
    </w:p>
    <w:p w14:paraId="6198BBEB" w14:textId="77777777" w:rsidR="00AA0016" w:rsidRDefault="00AA0016" w:rsidP="00692852">
      <w:pPr>
        <w:jc w:val="both"/>
        <w:rPr>
          <w:rFonts w:ascii="Avenir Next" w:hAnsi="Avenir Next" w:cs="Arial"/>
          <w:color w:val="808080" w:themeColor="background1" w:themeShade="80"/>
          <w:sz w:val="22"/>
          <w:szCs w:val="22"/>
          <w:lang w:val="en-GB"/>
        </w:rPr>
      </w:pPr>
    </w:p>
    <w:p w14:paraId="1100ED50" w14:textId="613491E2" w:rsidR="00BF614D" w:rsidRPr="00BF614D" w:rsidRDefault="00AA001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instruments indicated above have been playing a very important role to address insolvency issues and </w:t>
      </w:r>
      <w:r w:rsidR="0013757E">
        <w:rPr>
          <w:rFonts w:ascii="Avenir Next" w:hAnsi="Avenir Next" w:cs="Arial"/>
          <w:color w:val="808080" w:themeColor="background1" w:themeShade="80"/>
          <w:sz w:val="22"/>
          <w:szCs w:val="22"/>
          <w:lang w:val="en-GB"/>
        </w:rPr>
        <w:t>discussions arising</w:t>
      </w:r>
      <w:r>
        <w:rPr>
          <w:rFonts w:ascii="Avenir Next" w:hAnsi="Avenir Next" w:cs="Arial"/>
          <w:color w:val="808080" w:themeColor="background1" w:themeShade="80"/>
          <w:sz w:val="22"/>
          <w:szCs w:val="22"/>
          <w:lang w:val="en-GB"/>
        </w:rPr>
        <w:t xml:space="preserve"> from </w:t>
      </w:r>
      <w:r w:rsidR="0013757E">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everal </w:t>
      </w:r>
      <w:r w:rsidR="0013757E">
        <w:rPr>
          <w:rFonts w:ascii="Avenir Next" w:hAnsi="Avenir Next" w:cs="Arial"/>
          <w:color w:val="808080" w:themeColor="background1" w:themeShade="80"/>
          <w:sz w:val="22"/>
          <w:szCs w:val="22"/>
          <w:lang w:val="en-GB"/>
        </w:rPr>
        <w:t>domestic insolvency</w:t>
      </w:r>
      <w:r>
        <w:rPr>
          <w:rFonts w:ascii="Avenir Next" w:hAnsi="Avenir Next" w:cs="Arial"/>
          <w:color w:val="808080" w:themeColor="background1" w:themeShade="80"/>
          <w:sz w:val="22"/>
          <w:szCs w:val="22"/>
          <w:lang w:val="en-GB"/>
        </w:rPr>
        <w:t xml:space="preserve"> laws</w:t>
      </w:r>
      <w:r w:rsidR="0013757E">
        <w:rPr>
          <w:rFonts w:ascii="Avenir Next" w:hAnsi="Avenir Next" w:cs="Arial"/>
          <w:color w:val="808080" w:themeColor="background1" w:themeShade="80"/>
          <w:sz w:val="22"/>
          <w:szCs w:val="22"/>
          <w:lang w:val="en-GB"/>
        </w:rPr>
        <w:t xml:space="preserve"> existing worldwide</w:t>
      </w:r>
      <w:r w:rsidR="00897BAC">
        <w:rPr>
          <w:rFonts w:ascii="Avenir Next" w:hAnsi="Avenir Next" w:cs="Arial"/>
          <w:color w:val="808080" w:themeColor="background1" w:themeShade="80"/>
          <w:sz w:val="22"/>
          <w:szCs w:val="22"/>
          <w:lang w:val="en-GB"/>
        </w:rPr>
        <w:t>, promoting among them some kind of unification that enables the better treatment of debtors’ and creditors’ interests and rights within cross-border insolvency cases</w:t>
      </w:r>
      <w:r>
        <w:rPr>
          <w:rFonts w:ascii="Avenir Next" w:hAnsi="Avenir Next" w:cs="Arial"/>
          <w:color w:val="808080" w:themeColor="background1" w:themeShade="80"/>
          <w:sz w:val="22"/>
          <w:szCs w:val="22"/>
          <w:lang w:val="en-GB"/>
        </w:rPr>
        <w:t xml:space="preserve">.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C55463F" w14:textId="39AF00AB" w:rsidR="001E1C34" w:rsidRDefault="00793914" w:rsidP="007939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it is fundamental to note that UK ceased to be a member of the EU at 11pm on January 31, 2020. Therefore, the EIR Recast no longer applies to post-11pm 31</w:t>
      </w:r>
      <w:r w:rsidR="00717441">
        <w:rPr>
          <w:rFonts w:ascii="Avenir Next" w:hAnsi="Avenir Next" w:cs="Arial"/>
          <w:color w:val="808080" w:themeColor="background1" w:themeShade="80"/>
          <w:sz w:val="22"/>
          <w:szCs w:val="22"/>
          <w:lang w:val="en-GB"/>
        </w:rPr>
        <w:t xml:space="preserve"> December 2020 proceedings in the UK. The Recast, then, applies to insolvencies where the main proceedings were opened prior to the expiry of the transitional period </w:t>
      </w:r>
      <w:r w:rsidR="00890ED2">
        <w:rPr>
          <w:rFonts w:ascii="Avenir Next" w:hAnsi="Avenir Next" w:cs="Arial"/>
          <w:color w:val="808080" w:themeColor="background1" w:themeShade="80"/>
          <w:sz w:val="22"/>
          <w:szCs w:val="22"/>
          <w:lang w:val="en-GB"/>
        </w:rPr>
        <w:t>(i.e., 11pm – December 31, 2020).</w:t>
      </w:r>
    </w:p>
    <w:p w14:paraId="09B97CF6" w14:textId="2BFB9EDE" w:rsidR="00890ED2" w:rsidRDefault="00890ED2" w:rsidP="00793914">
      <w:pPr>
        <w:jc w:val="both"/>
        <w:rPr>
          <w:rFonts w:ascii="Avenir Next" w:hAnsi="Avenir Next" w:cs="Arial"/>
          <w:color w:val="808080" w:themeColor="background1" w:themeShade="80"/>
          <w:sz w:val="22"/>
          <w:szCs w:val="22"/>
          <w:lang w:val="en-GB"/>
        </w:rPr>
      </w:pPr>
    </w:p>
    <w:p w14:paraId="759F6432" w14:textId="036FCCFB" w:rsidR="006E4B30" w:rsidRDefault="00890ED2" w:rsidP="002612E4">
      <w:pPr>
        <w:jc w:val="both"/>
        <w:rPr>
          <w:rFonts w:ascii="Avenir Next" w:hAnsi="Avenir Next" w:cs="Arial"/>
          <w:sz w:val="22"/>
          <w:szCs w:val="22"/>
          <w:highlight w:val="cyan"/>
          <w:lang w:val="en-GB"/>
        </w:rPr>
      </w:pPr>
      <w:r>
        <w:rPr>
          <w:rFonts w:ascii="Avenir Next" w:hAnsi="Avenir Next" w:cs="Arial"/>
          <w:color w:val="808080" w:themeColor="background1" w:themeShade="80"/>
          <w:sz w:val="22"/>
          <w:szCs w:val="22"/>
          <w:lang w:val="en-GB"/>
        </w:rPr>
        <w:t>Due to the above, the EIR Recast does not apply with respect to the UK commenced insolvency proceedings.</w:t>
      </w:r>
      <w:r w:rsidR="002612E4">
        <w:rPr>
          <w:rFonts w:ascii="Avenir Next" w:hAnsi="Avenir Next" w:cs="Arial"/>
          <w:sz w:val="22"/>
          <w:szCs w:val="22"/>
          <w:highlight w:val="cyan"/>
          <w:lang w:val="en-GB"/>
        </w:rPr>
        <w:t xml:space="preserve"> </w:t>
      </w:r>
    </w:p>
    <w:p w14:paraId="73177A98" w14:textId="66C70902" w:rsidR="002612E4" w:rsidRDefault="002612E4" w:rsidP="002612E4">
      <w:pPr>
        <w:jc w:val="both"/>
        <w:rPr>
          <w:rFonts w:ascii="Avenir Next" w:hAnsi="Avenir Next" w:cs="Arial"/>
          <w:sz w:val="22"/>
          <w:szCs w:val="22"/>
          <w:highlight w:val="cyan"/>
          <w:lang w:val="en-GB"/>
        </w:rPr>
      </w:pPr>
    </w:p>
    <w:p w14:paraId="7CB1923A" w14:textId="4FE98AB6" w:rsidR="002612E4" w:rsidRDefault="002612E4" w:rsidP="002612E4">
      <w:pPr>
        <w:jc w:val="both"/>
        <w:rPr>
          <w:rFonts w:ascii="Avenir Next" w:hAnsi="Avenir Next" w:cs="Arial"/>
          <w:color w:val="808080" w:themeColor="background1" w:themeShade="80"/>
          <w:sz w:val="22"/>
          <w:szCs w:val="22"/>
          <w:lang w:val="en-GB"/>
        </w:rPr>
      </w:pPr>
      <w:r w:rsidRPr="002612E4">
        <w:rPr>
          <w:rFonts w:ascii="Avenir Next" w:hAnsi="Avenir Next" w:cs="Arial"/>
          <w:color w:val="808080" w:themeColor="background1" w:themeShade="80"/>
          <w:sz w:val="22"/>
          <w:szCs w:val="22"/>
          <w:lang w:val="en-GB"/>
        </w:rPr>
        <w:t>The EIR</w:t>
      </w:r>
      <w:r>
        <w:rPr>
          <w:rFonts w:ascii="Avenir Next" w:hAnsi="Avenir Next" w:cs="Arial"/>
          <w:color w:val="808080" w:themeColor="background1" w:themeShade="80"/>
          <w:sz w:val="22"/>
          <w:szCs w:val="22"/>
          <w:lang w:val="en-GB"/>
        </w:rPr>
        <w:t xml:space="preserve"> provides that the COMI (canter of main interests) of the EU’s members is the key to allocate jurisdictional competence.</w:t>
      </w:r>
      <w:r w:rsidR="00804972">
        <w:rPr>
          <w:rFonts w:ascii="Avenir Next" w:hAnsi="Avenir Next" w:cs="Arial"/>
          <w:color w:val="808080" w:themeColor="background1" w:themeShade="80"/>
          <w:sz w:val="22"/>
          <w:szCs w:val="22"/>
          <w:lang w:val="en-GB"/>
        </w:rPr>
        <w:t xml:space="preserve"> It</w:t>
      </w:r>
      <w:r>
        <w:rPr>
          <w:rFonts w:ascii="Avenir Next" w:hAnsi="Avenir Next" w:cs="Arial"/>
          <w:color w:val="808080" w:themeColor="background1" w:themeShade="80"/>
          <w:sz w:val="22"/>
          <w:szCs w:val="22"/>
          <w:lang w:val="en-GB"/>
        </w:rPr>
        <w:t xml:space="preserve"> also provides the possibility of subsidiary territorial proceedings in other member States</w:t>
      </w:r>
      <w:r w:rsidR="00804972">
        <w:rPr>
          <w:rFonts w:ascii="Avenir Next" w:hAnsi="Avenir Next" w:cs="Arial"/>
          <w:color w:val="808080" w:themeColor="background1" w:themeShade="80"/>
          <w:sz w:val="22"/>
          <w:szCs w:val="22"/>
          <w:lang w:val="en-GB"/>
        </w:rPr>
        <w:t>, provided that the debtor has a establishment in this location. The UK insol</w:t>
      </w:r>
      <w:r w:rsidR="000E0519">
        <w:rPr>
          <w:rFonts w:ascii="Avenir Next" w:hAnsi="Avenir Next" w:cs="Arial"/>
          <w:color w:val="808080" w:themeColor="background1" w:themeShade="80"/>
          <w:sz w:val="22"/>
          <w:szCs w:val="22"/>
          <w:lang w:val="en-GB"/>
        </w:rPr>
        <w:t xml:space="preserve">vency Act 1986, on the other hand, provides that English Courts have jurisdiction to wind-up a company formed in another state and that has carried on business in England. </w:t>
      </w:r>
      <w:r w:rsidR="00E118B7">
        <w:rPr>
          <w:rFonts w:ascii="Avenir Next" w:hAnsi="Avenir Next" w:cs="Arial"/>
          <w:color w:val="808080" w:themeColor="background1" w:themeShade="80"/>
          <w:sz w:val="22"/>
          <w:szCs w:val="22"/>
          <w:lang w:val="en-GB"/>
        </w:rPr>
        <w:t xml:space="preserve">Important to observe that English law applies to matters of procedures and substance, while a foreign law may govern aspects of the administration of the winding-up. </w:t>
      </w:r>
    </w:p>
    <w:p w14:paraId="44DD2854" w14:textId="73610A42" w:rsidR="002612E4" w:rsidRDefault="002612E4" w:rsidP="002612E4">
      <w:pPr>
        <w:jc w:val="both"/>
        <w:rPr>
          <w:rFonts w:ascii="Avenir Next" w:hAnsi="Avenir Next" w:cs="Arial"/>
          <w:color w:val="808080" w:themeColor="background1" w:themeShade="80"/>
          <w:sz w:val="22"/>
          <w:szCs w:val="22"/>
          <w:lang w:val="en-GB"/>
        </w:rPr>
      </w:pPr>
    </w:p>
    <w:p w14:paraId="6CD38DD2" w14:textId="77777777" w:rsidR="002612E4" w:rsidRPr="002612E4" w:rsidRDefault="002612E4" w:rsidP="002612E4">
      <w:pPr>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66A2" w14:textId="77777777" w:rsidR="00AD5141" w:rsidRDefault="00AD5141" w:rsidP="00241B44">
      <w:r>
        <w:separator/>
      </w:r>
    </w:p>
  </w:endnote>
  <w:endnote w:type="continuationSeparator" w:id="0">
    <w:p w14:paraId="724198C7" w14:textId="77777777" w:rsidR="00AD5141" w:rsidRDefault="00AD51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61FEAF8D" w:rsidR="00B64A85" w:rsidRPr="00297BDF" w:rsidRDefault="00886B6C" w:rsidP="0052732A">
    <w:pPr>
      <w:pStyle w:val="Rodap"/>
      <w:ind w:right="360"/>
      <w:rPr>
        <w:rFonts w:ascii="Avenir Next" w:hAnsi="Avenir Next" w:cs="Arial"/>
        <w:sz w:val="22"/>
        <w:szCs w:val="22"/>
      </w:rPr>
    </w:pPr>
    <w:r>
      <w:rPr>
        <w:rFonts w:ascii="Avenir Next" w:hAnsi="Avenir Next" w:cs="Arial"/>
        <w:sz w:val="22"/>
        <w:szCs w:val="22"/>
      </w:rPr>
      <w:t>202223-756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5FB9" w14:textId="77777777" w:rsidR="00AD5141" w:rsidRDefault="00AD5141" w:rsidP="00241B44">
      <w:r>
        <w:separator/>
      </w:r>
    </w:p>
  </w:footnote>
  <w:footnote w:type="continuationSeparator" w:id="0">
    <w:p w14:paraId="5E028368" w14:textId="77777777" w:rsidR="00AD5141" w:rsidRDefault="00AD5141" w:rsidP="00241B44">
      <w:r>
        <w:continuationSeparator/>
      </w:r>
    </w:p>
  </w:footnote>
  <w:footnote w:id="1">
    <w:p w14:paraId="45AFD557" w14:textId="20FE73A0" w:rsidR="009D5FD1" w:rsidRPr="0040533C" w:rsidRDefault="009D5FD1">
      <w:pPr>
        <w:pStyle w:val="Textodenotaderodap"/>
      </w:pPr>
      <w:r w:rsidRPr="0040533C">
        <w:rPr>
          <w:rStyle w:val="Refdenotaderodap"/>
        </w:rPr>
        <w:footnoteRef/>
      </w:r>
      <w:r w:rsidRPr="0040533C">
        <w:t xml:space="preserve"> </w:t>
      </w:r>
      <w:r w:rsidR="0040533C" w:rsidRPr="0040533C">
        <w:rPr>
          <w:i/>
          <w:iCs/>
          <w:color w:val="808080" w:themeColor="background1" w:themeShade="80"/>
        </w:rPr>
        <w:t xml:space="preserve">See </w:t>
      </w:r>
      <w:r w:rsidR="0040533C" w:rsidRPr="0040533C">
        <w:rPr>
          <w:color w:val="808080" w:themeColor="background1" w:themeShade="80"/>
        </w:rPr>
        <w:t>“</w:t>
      </w:r>
      <w:r w:rsidR="0040533C" w:rsidRPr="0040533C">
        <w:rPr>
          <w:i/>
          <w:iCs/>
          <w:color w:val="808080" w:themeColor="background1" w:themeShade="80"/>
        </w:rPr>
        <w:t>Insol International – Avoidance of Antecedent Transactions and Cross-Border Insolvency: Brazil</w:t>
      </w:r>
      <w:r w:rsidR="0040533C" w:rsidRPr="0040533C">
        <w:rPr>
          <w:color w:val="808080" w:themeColor="background1" w:themeShade="80"/>
        </w:rPr>
        <w:t>”.</w:t>
      </w:r>
    </w:p>
  </w:footnote>
  <w:footnote w:id="2">
    <w:p w14:paraId="56179330" w14:textId="56D08167" w:rsidR="00560E04" w:rsidRPr="00123D31" w:rsidRDefault="00560E04">
      <w:pPr>
        <w:pStyle w:val="Textodenotaderodap"/>
        <w:rPr>
          <w:i/>
          <w:iCs/>
        </w:rPr>
      </w:pPr>
      <w:r>
        <w:rPr>
          <w:rStyle w:val="Refdenotaderodap"/>
        </w:rPr>
        <w:footnoteRef/>
      </w:r>
      <w:r>
        <w:t xml:space="preserve"> </w:t>
      </w:r>
      <w:r w:rsidRPr="00123D31">
        <w:rPr>
          <w:i/>
          <w:iCs/>
        </w:rPr>
        <w:t>See, eg, JL Westbrook, “Choice of Avoidance Law in Global Insolvencies”, (1991), Brooklin Journal of International Law</w:t>
      </w:r>
      <w:r w:rsidR="00123D31" w:rsidRPr="00123D31">
        <w:rPr>
          <w:i/>
          <w:iCs/>
        </w:rPr>
        <w:t>, pp 449 to 538.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B61"/>
    <w:rsid w:val="00003D8F"/>
    <w:rsid w:val="0000420A"/>
    <w:rsid w:val="00004AE7"/>
    <w:rsid w:val="00007968"/>
    <w:rsid w:val="00010BA0"/>
    <w:rsid w:val="00015A27"/>
    <w:rsid w:val="00015EE6"/>
    <w:rsid w:val="00020557"/>
    <w:rsid w:val="0002322B"/>
    <w:rsid w:val="000250C7"/>
    <w:rsid w:val="00025C83"/>
    <w:rsid w:val="00031918"/>
    <w:rsid w:val="0003272C"/>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4AA8"/>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0F9A"/>
    <w:rsid w:val="000A68ED"/>
    <w:rsid w:val="000A74CA"/>
    <w:rsid w:val="000B5B93"/>
    <w:rsid w:val="000B5FF1"/>
    <w:rsid w:val="000B609F"/>
    <w:rsid w:val="000B6B56"/>
    <w:rsid w:val="000D55A8"/>
    <w:rsid w:val="000D57BE"/>
    <w:rsid w:val="000D6876"/>
    <w:rsid w:val="000E0165"/>
    <w:rsid w:val="000E0519"/>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3DD8"/>
    <w:rsid w:val="00105CBD"/>
    <w:rsid w:val="001107F2"/>
    <w:rsid w:val="0011095C"/>
    <w:rsid w:val="00110E0C"/>
    <w:rsid w:val="001131C6"/>
    <w:rsid w:val="0011473D"/>
    <w:rsid w:val="00115C85"/>
    <w:rsid w:val="001174E6"/>
    <w:rsid w:val="00120B4D"/>
    <w:rsid w:val="0012303D"/>
    <w:rsid w:val="00123855"/>
    <w:rsid w:val="00123D31"/>
    <w:rsid w:val="00124B70"/>
    <w:rsid w:val="00125A7C"/>
    <w:rsid w:val="00126A4D"/>
    <w:rsid w:val="00131D42"/>
    <w:rsid w:val="0013278B"/>
    <w:rsid w:val="00135FFC"/>
    <w:rsid w:val="00136505"/>
    <w:rsid w:val="0013757E"/>
    <w:rsid w:val="0014171F"/>
    <w:rsid w:val="0014622C"/>
    <w:rsid w:val="00150F6C"/>
    <w:rsid w:val="00152348"/>
    <w:rsid w:val="0015328F"/>
    <w:rsid w:val="0015456D"/>
    <w:rsid w:val="00161F1B"/>
    <w:rsid w:val="001620AF"/>
    <w:rsid w:val="00162829"/>
    <w:rsid w:val="0016472D"/>
    <w:rsid w:val="00164B28"/>
    <w:rsid w:val="001677CC"/>
    <w:rsid w:val="0017350E"/>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0BDD"/>
    <w:rsid w:val="001D1BF7"/>
    <w:rsid w:val="001D245D"/>
    <w:rsid w:val="001D4862"/>
    <w:rsid w:val="001D632F"/>
    <w:rsid w:val="001D7EF2"/>
    <w:rsid w:val="001E1C34"/>
    <w:rsid w:val="001E1FB4"/>
    <w:rsid w:val="001E23FD"/>
    <w:rsid w:val="001E25B9"/>
    <w:rsid w:val="001E392F"/>
    <w:rsid w:val="001E49E0"/>
    <w:rsid w:val="001E7B5A"/>
    <w:rsid w:val="001F098D"/>
    <w:rsid w:val="001F0BCF"/>
    <w:rsid w:val="001F1478"/>
    <w:rsid w:val="001F2310"/>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1DF3"/>
    <w:rsid w:val="00223780"/>
    <w:rsid w:val="0022719C"/>
    <w:rsid w:val="00231F38"/>
    <w:rsid w:val="002362AB"/>
    <w:rsid w:val="002400DB"/>
    <w:rsid w:val="002406A4"/>
    <w:rsid w:val="0024116D"/>
    <w:rsid w:val="00241B44"/>
    <w:rsid w:val="00245EFB"/>
    <w:rsid w:val="002526C5"/>
    <w:rsid w:val="002529D2"/>
    <w:rsid w:val="0025386E"/>
    <w:rsid w:val="00254AB3"/>
    <w:rsid w:val="002612E4"/>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346"/>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5C1"/>
    <w:rsid w:val="00330937"/>
    <w:rsid w:val="00330F31"/>
    <w:rsid w:val="003326F0"/>
    <w:rsid w:val="00332C55"/>
    <w:rsid w:val="00334648"/>
    <w:rsid w:val="00336CA6"/>
    <w:rsid w:val="0033768C"/>
    <w:rsid w:val="00337938"/>
    <w:rsid w:val="00340769"/>
    <w:rsid w:val="00341A65"/>
    <w:rsid w:val="00341AA6"/>
    <w:rsid w:val="00342E57"/>
    <w:rsid w:val="003500E5"/>
    <w:rsid w:val="00353C30"/>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33C"/>
    <w:rsid w:val="00405DC1"/>
    <w:rsid w:val="00410D57"/>
    <w:rsid w:val="00411E1B"/>
    <w:rsid w:val="00414BF9"/>
    <w:rsid w:val="00415DFF"/>
    <w:rsid w:val="00415F1F"/>
    <w:rsid w:val="0042108F"/>
    <w:rsid w:val="004214D4"/>
    <w:rsid w:val="004216EA"/>
    <w:rsid w:val="004235F4"/>
    <w:rsid w:val="0042518E"/>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560D"/>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5BCE"/>
    <w:rsid w:val="004B607C"/>
    <w:rsid w:val="004C1DA6"/>
    <w:rsid w:val="004C1FCA"/>
    <w:rsid w:val="004C5E4F"/>
    <w:rsid w:val="004C7030"/>
    <w:rsid w:val="004D1A5A"/>
    <w:rsid w:val="004D2FFF"/>
    <w:rsid w:val="004D3721"/>
    <w:rsid w:val="004D51F2"/>
    <w:rsid w:val="004D64F9"/>
    <w:rsid w:val="004D687E"/>
    <w:rsid w:val="004E1D03"/>
    <w:rsid w:val="004E3528"/>
    <w:rsid w:val="004E4224"/>
    <w:rsid w:val="004E5A14"/>
    <w:rsid w:val="004E622C"/>
    <w:rsid w:val="004E64DB"/>
    <w:rsid w:val="004E76FB"/>
    <w:rsid w:val="004F1534"/>
    <w:rsid w:val="004F2DD1"/>
    <w:rsid w:val="004F301B"/>
    <w:rsid w:val="004F3375"/>
    <w:rsid w:val="004F55F1"/>
    <w:rsid w:val="004F5FDF"/>
    <w:rsid w:val="0050085E"/>
    <w:rsid w:val="0050156C"/>
    <w:rsid w:val="00503550"/>
    <w:rsid w:val="00504AFA"/>
    <w:rsid w:val="005059A4"/>
    <w:rsid w:val="00515756"/>
    <w:rsid w:val="00515F63"/>
    <w:rsid w:val="005177FE"/>
    <w:rsid w:val="0052263B"/>
    <w:rsid w:val="00524728"/>
    <w:rsid w:val="00524840"/>
    <w:rsid w:val="00525459"/>
    <w:rsid w:val="00525C99"/>
    <w:rsid w:val="00525C9C"/>
    <w:rsid w:val="0052732A"/>
    <w:rsid w:val="00527527"/>
    <w:rsid w:val="00530010"/>
    <w:rsid w:val="00530CA0"/>
    <w:rsid w:val="00532283"/>
    <w:rsid w:val="005323A7"/>
    <w:rsid w:val="005331CA"/>
    <w:rsid w:val="005337E0"/>
    <w:rsid w:val="0053523A"/>
    <w:rsid w:val="00537970"/>
    <w:rsid w:val="00540E3A"/>
    <w:rsid w:val="00541936"/>
    <w:rsid w:val="00542E08"/>
    <w:rsid w:val="005433D7"/>
    <w:rsid w:val="00543941"/>
    <w:rsid w:val="00544127"/>
    <w:rsid w:val="005508BB"/>
    <w:rsid w:val="00553EB2"/>
    <w:rsid w:val="00555C4D"/>
    <w:rsid w:val="00560534"/>
    <w:rsid w:val="00560E0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04A5"/>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349E"/>
    <w:rsid w:val="006746CB"/>
    <w:rsid w:val="00677AEB"/>
    <w:rsid w:val="00680EF2"/>
    <w:rsid w:val="00682A3E"/>
    <w:rsid w:val="006850AE"/>
    <w:rsid w:val="00686C53"/>
    <w:rsid w:val="00687A1D"/>
    <w:rsid w:val="00691ECF"/>
    <w:rsid w:val="00692852"/>
    <w:rsid w:val="00697EA1"/>
    <w:rsid w:val="006A051A"/>
    <w:rsid w:val="006A2646"/>
    <w:rsid w:val="006A6530"/>
    <w:rsid w:val="006A695F"/>
    <w:rsid w:val="006A6D1D"/>
    <w:rsid w:val="006A781B"/>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4B30"/>
    <w:rsid w:val="006E5298"/>
    <w:rsid w:val="006E6A1F"/>
    <w:rsid w:val="006E6A6A"/>
    <w:rsid w:val="006E77B0"/>
    <w:rsid w:val="006F6B2E"/>
    <w:rsid w:val="006F734A"/>
    <w:rsid w:val="00700D83"/>
    <w:rsid w:val="00703CAB"/>
    <w:rsid w:val="00704852"/>
    <w:rsid w:val="00704C24"/>
    <w:rsid w:val="00705A77"/>
    <w:rsid w:val="007074E9"/>
    <w:rsid w:val="00707954"/>
    <w:rsid w:val="00707BC5"/>
    <w:rsid w:val="00713CA6"/>
    <w:rsid w:val="00713DA4"/>
    <w:rsid w:val="007142FA"/>
    <w:rsid w:val="00714BF1"/>
    <w:rsid w:val="00717441"/>
    <w:rsid w:val="00721383"/>
    <w:rsid w:val="007216AD"/>
    <w:rsid w:val="00726E9A"/>
    <w:rsid w:val="00727864"/>
    <w:rsid w:val="00731BF8"/>
    <w:rsid w:val="007333CC"/>
    <w:rsid w:val="007335D8"/>
    <w:rsid w:val="0073399A"/>
    <w:rsid w:val="007369C7"/>
    <w:rsid w:val="00741D74"/>
    <w:rsid w:val="00743531"/>
    <w:rsid w:val="007452BB"/>
    <w:rsid w:val="007462D9"/>
    <w:rsid w:val="00746A22"/>
    <w:rsid w:val="00751986"/>
    <w:rsid w:val="0075428A"/>
    <w:rsid w:val="00756ABD"/>
    <w:rsid w:val="007576A3"/>
    <w:rsid w:val="00757EDD"/>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87B7C"/>
    <w:rsid w:val="00790B4C"/>
    <w:rsid w:val="0079206E"/>
    <w:rsid w:val="00793173"/>
    <w:rsid w:val="00793914"/>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972"/>
    <w:rsid w:val="00804C32"/>
    <w:rsid w:val="00806302"/>
    <w:rsid w:val="00807119"/>
    <w:rsid w:val="008071D5"/>
    <w:rsid w:val="00807FE8"/>
    <w:rsid w:val="00811865"/>
    <w:rsid w:val="00814A55"/>
    <w:rsid w:val="0081547D"/>
    <w:rsid w:val="0082483F"/>
    <w:rsid w:val="00827265"/>
    <w:rsid w:val="00827849"/>
    <w:rsid w:val="008279C0"/>
    <w:rsid w:val="00832FA2"/>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5DBC"/>
    <w:rsid w:val="00886B6C"/>
    <w:rsid w:val="008901AC"/>
    <w:rsid w:val="00890ED2"/>
    <w:rsid w:val="0089145D"/>
    <w:rsid w:val="00896FD7"/>
    <w:rsid w:val="00897428"/>
    <w:rsid w:val="00897BAC"/>
    <w:rsid w:val="008A15DA"/>
    <w:rsid w:val="008A30C3"/>
    <w:rsid w:val="008A30EE"/>
    <w:rsid w:val="008A4DF2"/>
    <w:rsid w:val="008A6841"/>
    <w:rsid w:val="008A6CFE"/>
    <w:rsid w:val="008B40E7"/>
    <w:rsid w:val="008B4681"/>
    <w:rsid w:val="008B4B58"/>
    <w:rsid w:val="008B5333"/>
    <w:rsid w:val="008B5476"/>
    <w:rsid w:val="008B6223"/>
    <w:rsid w:val="008C0057"/>
    <w:rsid w:val="008C0772"/>
    <w:rsid w:val="008C165D"/>
    <w:rsid w:val="008C4066"/>
    <w:rsid w:val="008C4A1F"/>
    <w:rsid w:val="008C60F8"/>
    <w:rsid w:val="008C66E0"/>
    <w:rsid w:val="008D0122"/>
    <w:rsid w:val="008D3E17"/>
    <w:rsid w:val="008D5D34"/>
    <w:rsid w:val="008D6C1F"/>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7A62"/>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473A"/>
    <w:rsid w:val="009A5354"/>
    <w:rsid w:val="009A54EF"/>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5FD1"/>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016"/>
    <w:rsid w:val="00AA0E39"/>
    <w:rsid w:val="00AA125D"/>
    <w:rsid w:val="00AA1F76"/>
    <w:rsid w:val="00AA23CE"/>
    <w:rsid w:val="00AA2CBD"/>
    <w:rsid w:val="00AA5888"/>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36B7"/>
    <w:rsid w:val="00AD5141"/>
    <w:rsid w:val="00AD57A5"/>
    <w:rsid w:val="00AD65A8"/>
    <w:rsid w:val="00AD74AD"/>
    <w:rsid w:val="00AD7A9A"/>
    <w:rsid w:val="00AE027F"/>
    <w:rsid w:val="00AE4D6F"/>
    <w:rsid w:val="00AF228E"/>
    <w:rsid w:val="00AF455B"/>
    <w:rsid w:val="00AF5899"/>
    <w:rsid w:val="00B0123F"/>
    <w:rsid w:val="00B020E2"/>
    <w:rsid w:val="00B04004"/>
    <w:rsid w:val="00B12F13"/>
    <w:rsid w:val="00B14819"/>
    <w:rsid w:val="00B17AA9"/>
    <w:rsid w:val="00B221FF"/>
    <w:rsid w:val="00B2292D"/>
    <w:rsid w:val="00B26914"/>
    <w:rsid w:val="00B26B31"/>
    <w:rsid w:val="00B30A68"/>
    <w:rsid w:val="00B30A70"/>
    <w:rsid w:val="00B32674"/>
    <w:rsid w:val="00B333FE"/>
    <w:rsid w:val="00B3503B"/>
    <w:rsid w:val="00B378FA"/>
    <w:rsid w:val="00B42352"/>
    <w:rsid w:val="00B51227"/>
    <w:rsid w:val="00B51975"/>
    <w:rsid w:val="00B52E4D"/>
    <w:rsid w:val="00B54F90"/>
    <w:rsid w:val="00B55C9E"/>
    <w:rsid w:val="00B56185"/>
    <w:rsid w:val="00B56B95"/>
    <w:rsid w:val="00B607DF"/>
    <w:rsid w:val="00B6409C"/>
    <w:rsid w:val="00B64845"/>
    <w:rsid w:val="00B64A85"/>
    <w:rsid w:val="00B66053"/>
    <w:rsid w:val="00B7193E"/>
    <w:rsid w:val="00B72999"/>
    <w:rsid w:val="00B72FD7"/>
    <w:rsid w:val="00B730D1"/>
    <w:rsid w:val="00B73647"/>
    <w:rsid w:val="00B736DF"/>
    <w:rsid w:val="00B74FBD"/>
    <w:rsid w:val="00B816BA"/>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614D"/>
    <w:rsid w:val="00C00231"/>
    <w:rsid w:val="00C01017"/>
    <w:rsid w:val="00C02F29"/>
    <w:rsid w:val="00C04632"/>
    <w:rsid w:val="00C07B0B"/>
    <w:rsid w:val="00C15A16"/>
    <w:rsid w:val="00C1724E"/>
    <w:rsid w:val="00C20337"/>
    <w:rsid w:val="00C20AFE"/>
    <w:rsid w:val="00C22A25"/>
    <w:rsid w:val="00C26092"/>
    <w:rsid w:val="00C26E4B"/>
    <w:rsid w:val="00C31102"/>
    <w:rsid w:val="00C31C63"/>
    <w:rsid w:val="00C33C84"/>
    <w:rsid w:val="00C3453F"/>
    <w:rsid w:val="00C3454C"/>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2AB0"/>
    <w:rsid w:val="00C750BA"/>
    <w:rsid w:val="00C7736C"/>
    <w:rsid w:val="00C80272"/>
    <w:rsid w:val="00C82D87"/>
    <w:rsid w:val="00C8712A"/>
    <w:rsid w:val="00C9036D"/>
    <w:rsid w:val="00C92A0D"/>
    <w:rsid w:val="00C952A2"/>
    <w:rsid w:val="00C963D3"/>
    <w:rsid w:val="00CA1802"/>
    <w:rsid w:val="00CB262C"/>
    <w:rsid w:val="00CB2CBB"/>
    <w:rsid w:val="00CB7283"/>
    <w:rsid w:val="00CB7CAC"/>
    <w:rsid w:val="00CC0668"/>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54FE"/>
    <w:rsid w:val="00D4685B"/>
    <w:rsid w:val="00D57C59"/>
    <w:rsid w:val="00D60215"/>
    <w:rsid w:val="00D60874"/>
    <w:rsid w:val="00D63EFD"/>
    <w:rsid w:val="00D6588F"/>
    <w:rsid w:val="00D676F1"/>
    <w:rsid w:val="00D714E4"/>
    <w:rsid w:val="00D74D29"/>
    <w:rsid w:val="00D76B11"/>
    <w:rsid w:val="00D829EB"/>
    <w:rsid w:val="00D84752"/>
    <w:rsid w:val="00D86A74"/>
    <w:rsid w:val="00D86B3B"/>
    <w:rsid w:val="00D86BC6"/>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33A2"/>
    <w:rsid w:val="00DE475E"/>
    <w:rsid w:val="00DE6633"/>
    <w:rsid w:val="00DF056D"/>
    <w:rsid w:val="00DF4D51"/>
    <w:rsid w:val="00DF687B"/>
    <w:rsid w:val="00DF75F8"/>
    <w:rsid w:val="00DF7A3A"/>
    <w:rsid w:val="00DF7AD4"/>
    <w:rsid w:val="00E009E1"/>
    <w:rsid w:val="00E00C00"/>
    <w:rsid w:val="00E00E54"/>
    <w:rsid w:val="00E01C69"/>
    <w:rsid w:val="00E03E6E"/>
    <w:rsid w:val="00E041F9"/>
    <w:rsid w:val="00E05837"/>
    <w:rsid w:val="00E07C5A"/>
    <w:rsid w:val="00E10A73"/>
    <w:rsid w:val="00E118B7"/>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263B"/>
    <w:rsid w:val="00E6302B"/>
    <w:rsid w:val="00E6452F"/>
    <w:rsid w:val="00E64F45"/>
    <w:rsid w:val="00E6525B"/>
    <w:rsid w:val="00E65531"/>
    <w:rsid w:val="00E6742D"/>
    <w:rsid w:val="00E718C7"/>
    <w:rsid w:val="00E71CB0"/>
    <w:rsid w:val="00E73494"/>
    <w:rsid w:val="00E7537E"/>
    <w:rsid w:val="00E7793C"/>
    <w:rsid w:val="00E77C3D"/>
    <w:rsid w:val="00E80299"/>
    <w:rsid w:val="00E810C4"/>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3CA5"/>
    <w:rsid w:val="00EB45AC"/>
    <w:rsid w:val="00EB488B"/>
    <w:rsid w:val="00EB6668"/>
    <w:rsid w:val="00EB6A2F"/>
    <w:rsid w:val="00EC3875"/>
    <w:rsid w:val="00EC40CB"/>
    <w:rsid w:val="00EC549E"/>
    <w:rsid w:val="00EC6E55"/>
    <w:rsid w:val="00EC73CB"/>
    <w:rsid w:val="00ED0BC4"/>
    <w:rsid w:val="00ED151E"/>
    <w:rsid w:val="00ED3CDA"/>
    <w:rsid w:val="00ED617A"/>
    <w:rsid w:val="00EE1A0E"/>
    <w:rsid w:val="00EE4971"/>
    <w:rsid w:val="00EE5A48"/>
    <w:rsid w:val="00EE5F7D"/>
    <w:rsid w:val="00EE6390"/>
    <w:rsid w:val="00EE7278"/>
    <w:rsid w:val="00EF090E"/>
    <w:rsid w:val="00EF16B6"/>
    <w:rsid w:val="00EF17E9"/>
    <w:rsid w:val="00EF1B1A"/>
    <w:rsid w:val="00EF2D08"/>
    <w:rsid w:val="00EF54D7"/>
    <w:rsid w:val="00EF5705"/>
    <w:rsid w:val="00EF6653"/>
    <w:rsid w:val="00F033DA"/>
    <w:rsid w:val="00F0424E"/>
    <w:rsid w:val="00F05224"/>
    <w:rsid w:val="00F106CE"/>
    <w:rsid w:val="00F1096A"/>
    <w:rsid w:val="00F12AA4"/>
    <w:rsid w:val="00F12F7B"/>
    <w:rsid w:val="00F13FB1"/>
    <w:rsid w:val="00F15181"/>
    <w:rsid w:val="00F1640B"/>
    <w:rsid w:val="00F2025D"/>
    <w:rsid w:val="00F20842"/>
    <w:rsid w:val="00F27CD8"/>
    <w:rsid w:val="00F30351"/>
    <w:rsid w:val="00F3096A"/>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2F8"/>
    <w:rsid w:val="00F95955"/>
    <w:rsid w:val="00F96AF1"/>
    <w:rsid w:val="00F97C5B"/>
    <w:rsid w:val="00FA0F70"/>
    <w:rsid w:val="00FA29FD"/>
    <w:rsid w:val="00FA2A46"/>
    <w:rsid w:val="00FA3739"/>
    <w:rsid w:val="00FA3D50"/>
    <w:rsid w:val="00FA43E7"/>
    <w:rsid w:val="00FA7963"/>
    <w:rsid w:val="00FB2B6D"/>
    <w:rsid w:val="00FB2C81"/>
    <w:rsid w:val="00FB65FB"/>
    <w:rsid w:val="00FB6703"/>
    <w:rsid w:val="00FB7C8F"/>
    <w:rsid w:val="00FB7D52"/>
    <w:rsid w:val="00FC2741"/>
    <w:rsid w:val="00FC30E1"/>
    <w:rsid w:val="00FC330F"/>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E6D3F"/>
    <w:rsid w:val="00FF0D81"/>
    <w:rsid w:val="00FF22DC"/>
    <w:rsid w:val="00FF296F"/>
    <w:rsid w:val="00FF332F"/>
    <w:rsid w:val="00FF3529"/>
    <w:rsid w:val="00FF374B"/>
    <w:rsid w:val="00FF4F6C"/>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3819</Words>
  <Characters>20623</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Pinheiro Neto Advogados</cp:lastModifiedBy>
  <cp:revision>29</cp:revision>
  <cp:lastPrinted>2020-06-12T02:43:00Z</cp:lastPrinted>
  <dcterms:created xsi:type="dcterms:W3CDTF">2022-07-27T13:31:00Z</dcterms:created>
  <dcterms:modified xsi:type="dcterms:W3CDTF">2022-11-12T11:12:00Z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