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bookmarkStart w:id="0" w:name="_GoBack"/>
      <w:bookmarkEnd w:id="0"/>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570D02" w:rsidRDefault="002D2356" w:rsidP="008071D5">
      <w:pPr>
        <w:pStyle w:val="ListParagraph"/>
        <w:numPr>
          <w:ilvl w:val="0"/>
          <w:numId w:val="15"/>
        </w:numPr>
        <w:ind w:left="425" w:hanging="357"/>
        <w:jc w:val="both"/>
        <w:rPr>
          <w:rFonts w:ascii="Avenir Next" w:hAnsi="Avenir Next" w:cs="Arial"/>
          <w:sz w:val="22"/>
          <w:szCs w:val="22"/>
          <w:highlight w:val="yellow"/>
        </w:rPr>
      </w:pPr>
      <w:r w:rsidRPr="00570D02">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570D02">
        <w:rPr>
          <w:rFonts w:ascii="Avenir Next" w:hAnsi="Avenir Next" w:cs="Arial"/>
          <w:sz w:val="22"/>
          <w:szCs w:val="22"/>
          <w:highlight w:val="yellow"/>
          <w:vertAlign w:val="superscript"/>
        </w:rPr>
        <w:t>th</w:t>
      </w:r>
      <w:r w:rsidRPr="00570D02">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570D02" w:rsidRDefault="002D2356" w:rsidP="008071D5">
      <w:pPr>
        <w:pStyle w:val="ListParagraph"/>
        <w:numPr>
          <w:ilvl w:val="0"/>
          <w:numId w:val="16"/>
        </w:numPr>
        <w:ind w:left="426"/>
        <w:jc w:val="both"/>
        <w:rPr>
          <w:rFonts w:ascii="Avenir Next" w:hAnsi="Avenir Next" w:cs="Arial"/>
          <w:sz w:val="22"/>
          <w:szCs w:val="22"/>
          <w:highlight w:val="yellow"/>
        </w:rPr>
      </w:pPr>
      <w:r w:rsidRPr="00570D02">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570D02" w:rsidRDefault="002D2356" w:rsidP="008071D5">
      <w:pPr>
        <w:pStyle w:val="ListParagraph"/>
        <w:numPr>
          <w:ilvl w:val="0"/>
          <w:numId w:val="17"/>
        </w:numPr>
        <w:ind w:left="426"/>
        <w:jc w:val="both"/>
        <w:rPr>
          <w:rFonts w:ascii="Avenir Next" w:hAnsi="Avenir Next" w:cs="Arial"/>
          <w:sz w:val="22"/>
          <w:szCs w:val="22"/>
          <w:highlight w:val="yellow"/>
        </w:rPr>
      </w:pPr>
      <w:r w:rsidRPr="00570D02">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570D02" w:rsidRDefault="00466ED6" w:rsidP="008071D5">
      <w:pPr>
        <w:pStyle w:val="ListParagraph"/>
        <w:numPr>
          <w:ilvl w:val="0"/>
          <w:numId w:val="18"/>
        </w:numPr>
        <w:ind w:left="426"/>
        <w:jc w:val="both"/>
        <w:rPr>
          <w:rFonts w:ascii="Avenir Next" w:hAnsi="Avenir Next" w:cs="Arial"/>
          <w:sz w:val="22"/>
          <w:szCs w:val="22"/>
          <w:highlight w:val="yellow"/>
        </w:rPr>
      </w:pPr>
      <w:r w:rsidRPr="00570D02">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570D02" w:rsidRDefault="002D2356" w:rsidP="008071D5">
      <w:pPr>
        <w:pStyle w:val="ListParagraph"/>
        <w:numPr>
          <w:ilvl w:val="0"/>
          <w:numId w:val="19"/>
        </w:numPr>
        <w:ind w:left="425" w:hanging="357"/>
        <w:jc w:val="both"/>
        <w:rPr>
          <w:rFonts w:ascii="Avenir Next" w:hAnsi="Avenir Next" w:cs="Arial"/>
          <w:sz w:val="22"/>
          <w:szCs w:val="22"/>
          <w:highlight w:val="yellow"/>
        </w:rPr>
      </w:pPr>
      <w:r w:rsidRPr="00570D02">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570D02"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570D02">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570D02"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570D02">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570D02">
        <w:rPr>
          <w:rFonts w:ascii="Avenir Next" w:eastAsiaTheme="minorHAnsi" w:hAnsi="Avenir Next" w:cs="Arial"/>
          <w:sz w:val="22"/>
          <w:szCs w:val="22"/>
          <w:highlight w:val="yellow"/>
          <w:lang w:val="en-GB"/>
        </w:rPr>
        <w:t xml:space="preserve"> </w:t>
      </w:r>
      <w:r w:rsidRPr="00570D02">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570D02"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570D02">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570D02" w:rsidRDefault="00F5239B" w:rsidP="008071D5">
      <w:pPr>
        <w:pStyle w:val="ListParagraph"/>
        <w:numPr>
          <w:ilvl w:val="0"/>
          <w:numId w:val="23"/>
        </w:numPr>
        <w:ind w:left="426"/>
        <w:jc w:val="both"/>
        <w:rPr>
          <w:rFonts w:ascii="Avenir Next" w:hAnsi="Avenir Next" w:cs="Arial"/>
          <w:sz w:val="22"/>
          <w:szCs w:val="22"/>
          <w:highlight w:val="yellow"/>
        </w:rPr>
      </w:pPr>
      <w:r w:rsidRPr="00570D02">
        <w:rPr>
          <w:rFonts w:ascii="Avenir Next" w:hAnsi="Avenir Next" w:cs="Arial"/>
          <w:sz w:val="22"/>
          <w:szCs w:val="22"/>
          <w:highlight w:val="yellow"/>
        </w:rPr>
        <w:t xml:space="preserve">This statement is true because </w:t>
      </w:r>
      <w:r w:rsidR="007B5180" w:rsidRPr="00570D02">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570D02" w:rsidRDefault="009355DB" w:rsidP="008071D5">
      <w:pPr>
        <w:pStyle w:val="ListParagraph"/>
        <w:numPr>
          <w:ilvl w:val="0"/>
          <w:numId w:val="24"/>
        </w:numPr>
        <w:ind w:left="426"/>
        <w:jc w:val="both"/>
        <w:rPr>
          <w:rFonts w:ascii="Avenir Next" w:hAnsi="Avenir Next" w:cs="Arial"/>
          <w:sz w:val="22"/>
          <w:szCs w:val="22"/>
          <w:highlight w:val="yellow"/>
        </w:rPr>
      </w:pPr>
      <w:r w:rsidRPr="00570D02">
        <w:rPr>
          <w:rFonts w:ascii="Avenir Next" w:hAnsi="Avenir Next" w:cs="Arial"/>
          <w:sz w:val="22"/>
          <w:szCs w:val="22"/>
          <w:highlight w:val="yellow"/>
        </w:rPr>
        <w:t xml:space="preserve">This statement is true because </w:t>
      </w:r>
      <w:r w:rsidR="005C4FF2" w:rsidRPr="00570D02">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1EA0F850" w:rsidR="0081547D" w:rsidRDefault="009F2F56" w:rsidP="009F2F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Typically, the historical roots of the various insolvency law systems of African jurisdictions can be found in the laws of the colonial powers that once exerted control over those countries.</w:t>
      </w:r>
    </w:p>
    <w:p w14:paraId="64BE037D" w14:textId="77777777" w:rsidR="009F2F56" w:rsidRDefault="009F2F56" w:rsidP="009F2F56">
      <w:pPr>
        <w:jc w:val="both"/>
        <w:rPr>
          <w:rFonts w:ascii="Avenir Next" w:hAnsi="Avenir Next" w:cs="Arial"/>
          <w:color w:val="808080" w:themeColor="background1" w:themeShade="80"/>
          <w:sz w:val="22"/>
          <w:szCs w:val="22"/>
          <w:lang w:val="en-GB"/>
        </w:rPr>
      </w:pPr>
    </w:p>
    <w:p w14:paraId="2AB96948" w14:textId="3BA78E27" w:rsidR="009F2F56" w:rsidRDefault="009F2F56" w:rsidP="009F2F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instance, various African jurisdictions</w:t>
      </w:r>
      <w:r w:rsidR="006B264B">
        <w:rPr>
          <w:rFonts w:ascii="Avenir Next" w:hAnsi="Avenir Next" w:cs="Arial"/>
          <w:color w:val="808080" w:themeColor="background1" w:themeShade="80"/>
          <w:sz w:val="22"/>
          <w:szCs w:val="22"/>
          <w:lang w:val="en-GB"/>
        </w:rPr>
        <w:t>' insolvency law systems</w:t>
      </w:r>
      <w:r>
        <w:rPr>
          <w:rFonts w:ascii="Avenir Next" w:hAnsi="Avenir Next" w:cs="Arial"/>
          <w:color w:val="808080" w:themeColor="background1" w:themeShade="80"/>
          <w:sz w:val="22"/>
          <w:szCs w:val="22"/>
          <w:lang w:val="en-GB"/>
        </w:rPr>
        <w:t xml:space="preserve"> have their historical roots in:</w:t>
      </w:r>
    </w:p>
    <w:p w14:paraId="6C6F6173" w14:textId="77777777" w:rsidR="009F2F56" w:rsidRDefault="009F2F56" w:rsidP="009F2F56">
      <w:pPr>
        <w:jc w:val="both"/>
        <w:rPr>
          <w:rFonts w:ascii="Avenir Next" w:hAnsi="Avenir Next" w:cs="Arial"/>
          <w:color w:val="808080" w:themeColor="background1" w:themeShade="80"/>
          <w:sz w:val="22"/>
          <w:szCs w:val="22"/>
          <w:lang w:val="en-GB"/>
        </w:rPr>
      </w:pPr>
    </w:p>
    <w:p w14:paraId="6D5B2976" w14:textId="4ACE6B56" w:rsidR="009F2F56" w:rsidRDefault="000B5BD7" w:rsidP="009F2F56">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English common law tradition's insolvency law system (</w:t>
      </w:r>
      <w:r w:rsidR="009F2F56" w:rsidRPr="009F2F56">
        <w:rPr>
          <w:rFonts w:ascii="Avenir Next" w:hAnsi="Avenir Next" w:cs="Arial"/>
          <w:color w:val="808080" w:themeColor="background1" w:themeShade="80"/>
          <w:sz w:val="22"/>
          <w:szCs w:val="22"/>
          <w:lang w:val="en-GB"/>
        </w:rPr>
        <w:t>including Nigeria, Kenya, Botswana, Zam</w:t>
      </w:r>
      <w:r>
        <w:rPr>
          <w:rFonts w:ascii="Avenir Next" w:hAnsi="Avenir Next" w:cs="Arial"/>
          <w:color w:val="808080" w:themeColor="background1" w:themeShade="80"/>
          <w:sz w:val="22"/>
          <w:szCs w:val="22"/>
          <w:lang w:val="en-GB"/>
        </w:rPr>
        <w:t>bia, Tan</w:t>
      </w:r>
      <w:r w:rsidR="009F2F56" w:rsidRPr="009F2F56">
        <w:rPr>
          <w:rFonts w:ascii="Avenir Next" w:hAnsi="Avenir Next" w:cs="Arial"/>
          <w:color w:val="808080" w:themeColor="background1" w:themeShade="80"/>
          <w:sz w:val="22"/>
          <w:szCs w:val="22"/>
          <w:lang w:val="en-GB"/>
        </w:rPr>
        <w:t>zania and other east-African countries</w:t>
      </w:r>
      <w:r>
        <w:rPr>
          <w:rFonts w:ascii="Avenir Next" w:hAnsi="Avenir Next" w:cs="Arial"/>
          <w:color w:val="808080" w:themeColor="background1" w:themeShade="80"/>
          <w:sz w:val="22"/>
          <w:szCs w:val="22"/>
          <w:lang w:val="en-GB"/>
        </w:rPr>
        <w:t>);</w:t>
      </w:r>
    </w:p>
    <w:p w14:paraId="1224D8C9" w14:textId="1DDBA766" w:rsidR="000B5BD7" w:rsidRDefault="000B5BD7" w:rsidP="009F2F56">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civil law systems</w:t>
      </w:r>
      <w:r w:rsidR="006B264B">
        <w:rPr>
          <w:rFonts w:ascii="Avenir Next" w:hAnsi="Avenir Next" w:cs="Arial"/>
          <w:color w:val="808080" w:themeColor="background1" w:themeShade="80"/>
          <w:sz w:val="22"/>
          <w:szCs w:val="22"/>
          <w:lang w:val="en-GB"/>
        </w:rPr>
        <w:t>' insolvency laws</w:t>
      </w:r>
      <w:r>
        <w:rPr>
          <w:rFonts w:ascii="Avenir Next" w:hAnsi="Avenir Next" w:cs="Arial"/>
          <w:color w:val="808080" w:themeColor="background1" w:themeShade="80"/>
          <w:sz w:val="22"/>
          <w:szCs w:val="22"/>
          <w:lang w:val="en-GB"/>
        </w:rPr>
        <w:t>, owing to European civil law jurisdictions with colonial influence in Africa, including France (being mostly west-African countries such as Senegal and Burkina Faso) and Portugal (such as Angola and Mozambique)</w:t>
      </w:r>
      <w:r w:rsidR="006B264B">
        <w:rPr>
          <w:rFonts w:ascii="Avenir Next" w:hAnsi="Avenir Next" w:cs="Arial"/>
          <w:color w:val="808080" w:themeColor="background1" w:themeShade="80"/>
          <w:sz w:val="22"/>
          <w:szCs w:val="22"/>
          <w:lang w:val="en-GB"/>
        </w:rPr>
        <w:t>; and</w:t>
      </w:r>
    </w:p>
    <w:p w14:paraId="0767E6B2" w14:textId="63BF6CDA" w:rsidR="006B264B" w:rsidRDefault="006B264B" w:rsidP="009F2F56">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hybrid of the English common law tradition's insolvency system and civil law systems' insolvency laws</w:t>
      </w:r>
      <w:r w:rsidR="00DA0B84">
        <w:rPr>
          <w:rFonts w:ascii="Avenir Next" w:hAnsi="Avenir Next" w:cs="Arial"/>
          <w:color w:val="808080" w:themeColor="background1" w:themeShade="80"/>
          <w:sz w:val="22"/>
          <w:szCs w:val="22"/>
          <w:lang w:val="en-GB"/>
        </w:rPr>
        <w:t>, where multiple former colonial powers have exerted influence</w:t>
      </w:r>
      <w:r>
        <w:rPr>
          <w:rFonts w:ascii="Avenir Next" w:hAnsi="Avenir Next" w:cs="Arial"/>
          <w:color w:val="808080" w:themeColor="background1" w:themeShade="80"/>
          <w:sz w:val="22"/>
          <w:szCs w:val="22"/>
          <w:lang w:val="en-GB"/>
        </w:rPr>
        <w:t xml:space="preserve">:  for instance, South Africa's insolvency law has been </w:t>
      </w:r>
      <w:r w:rsidR="00DA0B84">
        <w:rPr>
          <w:rFonts w:ascii="Avenir Next" w:hAnsi="Avenir Next" w:cs="Arial"/>
          <w:color w:val="808080" w:themeColor="background1" w:themeShade="80"/>
          <w:sz w:val="22"/>
          <w:szCs w:val="22"/>
          <w:lang w:val="en-GB"/>
        </w:rPr>
        <w:t xml:space="preserve">impacted by both </w:t>
      </w:r>
      <w:r>
        <w:rPr>
          <w:rFonts w:ascii="Avenir Next" w:hAnsi="Avenir Next" w:cs="Arial"/>
          <w:color w:val="808080" w:themeColor="background1" w:themeShade="80"/>
          <w:sz w:val="22"/>
          <w:szCs w:val="22"/>
          <w:lang w:val="en-GB"/>
        </w:rPr>
        <w:t>Netherlands and England</w:t>
      </w:r>
      <w:r w:rsidR="00DA0B84">
        <w:rPr>
          <w:rFonts w:ascii="Avenir Next" w:hAnsi="Avenir Next" w:cs="Arial"/>
          <w:color w:val="808080" w:themeColor="background1" w:themeShade="80"/>
          <w:sz w:val="22"/>
          <w:szCs w:val="22"/>
          <w:lang w:val="en-GB"/>
        </w:rPr>
        <w:t>.</w:t>
      </w:r>
    </w:p>
    <w:p w14:paraId="4AFCEA90" w14:textId="77777777" w:rsidR="00DA0B84" w:rsidRDefault="00DA0B84" w:rsidP="00DA0B84">
      <w:pPr>
        <w:jc w:val="both"/>
        <w:rPr>
          <w:rFonts w:ascii="Avenir Next" w:hAnsi="Avenir Next" w:cs="Arial"/>
          <w:color w:val="808080" w:themeColor="background1" w:themeShade="80"/>
          <w:sz w:val="22"/>
          <w:szCs w:val="22"/>
          <w:lang w:val="en-GB"/>
        </w:rPr>
      </w:pPr>
    </w:p>
    <w:p w14:paraId="4A7426A6" w14:textId="62EF159A" w:rsidR="00DA0B84" w:rsidRPr="00DA0B84" w:rsidRDefault="00DA0B84" w:rsidP="00DA0B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Those African jurisdictions' insolvency laws' historical roots have tended to be reflected in iterative legislation that has built upon the old laws imported from European colonial powers as outlined above.  That being said, some African States have begun to put into effect more modern insolvency laws.</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28200B88" w:rsidR="00AB63DE" w:rsidRDefault="005F50B1"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1997-8 financial crisis that affected eastern Asian (including notably South Korea, Thailand, Malaysia, Indonesia and Singapore) gave impetus to movements for insolvency law reforms, including Thailand's overhauling of its bankruptcy laws.</w:t>
      </w:r>
    </w:p>
    <w:p w14:paraId="14053DC9" w14:textId="77777777" w:rsidR="005F50B1" w:rsidRDefault="005F50B1" w:rsidP="00AB63DE">
      <w:pPr>
        <w:ind w:left="720" w:hanging="720"/>
        <w:jc w:val="both"/>
        <w:rPr>
          <w:rFonts w:ascii="Avenir Next" w:hAnsi="Avenir Next" w:cs="Arial"/>
          <w:color w:val="808080" w:themeColor="background1" w:themeShade="80"/>
          <w:sz w:val="22"/>
          <w:szCs w:val="22"/>
          <w:lang w:val="en-GB"/>
        </w:rPr>
      </w:pPr>
    </w:p>
    <w:p w14:paraId="4F194AD9" w14:textId="27803649" w:rsidR="005F50B1" w:rsidRDefault="005F50B1"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past few decades, Singapore has become a more significant jurisdiction to global financings and is a hub for money flows in east Asia</w:t>
      </w:r>
      <w:r w:rsidR="004E6B44">
        <w:rPr>
          <w:rFonts w:ascii="Avenir Next" w:hAnsi="Avenir Next" w:cs="Arial"/>
          <w:color w:val="808080" w:themeColor="background1" w:themeShade="80"/>
          <w:sz w:val="22"/>
          <w:szCs w:val="22"/>
          <w:lang w:val="en-GB"/>
        </w:rPr>
        <w:t>, causing it to revisit its insolvency/bankruptcy legislative regime.  In 2018, Singapore enacted its Insolvency, Restructuring and Dissolution Act, which unified into a single piece of legislation Singapore's regimes for corporate and personal insolvency and restructuring laws.  That At came into force on 30 July 2020.</w:t>
      </w:r>
    </w:p>
    <w:p w14:paraId="376E0C0B" w14:textId="77777777" w:rsidR="004E6B44" w:rsidRDefault="004E6B44" w:rsidP="00AB63DE">
      <w:pPr>
        <w:ind w:left="720" w:hanging="720"/>
        <w:jc w:val="both"/>
        <w:rPr>
          <w:rFonts w:ascii="Avenir Next" w:hAnsi="Avenir Next" w:cs="Arial"/>
          <w:color w:val="808080" w:themeColor="background1" w:themeShade="80"/>
          <w:sz w:val="22"/>
          <w:szCs w:val="22"/>
          <w:lang w:val="en-GB"/>
        </w:rPr>
      </w:pPr>
    </w:p>
    <w:p w14:paraId="14C5B2F9" w14:textId="650D4023" w:rsidR="004E6B44" w:rsidRDefault="004E6B44"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 recently, </w:t>
      </w:r>
      <w:r w:rsidR="00923DC5">
        <w:rPr>
          <w:rFonts w:ascii="Avenir Next" w:hAnsi="Avenir Next" w:cs="Arial"/>
          <w:color w:val="808080" w:themeColor="background1" w:themeShade="80"/>
          <w:sz w:val="22"/>
          <w:szCs w:val="22"/>
          <w:lang w:val="en-GB"/>
        </w:rPr>
        <w:t>various</w:t>
      </w:r>
      <w:r>
        <w:rPr>
          <w:rFonts w:ascii="Avenir Next" w:hAnsi="Avenir Next" w:cs="Arial"/>
          <w:color w:val="808080" w:themeColor="background1" w:themeShade="80"/>
          <w:sz w:val="22"/>
          <w:szCs w:val="22"/>
          <w:lang w:val="en-GB"/>
        </w:rPr>
        <w:t xml:space="preserve"> jurisdictions have contributed to the Judicial Insolvency Network (</w:t>
      </w:r>
      <w:r w:rsidR="00923DC5">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w:t>
      </w:r>
      <w:r>
        <w:rPr>
          <w:rFonts w:ascii="Avenir Next" w:hAnsi="Avenir Next" w:cs="Arial"/>
          <w:b/>
          <w:color w:val="808080" w:themeColor="background1" w:themeShade="80"/>
          <w:sz w:val="22"/>
          <w:szCs w:val="22"/>
          <w:lang w:val="en-GB"/>
        </w:rPr>
        <w:t>JIN</w:t>
      </w:r>
      <w:r>
        <w:rPr>
          <w:rFonts w:ascii="Avenir Next" w:hAnsi="Avenir Next" w:cs="Arial"/>
          <w:color w:val="808080" w:themeColor="background1" w:themeShade="80"/>
          <w:sz w:val="22"/>
          <w:szCs w:val="22"/>
          <w:lang w:val="en-GB"/>
        </w:rPr>
        <w:t>") conferences that have resulted in the drafting and promulgation of the Guidelines for Communication and Cooperation between Courts in Cross-Border Insolvency Matters (the "</w:t>
      </w:r>
      <w:r>
        <w:rPr>
          <w:rFonts w:ascii="Avenir Next" w:hAnsi="Avenir Next" w:cs="Arial"/>
          <w:b/>
          <w:color w:val="808080" w:themeColor="background1" w:themeShade="80"/>
          <w:sz w:val="22"/>
          <w:szCs w:val="22"/>
          <w:lang w:val="en-GB"/>
        </w:rPr>
        <w:t>JIN Guidelines</w:t>
      </w:r>
      <w:r>
        <w:rPr>
          <w:rFonts w:ascii="Avenir Next" w:hAnsi="Avenir Next" w:cs="Arial"/>
          <w:color w:val="808080" w:themeColor="background1" w:themeShade="80"/>
          <w:sz w:val="22"/>
          <w:szCs w:val="22"/>
          <w:lang w:val="en-GB"/>
        </w:rPr>
        <w:t>").</w:t>
      </w:r>
      <w:r w:rsidR="00923DC5">
        <w:rPr>
          <w:rFonts w:ascii="Avenir Next" w:hAnsi="Avenir Next" w:cs="Arial"/>
          <w:color w:val="808080" w:themeColor="background1" w:themeShade="80"/>
          <w:sz w:val="22"/>
          <w:szCs w:val="22"/>
          <w:lang w:val="en-GB"/>
        </w:rPr>
        <w:t xml:space="preserve">  Amongst east Asian jurisdictions, the JIN Guidelines have been adopted by the Supreme Court of Singapore and the Seoul Bankruptcy Court.</w:t>
      </w:r>
      <w:r>
        <w:rPr>
          <w:rFonts w:ascii="Avenir Next" w:hAnsi="Avenir Next" w:cs="Arial"/>
          <w:color w:val="808080" w:themeColor="background1" w:themeShade="80"/>
          <w:sz w:val="22"/>
          <w:szCs w:val="22"/>
          <w:lang w:val="en-GB"/>
        </w:rPr>
        <w:t xml:space="preserve">  The </w:t>
      </w:r>
      <w:r w:rsidR="00923DC5">
        <w:rPr>
          <w:rFonts w:ascii="Avenir Next" w:hAnsi="Avenir Next" w:cs="Arial"/>
          <w:color w:val="808080" w:themeColor="background1" w:themeShade="80"/>
          <w:sz w:val="22"/>
          <w:szCs w:val="22"/>
          <w:lang w:val="en-GB"/>
        </w:rPr>
        <w:t xml:space="preserve">aim of the </w:t>
      </w:r>
      <w:r>
        <w:rPr>
          <w:rFonts w:ascii="Avenir Next" w:hAnsi="Avenir Next" w:cs="Arial"/>
          <w:color w:val="808080" w:themeColor="background1" w:themeShade="80"/>
          <w:sz w:val="22"/>
          <w:szCs w:val="22"/>
          <w:lang w:val="en-GB"/>
        </w:rPr>
        <w:t xml:space="preserve">JIN Guidelines </w:t>
      </w:r>
      <w:r w:rsidR="00923DC5">
        <w:rPr>
          <w:rFonts w:ascii="Avenir Next" w:hAnsi="Avenir Next" w:cs="Arial"/>
          <w:color w:val="808080" w:themeColor="background1" w:themeShade="80"/>
          <w:sz w:val="22"/>
          <w:szCs w:val="22"/>
          <w:lang w:val="en-GB"/>
        </w:rPr>
        <w:t xml:space="preserve">is </w:t>
      </w:r>
      <w:r>
        <w:rPr>
          <w:rFonts w:ascii="Avenir Next" w:hAnsi="Avenir Next" w:cs="Arial"/>
          <w:color w:val="808080" w:themeColor="background1" w:themeShade="80"/>
          <w:sz w:val="22"/>
          <w:szCs w:val="22"/>
          <w:lang w:val="en-GB"/>
        </w:rPr>
        <w:t xml:space="preserve">to augment cooperation between courts of relevant States, in order that parallel proceedings in such States can be conducted more efficiently and effectively.   </w:t>
      </w:r>
      <w:r w:rsidR="00923DC5">
        <w:rPr>
          <w:rFonts w:ascii="Avenir Next" w:hAnsi="Avenir Next" w:cs="Arial"/>
          <w:color w:val="808080" w:themeColor="background1" w:themeShade="80"/>
          <w:sz w:val="22"/>
          <w:szCs w:val="22"/>
          <w:lang w:val="en-GB"/>
        </w:rPr>
        <w:t>The JIN has also developed its Modalities of Court-to-Court Communication, which seek to provide a framework for the courts of those relevant States to communicate with each other in relation to such parallel proceedings.</w:t>
      </w:r>
    </w:p>
    <w:p w14:paraId="382350C9" w14:textId="77777777" w:rsidR="00923DC5" w:rsidRDefault="00923DC5" w:rsidP="00AB63DE">
      <w:pPr>
        <w:ind w:left="720" w:hanging="720"/>
        <w:jc w:val="both"/>
        <w:rPr>
          <w:rFonts w:ascii="Avenir Next" w:hAnsi="Avenir Next" w:cs="Arial"/>
          <w:color w:val="808080" w:themeColor="background1" w:themeShade="80"/>
          <w:sz w:val="22"/>
          <w:szCs w:val="22"/>
          <w:lang w:val="en-GB"/>
        </w:rPr>
      </w:pPr>
    </w:p>
    <w:p w14:paraId="56B3F186" w14:textId="7B879FD2" w:rsidR="00923DC5" w:rsidRDefault="00923DC5"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Various east Asia jurisdictions have incorporated the UNCITRAL Model Law on Cross-Border Insolvency into their domestic law - including the Philippines, South Korea, and Singapore.</w:t>
      </w:r>
    </w:p>
    <w:p w14:paraId="56BBE299" w14:textId="77777777" w:rsidR="00342E0D" w:rsidRDefault="00342E0D" w:rsidP="00AB63DE">
      <w:pPr>
        <w:ind w:left="720" w:hanging="720"/>
        <w:jc w:val="both"/>
        <w:rPr>
          <w:rFonts w:ascii="Avenir Next" w:hAnsi="Avenir Next" w:cs="Arial"/>
          <w:color w:val="808080" w:themeColor="background1" w:themeShade="80"/>
          <w:sz w:val="22"/>
          <w:szCs w:val="22"/>
          <w:lang w:val="en-GB"/>
        </w:rPr>
      </w:pPr>
    </w:p>
    <w:p w14:paraId="1ED356E7" w14:textId="05041B4E" w:rsidR="00342E0D" w:rsidRPr="004E6B44" w:rsidRDefault="00342E0D"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as a regional soft law project, a broad selection of east Asia jurisdictions have together developed the Asian Principles of Business Restructuring, which in 2020 reported on corporate restructuring and insolvency in the region.  The report covered in-court and out-of-court business reorganisation regimes in China, Hong Kong, India, Japan, South Korea, and the members of the Association of Southeast Asian Nations (the current members of which are Brunei, Cambodia, Indonesia, Laos, Malaysia, Myanmar, Philippines, Singapore, Thailand and Vietnam).</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3C090B3B" w:rsidR="00AB63DE" w:rsidRPr="00AB63DE" w:rsidRDefault="00C14E82"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1970s, Canada and the United States attempted to negotiate a bilateral insolvency treaty.  The attempt ultimately failed, but progress has been made between North American jurisdictions with regard to the resolution of international insolvency issues since then (as set out below).</w:t>
      </w:r>
    </w:p>
    <w:p w14:paraId="7034F7BB" w14:textId="72CD508E" w:rsidR="00AB63DE" w:rsidRDefault="00AB63DE" w:rsidP="00692852">
      <w:pPr>
        <w:jc w:val="both"/>
        <w:rPr>
          <w:rFonts w:ascii="Avenir Next" w:hAnsi="Avenir Next" w:cs="Arial"/>
          <w:sz w:val="22"/>
          <w:szCs w:val="22"/>
          <w:lang w:val="en-GB"/>
        </w:rPr>
      </w:pPr>
    </w:p>
    <w:p w14:paraId="448D3511" w14:textId="77777777" w:rsidR="00656BA9" w:rsidRDefault="00C14E82" w:rsidP="00837FD2">
      <w:pPr>
        <w:ind w:left="720" w:hanging="720"/>
        <w:jc w:val="both"/>
        <w:rPr>
          <w:rFonts w:ascii="Avenir Next" w:hAnsi="Avenir Next" w:cs="Arial"/>
          <w:color w:val="808080" w:themeColor="background1" w:themeShade="80"/>
          <w:sz w:val="22"/>
          <w:szCs w:val="22"/>
          <w:lang w:val="en-GB"/>
        </w:rPr>
      </w:pPr>
      <w:r w:rsidRPr="00837FD2">
        <w:rPr>
          <w:rFonts w:ascii="Avenir Next" w:hAnsi="Avenir Next" w:cs="Arial"/>
          <w:color w:val="808080" w:themeColor="background1" w:themeShade="80"/>
          <w:sz w:val="22"/>
          <w:szCs w:val="22"/>
          <w:lang w:val="en-GB"/>
        </w:rPr>
        <w:t>In the first instance, the Transnational Insolvency Project of the American Law Institute (the "</w:t>
      </w:r>
      <w:r w:rsidRPr="00837FD2">
        <w:rPr>
          <w:rFonts w:ascii="Avenir Next" w:hAnsi="Avenir Next" w:cs="Arial"/>
          <w:b/>
          <w:color w:val="808080" w:themeColor="background1" w:themeShade="80"/>
          <w:sz w:val="22"/>
          <w:szCs w:val="22"/>
          <w:lang w:val="en-GB"/>
        </w:rPr>
        <w:t>ALI</w:t>
      </w:r>
      <w:r w:rsidRPr="00837FD2">
        <w:rPr>
          <w:rFonts w:ascii="Avenir Next" w:hAnsi="Avenir Next" w:cs="Arial"/>
          <w:color w:val="808080" w:themeColor="background1" w:themeShade="80"/>
          <w:sz w:val="22"/>
          <w:szCs w:val="22"/>
          <w:lang w:val="en-GB"/>
        </w:rPr>
        <w:t>")</w:t>
      </w:r>
      <w:r w:rsidR="00837FD2" w:rsidRPr="00837FD2">
        <w:rPr>
          <w:rFonts w:ascii="Avenir Next" w:hAnsi="Avenir Next" w:cs="Arial"/>
          <w:color w:val="808080" w:themeColor="background1" w:themeShade="80"/>
          <w:sz w:val="22"/>
          <w:szCs w:val="22"/>
          <w:lang w:val="en-GB"/>
        </w:rPr>
        <w:t xml:space="preserve"> </w:t>
      </w:r>
      <w:r w:rsidR="00DB6C81">
        <w:rPr>
          <w:rFonts w:ascii="Avenir Next" w:hAnsi="Avenir Next" w:cs="Arial"/>
          <w:color w:val="808080" w:themeColor="background1" w:themeShade="80"/>
          <w:sz w:val="22"/>
          <w:szCs w:val="22"/>
          <w:lang w:val="en-GB"/>
        </w:rPr>
        <w:t xml:space="preserve">- the ambition of which was to improve the coordination between </w:t>
      </w:r>
      <w:r w:rsidR="00656BA9">
        <w:rPr>
          <w:rFonts w:ascii="Avenir Next" w:hAnsi="Avenir Next" w:cs="Arial"/>
          <w:color w:val="808080" w:themeColor="background1" w:themeShade="80"/>
          <w:sz w:val="22"/>
          <w:szCs w:val="22"/>
          <w:lang w:val="en-GB"/>
        </w:rPr>
        <w:t xml:space="preserve"> the NAFTA countries of the United States of America, Canada, and Mexico in relation to international insolvency law issues - </w:t>
      </w:r>
      <w:r w:rsidR="00837FD2" w:rsidRPr="00837FD2">
        <w:rPr>
          <w:rFonts w:ascii="Avenir Next" w:hAnsi="Avenir Next" w:cs="Arial"/>
          <w:color w:val="808080" w:themeColor="background1" w:themeShade="80"/>
          <w:sz w:val="22"/>
          <w:szCs w:val="22"/>
          <w:lang w:val="en-GB"/>
        </w:rPr>
        <w:t>published, in 2000, the ALI NAFTA Guidelines Applicable to Court-to-Court Communications in Cross-Border Cases (the "</w:t>
      </w:r>
      <w:r w:rsidR="00837FD2" w:rsidRPr="00837FD2">
        <w:rPr>
          <w:rFonts w:ascii="Avenir Next" w:hAnsi="Avenir Next" w:cs="Arial"/>
          <w:b/>
          <w:color w:val="808080" w:themeColor="background1" w:themeShade="80"/>
          <w:sz w:val="22"/>
          <w:szCs w:val="22"/>
          <w:lang w:val="en-GB"/>
        </w:rPr>
        <w:t>ALI NAFTA Guidelines</w:t>
      </w:r>
      <w:r w:rsidR="00837FD2" w:rsidRPr="00837FD2">
        <w:rPr>
          <w:rFonts w:ascii="Avenir Next" w:hAnsi="Avenir Next" w:cs="Arial"/>
          <w:color w:val="808080" w:themeColor="background1" w:themeShade="80"/>
          <w:sz w:val="22"/>
          <w:szCs w:val="22"/>
          <w:lang w:val="en-GB"/>
        </w:rPr>
        <w:t xml:space="preserve">").  The ALI NAFTA Guidelines </w:t>
      </w:r>
      <w:r w:rsidR="0072523C">
        <w:rPr>
          <w:rFonts w:ascii="Avenir Next" w:hAnsi="Avenir Next" w:cs="Arial"/>
          <w:color w:val="808080" w:themeColor="background1" w:themeShade="80"/>
          <w:sz w:val="22"/>
          <w:szCs w:val="22"/>
          <w:lang w:val="en-GB"/>
        </w:rPr>
        <w:t xml:space="preserve">apply to international insolvencies relating to the jurisdictions: the United States of America; Canada; and Mexico.  </w:t>
      </w:r>
    </w:p>
    <w:p w14:paraId="3823116B" w14:textId="77777777" w:rsidR="00656BA9" w:rsidRDefault="00656BA9" w:rsidP="00837FD2">
      <w:pPr>
        <w:ind w:left="720" w:hanging="720"/>
        <w:jc w:val="both"/>
        <w:rPr>
          <w:rFonts w:ascii="Avenir Next" w:hAnsi="Avenir Next" w:cs="Arial"/>
          <w:color w:val="808080" w:themeColor="background1" w:themeShade="80"/>
          <w:sz w:val="22"/>
          <w:szCs w:val="22"/>
          <w:lang w:val="en-GB"/>
        </w:rPr>
      </w:pPr>
    </w:p>
    <w:p w14:paraId="1D293076" w14:textId="1EBC91A6" w:rsidR="00011ECC" w:rsidRDefault="00DB6C81" w:rsidP="00837FD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Also </w:t>
      </w:r>
      <w:r w:rsidR="00656BA9">
        <w:rPr>
          <w:rFonts w:ascii="Avenir Next" w:hAnsi="Avenir Next" w:cs="Arial"/>
          <w:color w:val="808080" w:themeColor="background1" w:themeShade="80"/>
          <w:sz w:val="22"/>
          <w:szCs w:val="22"/>
          <w:lang w:val="en-GB"/>
        </w:rPr>
        <w:t>undertaken</w:t>
      </w:r>
      <w:r>
        <w:rPr>
          <w:rFonts w:ascii="Avenir Next" w:hAnsi="Avenir Next" w:cs="Arial"/>
          <w:color w:val="808080" w:themeColor="background1" w:themeShade="80"/>
          <w:sz w:val="22"/>
          <w:szCs w:val="22"/>
          <w:lang w:val="en-GB"/>
        </w:rPr>
        <w:t xml:space="preserve"> by the ALI, again by way of the Transnational Insolvency Project, were the ALI NAFTA Principles of Cooperation (the "</w:t>
      </w:r>
      <w:r>
        <w:rPr>
          <w:rFonts w:ascii="Avenir Next" w:hAnsi="Avenir Next" w:cs="Arial"/>
          <w:b/>
          <w:color w:val="808080" w:themeColor="background1" w:themeShade="80"/>
          <w:sz w:val="22"/>
          <w:szCs w:val="22"/>
          <w:lang w:val="en-GB"/>
        </w:rPr>
        <w:t>ALI NAFTA Principles</w:t>
      </w:r>
      <w:r>
        <w:rPr>
          <w:rFonts w:ascii="Avenir Next" w:hAnsi="Avenir Next" w:cs="Arial"/>
          <w:color w:val="808080" w:themeColor="background1" w:themeShade="80"/>
          <w:sz w:val="22"/>
          <w:szCs w:val="22"/>
          <w:lang w:val="en-GB"/>
        </w:rPr>
        <w:t>"), which were published in 2003.</w:t>
      </w:r>
      <w:r w:rsidR="00656BA9">
        <w:rPr>
          <w:rFonts w:ascii="Avenir Next" w:hAnsi="Avenir Next" w:cs="Arial"/>
          <w:color w:val="808080" w:themeColor="background1" w:themeShade="80"/>
          <w:sz w:val="22"/>
          <w:szCs w:val="22"/>
          <w:lang w:val="en-GB"/>
        </w:rPr>
        <w:t xml:space="preserve">  The ALI NAFTA Principles address corporate insolvencies in the relevant States (excluding individual insolvencies, and insolvencies of non-profit organisations and financial institutions).  The ALI NAFTA Principles include general principles relating to cooperation between the States' courts, recognition of bankruptcies in a State by the courts of the other States, and various procedural rules and processes.  The ALI NAFTA Principles also included a recommendation that each NAFTA country adopt the UNCITRAL Model Law on Cross-Border Insolvency (the "</w:t>
      </w:r>
      <w:r w:rsidR="00656BA9">
        <w:rPr>
          <w:rFonts w:ascii="Avenir Next" w:hAnsi="Avenir Next" w:cs="Arial"/>
          <w:b/>
          <w:color w:val="808080" w:themeColor="background1" w:themeShade="80"/>
          <w:sz w:val="22"/>
          <w:szCs w:val="22"/>
          <w:lang w:val="en-GB"/>
        </w:rPr>
        <w:t>Model Law</w:t>
      </w:r>
      <w:r w:rsidR="00656BA9">
        <w:rPr>
          <w:rFonts w:ascii="Avenir Next" w:hAnsi="Avenir Next" w:cs="Arial"/>
          <w:color w:val="808080" w:themeColor="background1" w:themeShade="80"/>
          <w:sz w:val="22"/>
          <w:szCs w:val="22"/>
          <w:lang w:val="en-GB"/>
        </w:rPr>
        <w:t>").</w:t>
      </w:r>
    </w:p>
    <w:p w14:paraId="4F12C92D" w14:textId="77777777" w:rsidR="00656BA9" w:rsidRDefault="00656BA9" w:rsidP="00837FD2">
      <w:pPr>
        <w:ind w:left="720" w:hanging="720"/>
        <w:jc w:val="both"/>
        <w:rPr>
          <w:rFonts w:ascii="Avenir Next" w:hAnsi="Avenir Next" w:cs="Arial"/>
          <w:color w:val="808080" w:themeColor="background1" w:themeShade="80"/>
          <w:sz w:val="22"/>
          <w:szCs w:val="22"/>
          <w:lang w:val="en-GB"/>
        </w:rPr>
      </w:pPr>
    </w:p>
    <w:p w14:paraId="66EF571E" w14:textId="400DF817" w:rsidR="00656BA9" w:rsidRDefault="00656BA9" w:rsidP="00837FD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011ECC">
        <w:rPr>
          <w:rFonts w:ascii="Avenir Next" w:hAnsi="Avenir Next" w:cs="Arial"/>
          <w:color w:val="808080" w:themeColor="background1" w:themeShade="80"/>
          <w:sz w:val="22"/>
          <w:szCs w:val="22"/>
          <w:lang w:val="en-GB"/>
        </w:rPr>
        <w:t>he ALI NAFTA Guidelines have been considered, in a project led by Fletcher and Wessels, in terms of their applicability globally.  That project has led to the ALI - III Global Principles for Cooperation in International Insolvency Cases and Global Guidelines Applicable to Court-to-Court Communication in Cross-Border Cases (</w:t>
      </w:r>
      <w:r w:rsidR="004061EC">
        <w:rPr>
          <w:rFonts w:ascii="Avenir Next" w:hAnsi="Avenir Next" w:cs="Arial"/>
          <w:color w:val="808080" w:themeColor="background1" w:themeShade="80"/>
          <w:sz w:val="22"/>
          <w:szCs w:val="22"/>
          <w:lang w:val="en-GB"/>
        </w:rPr>
        <w:t>2012) (the "</w:t>
      </w:r>
      <w:r w:rsidR="004061EC">
        <w:rPr>
          <w:rFonts w:ascii="Avenir Next" w:hAnsi="Avenir Next" w:cs="Arial"/>
          <w:b/>
          <w:color w:val="808080" w:themeColor="background1" w:themeShade="80"/>
          <w:sz w:val="22"/>
          <w:szCs w:val="22"/>
          <w:lang w:val="en-GB"/>
        </w:rPr>
        <w:t>ALI - III Global Principles</w:t>
      </w:r>
      <w:r w:rsidR="004061EC">
        <w:rPr>
          <w:rFonts w:ascii="Avenir Next" w:hAnsi="Avenir Next" w:cs="Arial"/>
          <w:color w:val="808080" w:themeColor="background1" w:themeShade="80"/>
          <w:sz w:val="22"/>
          <w:szCs w:val="22"/>
          <w:lang w:val="en-GB"/>
        </w:rPr>
        <w:t>").</w:t>
      </w:r>
    </w:p>
    <w:p w14:paraId="35FCD897" w14:textId="77777777" w:rsidR="004061EC" w:rsidRDefault="004061EC" w:rsidP="00837FD2">
      <w:pPr>
        <w:ind w:left="720" w:hanging="720"/>
        <w:jc w:val="both"/>
        <w:rPr>
          <w:rFonts w:ascii="Avenir Next" w:hAnsi="Avenir Next" w:cs="Arial"/>
          <w:color w:val="808080" w:themeColor="background1" w:themeShade="80"/>
          <w:sz w:val="22"/>
          <w:szCs w:val="22"/>
          <w:lang w:val="en-GB"/>
        </w:rPr>
      </w:pPr>
    </w:p>
    <w:p w14:paraId="4F9FD8C5" w14:textId="3A8C5DBD" w:rsidR="004061EC" w:rsidRPr="004061EC" w:rsidRDefault="004061EC" w:rsidP="004061E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clear that the various ALI NAFTA work-streams and projects listed above have been a success within North America and Canada.  Each of the ALI NAFTA Guidelines and the ALI NAFTA Principles have been adopted by each of the ALI NAFTA States.  Furthermore, the NAFTA States have each adopted the Model Law (Mexico in 2000 and Canada and the United States of America in 2005).  That adoption of the Model Law is particularly interesting because, as Fletcher noted (in </w:t>
      </w:r>
      <w:r>
        <w:rPr>
          <w:rFonts w:ascii="Avenir Next" w:hAnsi="Avenir Next" w:cs="Arial"/>
          <w:i/>
          <w:color w:val="808080" w:themeColor="background1" w:themeShade="80"/>
          <w:sz w:val="22"/>
          <w:szCs w:val="22"/>
          <w:lang w:val="en-GB"/>
        </w:rPr>
        <w:t>The Law of Insolvency (Sweet and Maxwell, 5th ed, 2017)</w:t>
      </w:r>
      <w:r>
        <w:rPr>
          <w:rFonts w:ascii="Avenir Next" w:hAnsi="Avenir Next" w:cs="Arial"/>
          <w:color w:val="808080" w:themeColor="background1" w:themeShade="80"/>
          <w:sz w:val="22"/>
          <w:szCs w:val="22"/>
          <w:lang w:val="en-GB"/>
        </w:rPr>
        <w:t xml:space="preserve">), the ALI NAFTA Principles were designed to be complementary to the Model Law and the NAFTA States hoped for the ALI NAFTA Principles to be considered, in the future, as groundwork for the development of supplementary provisions and guidelines to the Model Law.  </w:t>
      </w:r>
    </w:p>
    <w:p w14:paraId="0F31A3F4" w14:textId="77777777" w:rsidR="00656BA9" w:rsidRDefault="00656BA9" w:rsidP="00837FD2">
      <w:pPr>
        <w:ind w:left="720" w:hanging="720"/>
        <w:jc w:val="both"/>
        <w:rPr>
          <w:rFonts w:ascii="Avenir Next" w:hAnsi="Avenir Next" w:cs="Arial"/>
          <w:color w:val="808080" w:themeColor="background1" w:themeShade="80"/>
          <w:sz w:val="22"/>
          <w:szCs w:val="22"/>
          <w:lang w:val="en-GB"/>
        </w:rPr>
      </w:pPr>
    </w:p>
    <w:p w14:paraId="739AB678" w14:textId="7E5A0D68" w:rsidR="00011ECC" w:rsidRDefault="004061EC" w:rsidP="00837FD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ALI NAFTA work-streams and projected listed above will continue to be successful</w:t>
      </w:r>
      <w:r w:rsidR="00883BEC">
        <w:rPr>
          <w:rFonts w:ascii="Avenir Next" w:hAnsi="Avenir Next" w:cs="Arial"/>
          <w:color w:val="808080" w:themeColor="background1" w:themeShade="80"/>
          <w:sz w:val="22"/>
          <w:szCs w:val="22"/>
          <w:lang w:val="en-GB"/>
        </w:rPr>
        <w:t xml:space="preserve"> and influential</w:t>
      </w:r>
      <w:r>
        <w:rPr>
          <w:rFonts w:ascii="Avenir Next" w:hAnsi="Avenir Next" w:cs="Arial"/>
          <w:color w:val="808080" w:themeColor="background1" w:themeShade="80"/>
          <w:sz w:val="22"/>
          <w:szCs w:val="22"/>
          <w:lang w:val="en-GB"/>
        </w:rPr>
        <w:t xml:space="preserve"> will depend on whether cooperation and collaboration can continue outside of North America</w:t>
      </w:r>
      <w:r w:rsidR="00883BEC">
        <w:rPr>
          <w:rFonts w:ascii="Avenir Next" w:hAnsi="Avenir Next" w:cs="Arial"/>
          <w:color w:val="808080" w:themeColor="background1" w:themeShade="80"/>
          <w:sz w:val="22"/>
          <w:szCs w:val="22"/>
          <w:lang w:val="en-GB"/>
        </w:rPr>
        <w:t xml:space="preserve"> and Canada and whether the scope of the ALI NAFTA Principles can be extended beyond only corporate insolvency.</w:t>
      </w:r>
    </w:p>
    <w:p w14:paraId="0BCAB0A4" w14:textId="77777777" w:rsidR="00092536" w:rsidRDefault="00092536" w:rsidP="00837FD2">
      <w:pPr>
        <w:ind w:left="720" w:hanging="720"/>
        <w:jc w:val="both"/>
        <w:rPr>
          <w:rFonts w:ascii="Avenir Next" w:hAnsi="Avenir Next" w:cs="Arial"/>
          <w:color w:val="808080" w:themeColor="background1" w:themeShade="80"/>
          <w:sz w:val="22"/>
          <w:szCs w:val="22"/>
          <w:lang w:val="en-GB"/>
        </w:rPr>
      </w:pPr>
    </w:p>
    <w:p w14:paraId="72CDCBAE" w14:textId="77777777" w:rsidR="00011ECC" w:rsidRDefault="00011ECC" w:rsidP="00837FD2">
      <w:pPr>
        <w:ind w:left="720" w:hanging="720"/>
        <w:jc w:val="both"/>
        <w:rPr>
          <w:rFonts w:ascii="Avenir Next" w:hAnsi="Avenir Next" w:cs="Arial"/>
          <w:color w:val="808080" w:themeColor="background1" w:themeShade="80"/>
          <w:sz w:val="22"/>
          <w:szCs w:val="22"/>
          <w:lang w:val="en-GB"/>
        </w:rPr>
      </w:pPr>
    </w:p>
    <w:p w14:paraId="2463DC96" w14:textId="77777777" w:rsidR="00011ECC" w:rsidRDefault="00011ECC" w:rsidP="00837FD2">
      <w:pPr>
        <w:ind w:left="720" w:hanging="720"/>
        <w:jc w:val="both"/>
        <w:rPr>
          <w:rFonts w:ascii="Avenir Next" w:hAnsi="Avenir Next" w:cs="Arial"/>
          <w:color w:val="808080" w:themeColor="background1" w:themeShade="80"/>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71403F99" w14:textId="77777777" w:rsidR="00EB4E28" w:rsidRDefault="00EB4E28" w:rsidP="00DC6489">
      <w:pPr>
        <w:jc w:val="both"/>
        <w:rPr>
          <w:rFonts w:ascii="Avenir Next" w:hAnsi="Avenir Next" w:cs="Arial"/>
          <w:color w:val="808080" w:themeColor="background1" w:themeShade="80"/>
          <w:sz w:val="22"/>
          <w:szCs w:val="22"/>
          <w:lang w:val="en-GB"/>
        </w:rPr>
      </w:pPr>
    </w:p>
    <w:p w14:paraId="2779361E" w14:textId="01BCAD50" w:rsidR="00660EA9" w:rsidRDefault="00660EA9"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Transactions or transfers that take place with a party after, or shortly prior to, the beginning of its insolvency may be subject to investigation and may be set aside if they meet certain conditions.</w:t>
      </w:r>
      <w:r w:rsidR="00DC6489" w:rsidRPr="00DC6489">
        <w:rPr>
          <w:rFonts w:ascii="Avenir Next" w:hAnsi="Avenir Next" w:cs="Arial"/>
          <w:color w:val="808080" w:themeColor="background1" w:themeShade="80"/>
          <w:sz w:val="22"/>
          <w:szCs w:val="22"/>
          <w:lang w:val="en-GB"/>
        </w:rPr>
        <w:t xml:space="preserve"> </w:t>
      </w:r>
      <w:r w:rsidR="00DC6489">
        <w:rPr>
          <w:rFonts w:ascii="Avenir Next" w:hAnsi="Avenir Next" w:cs="Arial"/>
          <w:color w:val="808080" w:themeColor="background1" w:themeShade="80"/>
          <w:sz w:val="22"/>
          <w:szCs w:val="22"/>
          <w:lang w:val="en-GB"/>
        </w:rPr>
        <w:t xml:space="preserve"> Transactions subject to investigation and being set aside are known, together, as 'voidable transactions'</w:t>
      </w:r>
      <w:r w:rsidR="008E589D">
        <w:rPr>
          <w:rFonts w:ascii="Avenir Next" w:hAnsi="Avenir Next" w:cs="Arial"/>
          <w:color w:val="808080" w:themeColor="background1" w:themeShade="80"/>
          <w:sz w:val="22"/>
          <w:szCs w:val="22"/>
          <w:lang w:val="en-GB"/>
        </w:rPr>
        <w:t xml:space="preserve"> or 'voidable dispositions'</w:t>
      </w:r>
      <w:r w:rsidR="00DC6489">
        <w:rPr>
          <w:rFonts w:ascii="Avenir Next" w:hAnsi="Avenir Next" w:cs="Arial"/>
          <w:color w:val="808080" w:themeColor="background1" w:themeShade="80"/>
          <w:sz w:val="22"/>
          <w:szCs w:val="22"/>
          <w:lang w:val="en-GB"/>
        </w:rPr>
        <w:t>.  Voidable transactions exist both in relation to individual insolvency cases and corporate insolvency cases.</w:t>
      </w:r>
    </w:p>
    <w:p w14:paraId="4A68A509" w14:textId="77777777" w:rsidR="00DC6489" w:rsidRDefault="00DC6489" w:rsidP="00AB63DE">
      <w:pPr>
        <w:ind w:left="720" w:hanging="720"/>
        <w:jc w:val="both"/>
        <w:rPr>
          <w:rFonts w:ascii="Avenir Next" w:hAnsi="Avenir Next" w:cs="Arial"/>
          <w:color w:val="808080" w:themeColor="background1" w:themeShade="80"/>
          <w:sz w:val="22"/>
          <w:szCs w:val="22"/>
          <w:lang w:val="en-GB"/>
        </w:rPr>
      </w:pPr>
    </w:p>
    <w:p w14:paraId="12A878FE" w14:textId="0D33E1E4" w:rsidR="00DC6489" w:rsidRDefault="00DC6489"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Voidable transactions are an important policy tool used to discourage creditors of an insolvent counterparty from taking individual debt enforcement action against that insolvent counterparty, which would run contrary to the purpose of modern insolvency law as a platform for collective debt enforcement action.  Where undesirable (from a policy perspective) transactions occur, legislation relating to voidable transactions typically provides a selection of remedies to protect the other creditors of the insolvent counterparty.</w:t>
      </w:r>
      <w:r w:rsidR="003C68AC">
        <w:rPr>
          <w:rFonts w:ascii="Avenir Next" w:hAnsi="Avenir Next" w:cs="Arial"/>
          <w:color w:val="808080" w:themeColor="background1" w:themeShade="80"/>
          <w:sz w:val="22"/>
          <w:szCs w:val="22"/>
          <w:lang w:val="en-GB"/>
        </w:rPr>
        <w:t xml:space="preserve">  In summary, voidable transactions are a significant </w:t>
      </w:r>
      <w:r w:rsidR="008E589D">
        <w:rPr>
          <w:rFonts w:ascii="Avenir Next" w:hAnsi="Avenir Next" w:cs="Arial"/>
          <w:color w:val="808080" w:themeColor="background1" w:themeShade="80"/>
          <w:sz w:val="22"/>
          <w:szCs w:val="22"/>
          <w:lang w:val="en-GB"/>
        </w:rPr>
        <w:t>element</w:t>
      </w:r>
      <w:r w:rsidR="003C68AC">
        <w:rPr>
          <w:rFonts w:ascii="Avenir Next" w:hAnsi="Avenir Next" w:cs="Arial"/>
          <w:color w:val="808080" w:themeColor="background1" w:themeShade="80"/>
          <w:sz w:val="22"/>
          <w:szCs w:val="22"/>
          <w:lang w:val="en-GB"/>
        </w:rPr>
        <w:t xml:space="preserve"> of collective debt enforcement</w:t>
      </w:r>
      <w:r w:rsidR="008E589D">
        <w:rPr>
          <w:rFonts w:ascii="Avenir Next" w:hAnsi="Avenir Next" w:cs="Arial"/>
          <w:color w:val="808080" w:themeColor="background1" w:themeShade="80"/>
          <w:sz w:val="22"/>
          <w:szCs w:val="22"/>
          <w:lang w:val="en-GB"/>
        </w:rPr>
        <w:t>.</w:t>
      </w:r>
    </w:p>
    <w:p w14:paraId="45D3B4DC" w14:textId="77777777" w:rsidR="00660EA9" w:rsidRDefault="00660EA9" w:rsidP="00AB63DE">
      <w:pPr>
        <w:ind w:left="720" w:hanging="720"/>
        <w:jc w:val="both"/>
        <w:rPr>
          <w:rFonts w:ascii="Avenir Next" w:hAnsi="Avenir Next" w:cs="Arial"/>
          <w:color w:val="808080" w:themeColor="background1" w:themeShade="80"/>
          <w:sz w:val="22"/>
          <w:szCs w:val="22"/>
          <w:lang w:val="en-GB"/>
        </w:rPr>
      </w:pPr>
    </w:p>
    <w:p w14:paraId="0DA28388" w14:textId="4C9F816E" w:rsidR="008E589D" w:rsidRDefault="008E589D"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Transactions that are the subject of these provisions include those pertaining to fraud, those that treat some creditors </w:t>
      </w:r>
      <w:r w:rsidR="00ED2323">
        <w:rPr>
          <w:rFonts w:ascii="Avenir Next" w:hAnsi="Avenir Next" w:cs="Arial"/>
          <w:color w:val="808080" w:themeColor="background1" w:themeShade="80"/>
          <w:sz w:val="22"/>
          <w:szCs w:val="22"/>
          <w:lang w:val="en-GB"/>
        </w:rPr>
        <w:t>in a more beneficial manner</w:t>
      </w:r>
      <w:r>
        <w:rPr>
          <w:rFonts w:ascii="Avenir Next" w:hAnsi="Avenir Next" w:cs="Arial"/>
          <w:color w:val="808080" w:themeColor="background1" w:themeShade="80"/>
          <w:sz w:val="22"/>
          <w:szCs w:val="22"/>
          <w:lang w:val="en-GB"/>
        </w:rPr>
        <w:t xml:space="preserve"> than others</w:t>
      </w:r>
      <w:r w:rsidR="00ED2323">
        <w:rPr>
          <w:rFonts w:ascii="Avenir Next" w:hAnsi="Avenir Next" w:cs="Arial"/>
          <w:color w:val="808080" w:themeColor="background1" w:themeShade="80"/>
          <w:sz w:val="22"/>
          <w:szCs w:val="22"/>
          <w:lang w:val="en-GB"/>
        </w:rPr>
        <w:t>, and those that are value-destructive to the overall assets of the insolvent party.  Accordingly, v</w:t>
      </w:r>
      <w:r>
        <w:rPr>
          <w:rFonts w:ascii="Avenir Next" w:hAnsi="Avenir Next" w:cs="Arial"/>
          <w:color w:val="808080" w:themeColor="background1" w:themeShade="80"/>
          <w:sz w:val="22"/>
          <w:szCs w:val="22"/>
          <w:lang w:val="en-GB"/>
        </w:rPr>
        <w:t>oidable transactions can</w:t>
      </w:r>
      <w:r w:rsidR="00ED2323">
        <w:rPr>
          <w:rFonts w:ascii="Avenir Next" w:hAnsi="Avenir Next" w:cs="Arial"/>
          <w:color w:val="808080" w:themeColor="background1" w:themeShade="80"/>
          <w:sz w:val="22"/>
          <w:szCs w:val="22"/>
          <w:lang w:val="en-GB"/>
        </w:rPr>
        <w:t xml:space="preserve"> broadly</w:t>
      </w:r>
      <w:r>
        <w:rPr>
          <w:rFonts w:ascii="Avenir Next" w:hAnsi="Avenir Next" w:cs="Arial"/>
          <w:color w:val="808080" w:themeColor="background1" w:themeShade="80"/>
          <w:sz w:val="22"/>
          <w:szCs w:val="22"/>
          <w:lang w:val="en-GB"/>
        </w:rPr>
        <w:t xml:space="preserve"> be put into one of two categories: either (1) they relate to a fraudulent transfer of property by an insolvent party (without that party receiving adequate consideration in return) or (2) they prefer a creditor, or a group of creditors, to the detriment of the insolvent party's other creditors.</w:t>
      </w:r>
    </w:p>
    <w:p w14:paraId="07077C71" w14:textId="77777777" w:rsidR="008E589D" w:rsidRDefault="008E589D" w:rsidP="00AB63DE">
      <w:pPr>
        <w:ind w:left="720" w:hanging="720"/>
        <w:jc w:val="both"/>
        <w:rPr>
          <w:rFonts w:ascii="Avenir Next" w:hAnsi="Avenir Next" w:cs="Arial"/>
          <w:color w:val="808080" w:themeColor="background1" w:themeShade="80"/>
          <w:sz w:val="22"/>
          <w:szCs w:val="22"/>
          <w:lang w:val="en-GB"/>
        </w:rPr>
      </w:pPr>
    </w:p>
    <w:p w14:paraId="0870FE0D" w14:textId="687EE2C2" w:rsidR="00ED2323" w:rsidRDefault="008E589D" w:rsidP="00ED232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civil law jurisdictions, the concept of voidable transactions arose out of the </w:t>
      </w:r>
      <w:r w:rsidR="00ED2323">
        <w:rPr>
          <w:rFonts w:ascii="Avenir Next" w:hAnsi="Avenir Next" w:cs="Arial"/>
          <w:i/>
          <w:color w:val="808080" w:themeColor="background1" w:themeShade="80"/>
          <w:sz w:val="22"/>
          <w:szCs w:val="22"/>
          <w:lang w:val="en-GB"/>
        </w:rPr>
        <w:t>actio Pauliana</w:t>
      </w:r>
      <w:r w:rsidR="00ED2323">
        <w:rPr>
          <w:rFonts w:ascii="Avenir Next" w:hAnsi="Avenir Next" w:cs="Arial"/>
          <w:color w:val="808080" w:themeColor="background1" w:themeShade="80"/>
          <w:sz w:val="22"/>
          <w:szCs w:val="22"/>
          <w:lang w:val="en-GB"/>
        </w:rPr>
        <w:t xml:space="preserve">, a Roman law concept that has since evolved into voidable transactions in modern civil law jurisdictions.  In English common law, the concept of voidable transactions arose out of the </w:t>
      </w:r>
      <w:r w:rsidR="00ED2323">
        <w:rPr>
          <w:rFonts w:ascii="Avenir Next" w:hAnsi="Avenir Next" w:cs="Arial"/>
          <w:i/>
          <w:color w:val="808080" w:themeColor="background1" w:themeShade="80"/>
          <w:sz w:val="22"/>
          <w:szCs w:val="22"/>
          <w:lang w:val="en-GB"/>
        </w:rPr>
        <w:t>Act of Elizabeth</w:t>
      </w:r>
      <w:r w:rsidR="00ED2323">
        <w:rPr>
          <w:rFonts w:ascii="Avenir Next" w:hAnsi="Avenir Next" w:cs="Arial"/>
          <w:color w:val="808080" w:themeColor="background1" w:themeShade="80"/>
          <w:sz w:val="22"/>
          <w:szCs w:val="22"/>
          <w:lang w:val="en-GB"/>
        </w:rPr>
        <w:t xml:space="preserve"> </w:t>
      </w:r>
      <w:r w:rsidR="00ED2323" w:rsidRPr="00ED2323">
        <w:rPr>
          <w:rFonts w:ascii="Avenir Next" w:hAnsi="Avenir Next" w:cs="Arial"/>
          <w:i/>
          <w:color w:val="808080" w:themeColor="background1" w:themeShade="80"/>
          <w:sz w:val="22"/>
          <w:szCs w:val="22"/>
          <w:lang w:val="en-GB"/>
        </w:rPr>
        <w:t>(1570)</w:t>
      </w:r>
      <w:r w:rsidR="00ED2323">
        <w:rPr>
          <w:rFonts w:ascii="Avenir Next" w:hAnsi="Avenir Next" w:cs="Arial"/>
          <w:color w:val="808080" w:themeColor="background1" w:themeShade="80"/>
          <w:sz w:val="22"/>
          <w:szCs w:val="22"/>
          <w:lang w:val="en-GB"/>
        </w:rPr>
        <w:t>.</w:t>
      </w:r>
    </w:p>
    <w:p w14:paraId="3F654C10" w14:textId="77777777" w:rsidR="00ED2323" w:rsidRDefault="00ED2323" w:rsidP="00ED2323">
      <w:pPr>
        <w:ind w:left="720" w:hanging="720"/>
        <w:jc w:val="both"/>
        <w:rPr>
          <w:rFonts w:ascii="Avenir Next" w:hAnsi="Avenir Next" w:cs="Arial"/>
          <w:color w:val="808080" w:themeColor="background1" w:themeShade="80"/>
          <w:sz w:val="22"/>
          <w:szCs w:val="22"/>
          <w:lang w:val="en-GB"/>
        </w:rPr>
      </w:pPr>
    </w:p>
    <w:p w14:paraId="71B853B1" w14:textId="20B0DB46" w:rsidR="00AE630A" w:rsidRDefault="00ED2323" w:rsidP="002554A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Act of Elizabeth is widely regarded as the first true bankruptcy legislation </w:t>
      </w:r>
      <w:r w:rsidR="00AE630A">
        <w:rPr>
          <w:rFonts w:ascii="Avenir Next" w:hAnsi="Avenir Next" w:cs="Arial"/>
          <w:color w:val="808080" w:themeColor="background1" w:themeShade="80"/>
          <w:sz w:val="22"/>
          <w:szCs w:val="22"/>
          <w:lang w:val="en-GB"/>
        </w:rPr>
        <w:t>(rather than legislation designed simply to prevent fraud).  Among other things, the Act of Elizabeth moved English common law along the collective debt enforcement action path by giving jurisdiction for the supervision of insolvents' estates to the Lord Chancellor, whose role was to oversee the bankruptcy proceedings.  The Lord Chancellor (or his delegate bankruptcy commissioners) could examine the transactions of the insolvent party, summon those persons for questioning, and (if appropriate) impose prison sentences on those persons.  In civil law jurisdictions</w:t>
      </w:r>
      <w:r w:rsidR="002554A0">
        <w:rPr>
          <w:rFonts w:ascii="Avenir Next" w:hAnsi="Avenir Next" w:cs="Arial"/>
          <w:color w:val="808080" w:themeColor="background1" w:themeShade="80"/>
          <w:sz w:val="22"/>
          <w:szCs w:val="22"/>
          <w:lang w:val="en-GB"/>
        </w:rPr>
        <w:t xml:space="preserve">, the application of </w:t>
      </w:r>
      <w:r w:rsidR="002554A0">
        <w:rPr>
          <w:rFonts w:ascii="Avenir Next" w:hAnsi="Avenir Next" w:cs="Arial"/>
          <w:i/>
          <w:color w:val="808080" w:themeColor="background1" w:themeShade="80"/>
          <w:sz w:val="22"/>
          <w:szCs w:val="22"/>
          <w:lang w:val="en-GB"/>
        </w:rPr>
        <w:t>actio Pauliana</w:t>
      </w:r>
      <w:r w:rsidR="002554A0">
        <w:rPr>
          <w:rFonts w:ascii="Avenir Next" w:hAnsi="Avenir Next" w:cs="Arial"/>
          <w:color w:val="808080" w:themeColor="background1" w:themeShade="80"/>
          <w:sz w:val="22"/>
          <w:szCs w:val="22"/>
          <w:lang w:val="en-GB"/>
        </w:rPr>
        <w:t xml:space="preserve"> was in contrast to the general theme of execution against the insolvent party (rather than their assets).</w:t>
      </w:r>
    </w:p>
    <w:p w14:paraId="3966329F" w14:textId="77777777" w:rsidR="002554A0" w:rsidRDefault="002554A0" w:rsidP="002554A0">
      <w:pPr>
        <w:ind w:left="720" w:hanging="720"/>
        <w:jc w:val="both"/>
        <w:rPr>
          <w:rFonts w:ascii="Avenir Next" w:hAnsi="Avenir Next" w:cs="Arial"/>
          <w:color w:val="808080" w:themeColor="background1" w:themeShade="80"/>
          <w:sz w:val="22"/>
          <w:szCs w:val="22"/>
          <w:lang w:val="en-GB"/>
        </w:rPr>
      </w:pPr>
    </w:p>
    <w:p w14:paraId="4A496C94" w14:textId="4DB5327C" w:rsidR="002554A0" w:rsidRPr="00ED2323" w:rsidRDefault="002554A0" w:rsidP="002554A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However, in both insolvency law systems, there has been a progression towards the collective debt enforcement action mentioned above, which is partly underpinned by the concept of voidable transactions.</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1C3A3B51" w:rsidR="001E1C34" w:rsidRDefault="002554A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Wessels'</w:t>
      </w:r>
      <w:r w:rsidR="00735E19">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definition of international insolvency law above</w:t>
      </w:r>
      <w:r w:rsidR="00FC258A">
        <w:rPr>
          <w:rFonts w:ascii="Avenir Next" w:hAnsi="Avenir Next" w:cs="Arial"/>
          <w:color w:val="808080" w:themeColor="background1" w:themeShade="80"/>
          <w:sz w:val="22"/>
          <w:szCs w:val="22"/>
          <w:lang w:val="en-GB"/>
        </w:rPr>
        <w:t xml:space="preserve"> is limited because it relates, inherently, to national legal frameworks of insolvency law.  One of the key issues in examining international </w:t>
      </w:r>
      <w:r w:rsidR="00987B26">
        <w:rPr>
          <w:rFonts w:ascii="Avenir Next" w:hAnsi="Avenir Next" w:cs="Arial"/>
          <w:color w:val="808080" w:themeColor="background1" w:themeShade="80"/>
          <w:sz w:val="22"/>
          <w:szCs w:val="22"/>
          <w:lang w:val="en-GB"/>
        </w:rPr>
        <w:t>insolvency law issues is that, in order to do so, national legal frameworks of insolvency law must be contrasted with each other and, in many cases, domestic legal systems do not provide for insolvencies that touch upon multiple jurisdictions.</w:t>
      </w:r>
    </w:p>
    <w:p w14:paraId="14671C35" w14:textId="77777777" w:rsidR="00987B26" w:rsidRDefault="00987B26" w:rsidP="001E1C34">
      <w:pPr>
        <w:ind w:left="720" w:hanging="720"/>
        <w:jc w:val="both"/>
        <w:rPr>
          <w:rFonts w:ascii="Avenir Next" w:hAnsi="Avenir Next" w:cs="Arial"/>
          <w:color w:val="808080" w:themeColor="background1" w:themeShade="80"/>
          <w:sz w:val="22"/>
          <w:szCs w:val="22"/>
          <w:lang w:val="en-GB"/>
        </w:rPr>
      </w:pPr>
    </w:p>
    <w:p w14:paraId="35FCAFCD" w14:textId="666DC1D4" w:rsidR="00987B26" w:rsidRDefault="00E22EC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Wessels identified a similar </w:t>
      </w:r>
      <w:r w:rsidR="00735E19">
        <w:rPr>
          <w:rFonts w:ascii="Avenir Next" w:hAnsi="Avenir Next" w:cs="Arial"/>
          <w:color w:val="808080" w:themeColor="background1" w:themeShade="80"/>
          <w:sz w:val="22"/>
          <w:szCs w:val="22"/>
          <w:lang w:val="en-GB"/>
        </w:rPr>
        <w:t xml:space="preserve">issue with Fletcher's definition of the international insolvency law, in </w:t>
      </w:r>
      <w:r w:rsidR="00735E19">
        <w:rPr>
          <w:rFonts w:ascii="Avenir Next" w:hAnsi="Avenir Next" w:cs="Arial"/>
          <w:i/>
          <w:color w:val="808080" w:themeColor="background1" w:themeShade="80"/>
          <w:sz w:val="22"/>
          <w:szCs w:val="22"/>
          <w:lang w:val="en-GB"/>
        </w:rPr>
        <w:t>The Law of Insolvency (Sweet and Maxwell, 5th ed, 2017)</w:t>
      </w:r>
      <w:r w:rsidR="00735E19">
        <w:rPr>
          <w:rFonts w:ascii="Avenir Next" w:hAnsi="Avenir Next" w:cs="Arial"/>
          <w:color w:val="808080" w:themeColor="background1" w:themeShade="80"/>
          <w:sz w:val="22"/>
          <w:szCs w:val="22"/>
          <w:lang w:val="en-GB"/>
        </w:rPr>
        <w:t>, because Fletcher had similarly referred to circumstances that "</w:t>
      </w:r>
      <w:r w:rsidR="00735E19">
        <w:rPr>
          <w:rFonts w:ascii="Avenir Next" w:hAnsi="Avenir Next" w:cs="Arial"/>
          <w:i/>
          <w:color w:val="808080" w:themeColor="background1" w:themeShade="80"/>
          <w:sz w:val="22"/>
          <w:szCs w:val="22"/>
          <w:lang w:val="en-GB"/>
        </w:rPr>
        <w:t>transcend the confines of a single legal system, so that […] domestic insolvency law provisions cannot be immediately and exclusively applied without regard to the issues raised by the foreign elements of the case.</w:t>
      </w:r>
      <w:r w:rsidR="00735E19">
        <w:rPr>
          <w:rFonts w:ascii="Avenir Next" w:hAnsi="Avenir Next" w:cs="Arial"/>
          <w:color w:val="808080" w:themeColor="background1" w:themeShade="80"/>
          <w:sz w:val="22"/>
          <w:szCs w:val="22"/>
          <w:lang w:val="en-GB"/>
        </w:rPr>
        <w:t>"</w:t>
      </w:r>
    </w:p>
    <w:p w14:paraId="26F9935F" w14:textId="77777777" w:rsidR="00735E19" w:rsidRDefault="00735E19" w:rsidP="001E1C34">
      <w:pPr>
        <w:ind w:left="720" w:hanging="720"/>
        <w:jc w:val="both"/>
        <w:rPr>
          <w:rFonts w:ascii="Avenir Next" w:hAnsi="Avenir Next" w:cs="Arial"/>
          <w:color w:val="808080" w:themeColor="background1" w:themeShade="80"/>
          <w:sz w:val="22"/>
          <w:szCs w:val="22"/>
          <w:lang w:val="en-GB"/>
        </w:rPr>
      </w:pPr>
    </w:p>
    <w:p w14:paraId="00748211" w14:textId="1E57CE9A" w:rsidR="00735E19" w:rsidRDefault="00735E19"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a State's jurisdiction to apply insolvency laws extends only to the limits of its national borders, and where insolvency cases transcend those borders, international insolvency law issues will arise.</w:t>
      </w:r>
      <w:r w:rsidR="008C12B2">
        <w:rPr>
          <w:rFonts w:ascii="Avenir Next" w:hAnsi="Avenir Next" w:cs="Arial"/>
          <w:color w:val="808080" w:themeColor="background1" w:themeShade="80"/>
          <w:sz w:val="22"/>
          <w:szCs w:val="22"/>
          <w:lang w:val="en-GB"/>
        </w:rPr>
        <w:t xml:space="preserve">  This is a particularly pertinent issue because recent history's technological advances mean that persons (both natural and legal), assets, and transactions are highly moveable, from jurisdiction to jurisdiction.</w:t>
      </w:r>
    </w:p>
    <w:p w14:paraId="6BE1C270" w14:textId="77777777" w:rsidR="008C12B2" w:rsidRDefault="008C12B2" w:rsidP="001E1C34">
      <w:pPr>
        <w:ind w:left="720" w:hanging="720"/>
        <w:jc w:val="both"/>
        <w:rPr>
          <w:rFonts w:ascii="Avenir Next" w:hAnsi="Avenir Next" w:cs="Arial"/>
          <w:color w:val="808080" w:themeColor="background1" w:themeShade="80"/>
          <w:sz w:val="22"/>
          <w:szCs w:val="22"/>
          <w:lang w:val="en-GB"/>
        </w:rPr>
      </w:pPr>
    </w:p>
    <w:p w14:paraId="0699D180" w14:textId="42F28C0A" w:rsidR="008C12B2" w:rsidRDefault="008C12B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limitations of Wessels's definition are most exposed in cross-border insolvency cases where: (i) there is a lack of coordination and cooperation between the courts of different States; (ii) there are multiple insolvency proceedings in relation to a single debtor, particularly if those proceedings are incompatible with each other as a matter of the relevant States' domestic insolvency legislation</w:t>
      </w:r>
      <w:r w:rsidR="00E22EC2">
        <w:rPr>
          <w:rFonts w:ascii="Avenir Next" w:hAnsi="Avenir Next" w:cs="Arial"/>
          <w:color w:val="808080" w:themeColor="background1" w:themeShade="80"/>
          <w:sz w:val="22"/>
          <w:szCs w:val="22"/>
          <w:lang w:val="en-GB"/>
        </w:rPr>
        <w:t>; (ii) unnecessary value destruction arises from conflicting attempts to provide solutions or rescue packages in relation to a debtor's financial distress; (iv) there is conflict as to priority rankings amongst creditors and security rankings amongst secured creditors, particularly leading to competing attempts amongst creditors to realise a debtor's assets (contrary to the general principle that creditors, or classes of creditors, should be treated equally in collective insolvency proceedings); and/or (v) there is a higher risk of fraudulent transactions.</w:t>
      </w:r>
    </w:p>
    <w:p w14:paraId="01937C96" w14:textId="77777777" w:rsidR="00E22EC2" w:rsidRDefault="00E22EC2" w:rsidP="001E1C34">
      <w:pPr>
        <w:ind w:left="720" w:hanging="720"/>
        <w:jc w:val="both"/>
        <w:rPr>
          <w:rFonts w:ascii="Avenir Next" w:hAnsi="Avenir Next" w:cs="Arial"/>
          <w:color w:val="808080" w:themeColor="background1" w:themeShade="80"/>
          <w:sz w:val="22"/>
          <w:szCs w:val="22"/>
          <w:lang w:val="en-GB"/>
        </w:rPr>
      </w:pPr>
    </w:p>
    <w:p w14:paraId="6CEAB241" w14:textId="4D027A9D" w:rsidR="00E22EC2" w:rsidRPr="00735E19" w:rsidRDefault="00E22EC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conclusion, </w:t>
      </w:r>
      <w:r w:rsidR="00F70253">
        <w:rPr>
          <w:rFonts w:ascii="Avenir Next" w:hAnsi="Avenir Next" w:cs="Arial"/>
          <w:color w:val="808080" w:themeColor="background1" w:themeShade="80"/>
          <w:sz w:val="22"/>
          <w:szCs w:val="22"/>
          <w:lang w:val="en-GB"/>
        </w:rPr>
        <w:t>Wessels's</w:t>
      </w:r>
      <w:r>
        <w:rPr>
          <w:rFonts w:ascii="Avenir Next" w:hAnsi="Avenir Next" w:cs="Arial"/>
          <w:color w:val="808080" w:themeColor="background1" w:themeShade="80"/>
          <w:sz w:val="22"/>
          <w:szCs w:val="22"/>
          <w:lang w:val="en-GB"/>
        </w:rPr>
        <w:t xml:space="preserve"> definition is limited by reference to States' domestic insolvency law regimes, meaning that there is an inherent risk of conflict wherever an international insolvency law issue (that is, an issue involving the domestic insolvency law regimes of multiple jurisdictions) </w:t>
      </w:r>
      <w:r>
        <w:rPr>
          <w:rFonts w:ascii="Avenir Next" w:hAnsi="Avenir Next" w:cs="Arial"/>
          <w:color w:val="808080" w:themeColor="background1" w:themeShade="80"/>
          <w:sz w:val="22"/>
          <w:szCs w:val="22"/>
          <w:lang w:val="en-GB"/>
        </w:rPr>
        <w:lastRenderedPageBreak/>
        <w:t xml:space="preserve">arises.  </w:t>
      </w:r>
      <w:r w:rsidR="00F70253">
        <w:rPr>
          <w:rFonts w:ascii="Avenir Next" w:hAnsi="Avenir Next" w:cs="Arial"/>
          <w:color w:val="808080" w:themeColor="background1" w:themeShade="80"/>
          <w:sz w:val="22"/>
          <w:szCs w:val="22"/>
          <w:lang w:val="en-GB"/>
        </w:rPr>
        <w:t>In the continued absence of global uniformity as to these issues, Wessels's definition will continue to be limited in that way and international insolvency law will be subject to a lack of clarity and predictability.</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67C94B5A" w:rsidR="001E1C34" w:rsidRDefault="007C54A5"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Treaties and conventions are instruments of public international law which States agree to be bound by and incorporate into their domestic legal framework accordingly.  As part of domestic law, the relevant State's court will apply the incorporated substance of those treaties and conventions in relevant matters that are before it.</w:t>
      </w:r>
    </w:p>
    <w:p w14:paraId="7D0FC4C9" w14:textId="77777777" w:rsidR="007C54A5" w:rsidRDefault="007C54A5" w:rsidP="001E1C34">
      <w:pPr>
        <w:ind w:left="720" w:hanging="720"/>
        <w:jc w:val="both"/>
        <w:rPr>
          <w:rFonts w:ascii="Avenir Next" w:hAnsi="Avenir Next" w:cs="Arial"/>
          <w:color w:val="808080" w:themeColor="background1" w:themeShade="80"/>
          <w:sz w:val="22"/>
          <w:szCs w:val="22"/>
          <w:lang w:val="en-GB"/>
        </w:rPr>
      </w:pPr>
    </w:p>
    <w:p w14:paraId="1F4BB9DA" w14:textId="169CB80F" w:rsidR="00B65897" w:rsidRDefault="00B65897" w:rsidP="00B6589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history of European collaboration as to cross-border insolvencies demonstrates that treaties and conventions produce mixed success:</w:t>
      </w:r>
    </w:p>
    <w:p w14:paraId="345406FC" w14:textId="77777777" w:rsidR="00B65897" w:rsidRDefault="00B65897" w:rsidP="00B65897">
      <w:pPr>
        <w:ind w:left="720" w:hanging="720"/>
        <w:jc w:val="both"/>
        <w:rPr>
          <w:rFonts w:ascii="Avenir Next" w:hAnsi="Avenir Next" w:cs="Arial"/>
          <w:color w:val="808080" w:themeColor="background1" w:themeShade="80"/>
          <w:sz w:val="22"/>
          <w:szCs w:val="22"/>
          <w:lang w:val="en-GB"/>
        </w:rPr>
      </w:pPr>
    </w:p>
    <w:p w14:paraId="006D5970" w14:textId="2CF421AC" w:rsidR="00B65897" w:rsidRDefault="00B65897" w:rsidP="00B65897">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first instance, bilateral insolvency conventions were first introduced around the 1200s-1300s.  These conventions provided an avenue for enforcement in relation to debtors who had sought refuge across borders from the jurisdictions in which they were insolvent.</w:t>
      </w:r>
    </w:p>
    <w:p w14:paraId="3C9D83D1" w14:textId="05F24336" w:rsidR="00D40418" w:rsidRDefault="00D40418" w:rsidP="00B65897">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time passed, more comprehensive and far-reaching bilateral conventions (relating to jurisdiction, recognition and enforcement, in relation to various insolvency proceedings) were promulgated.</w:t>
      </w:r>
    </w:p>
    <w:p w14:paraId="1EADA07B" w14:textId="263B70B7" w:rsidR="00D40418" w:rsidRDefault="00D40418" w:rsidP="00B65897">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these rarely reached beyond bilateral agreements - the Nordic Convention of 1933 being an exception at the time, relating to Scandinavian States.</w:t>
      </w:r>
    </w:p>
    <w:p w14:paraId="593D7842" w14:textId="075053C0" w:rsidR="00D40418" w:rsidRDefault="00D40418" w:rsidP="00B65897">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attempts at agreeing multilateral treaties continued to falter; the Council of Europe was established in 1949, yet took until 1990 for its member states to agree a Convention on Certain International Aspects of Bankruptcy (the Istanbul Convention, Council of Europe Treaty Series No 136).  Even then, that </w:t>
      </w:r>
      <w:r w:rsidR="005B1F13">
        <w:rPr>
          <w:rFonts w:ascii="Avenir Next" w:hAnsi="Avenir Next" w:cs="Arial"/>
          <w:color w:val="808080" w:themeColor="background1" w:themeShade="80"/>
          <w:sz w:val="22"/>
          <w:szCs w:val="22"/>
          <w:lang w:val="en-GB"/>
        </w:rPr>
        <w:t>convention was signed only by 8 of the Council of Europe's member states and did not enter into force because it was not ratified by enough of them.</w:t>
      </w:r>
    </w:p>
    <w:p w14:paraId="5BB5CB5D" w14:textId="642C103E" w:rsidR="005B1F13" w:rsidRPr="00B65897" w:rsidRDefault="005B1F13" w:rsidP="00B65897">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fact, it has taken a move away from conventions and treaties - by way of European Union legislation - to achieve greater collaboration and uniformity amongst European States' insolvency frameworks.</w:t>
      </w:r>
    </w:p>
    <w:p w14:paraId="78E8C8CA" w14:textId="77777777" w:rsidR="00B65897" w:rsidRDefault="00B65897" w:rsidP="001E1C34">
      <w:pPr>
        <w:ind w:left="720" w:hanging="720"/>
        <w:jc w:val="both"/>
        <w:rPr>
          <w:rFonts w:ascii="Avenir Next" w:hAnsi="Avenir Next" w:cs="Arial"/>
          <w:color w:val="808080" w:themeColor="background1" w:themeShade="80"/>
          <w:sz w:val="22"/>
          <w:szCs w:val="22"/>
          <w:lang w:val="en-GB"/>
        </w:rPr>
      </w:pPr>
    </w:p>
    <w:p w14:paraId="4BDA52DE" w14:textId="6CA17DD9" w:rsidR="005B1F13" w:rsidRDefault="005B1F13"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clear, then, that treaties and conventions have enjoyed mixed success, particularly when it comes to anything beyond bilateral agreements.  This is understandable, given disparities between States' domestic insolvency law frameworks</w:t>
      </w:r>
      <w:r w:rsidR="00F958F1">
        <w:rPr>
          <w:rFonts w:ascii="Avenir Next" w:hAnsi="Avenir Next" w:cs="Arial"/>
          <w:color w:val="808080" w:themeColor="background1" w:themeShade="80"/>
          <w:sz w:val="22"/>
          <w:szCs w:val="22"/>
          <w:lang w:val="en-GB"/>
        </w:rPr>
        <w:t>, and in today's global environment it is important that alignment of cross-border insolvency laws is more uniform than a patchwork of agreements between two States.  That widespread alignment is more likely to come from collective legislation rather than conventions and treaties.</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16DC57C8" w:rsidR="001E1C34" w:rsidRDefault="007340C5"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are statutory proceedings commenced and continued under the applicable insolvency statutory regime.  They are frequently court-supervised </w:t>
      </w:r>
      <w:r w:rsidR="00E73BDE">
        <w:rPr>
          <w:rFonts w:ascii="Avenir Next" w:hAnsi="Avenir Next" w:cs="Arial"/>
          <w:color w:val="808080" w:themeColor="background1" w:themeShade="80"/>
          <w:sz w:val="22"/>
          <w:szCs w:val="22"/>
          <w:lang w:val="en-GB"/>
        </w:rPr>
        <w:t>or in-court</w:t>
      </w:r>
      <w:r>
        <w:rPr>
          <w:rFonts w:ascii="Avenir Next" w:hAnsi="Avenir Next" w:cs="Arial"/>
          <w:color w:val="808080" w:themeColor="background1" w:themeShade="80"/>
          <w:sz w:val="22"/>
          <w:szCs w:val="22"/>
          <w:lang w:val="en-GB"/>
        </w:rPr>
        <w:t xml:space="preserve"> processes and their progress fo</w:t>
      </w:r>
      <w:r w:rsidR="00E73BDE">
        <w:rPr>
          <w:rFonts w:ascii="Avenir Next" w:hAnsi="Avenir Next" w:cs="Arial"/>
          <w:color w:val="808080" w:themeColor="background1" w:themeShade="80"/>
          <w:sz w:val="22"/>
          <w:szCs w:val="22"/>
          <w:lang w:val="en-GB"/>
        </w:rPr>
        <w:t>llows a defined path, as provided for in legislation.</w:t>
      </w:r>
    </w:p>
    <w:p w14:paraId="0D9F1413" w14:textId="77777777" w:rsidR="007340C5" w:rsidRDefault="007340C5" w:rsidP="001E1C34">
      <w:pPr>
        <w:ind w:left="720" w:hanging="720"/>
        <w:jc w:val="both"/>
        <w:rPr>
          <w:rFonts w:ascii="Avenir Next" w:hAnsi="Avenir Next" w:cs="Arial"/>
          <w:color w:val="808080" w:themeColor="background1" w:themeShade="80"/>
          <w:sz w:val="22"/>
          <w:szCs w:val="22"/>
          <w:lang w:val="en-GB"/>
        </w:rPr>
      </w:pPr>
    </w:p>
    <w:p w14:paraId="4A26E9A3" w14:textId="6894BD56" w:rsidR="007340C5" w:rsidRDefault="007340C5"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 contrast, "informal" insolvency arrangements are processes that are frequently not subject to insolvency law regimes or court-supervision, but instead consist of voluntary negotiations between a debtor and some (or all) of its creditors with the ambition of consensual deals being reached between those parties in place of "formal" insolvency proceedings being, or becoming, necessary.</w:t>
      </w:r>
    </w:p>
    <w:p w14:paraId="2879ED63" w14:textId="77777777" w:rsidR="007340C5" w:rsidRDefault="007340C5" w:rsidP="001E1C34">
      <w:pPr>
        <w:ind w:left="720" w:hanging="720"/>
        <w:jc w:val="both"/>
        <w:rPr>
          <w:rFonts w:ascii="Avenir Next" w:hAnsi="Avenir Next" w:cs="Arial"/>
          <w:color w:val="808080" w:themeColor="background1" w:themeShade="80"/>
          <w:sz w:val="22"/>
          <w:szCs w:val="22"/>
          <w:lang w:val="en-GB"/>
        </w:rPr>
      </w:pPr>
    </w:p>
    <w:p w14:paraId="01A9B596" w14:textId="190320D7" w:rsidR="007340C5" w:rsidRDefault="00E73BDE"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considering whether to enter into any informal out-of-court workout arrangement it could enter into with FPPL, Lobo should consider </w:t>
      </w:r>
      <w:r w:rsidR="007F0919">
        <w:rPr>
          <w:rFonts w:ascii="Avenir Next" w:hAnsi="Avenir Next" w:cs="Arial"/>
          <w:color w:val="808080" w:themeColor="background1" w:themeShade="80"/>
          <w:sz w:val="22"/>
          <w:szCs w:val="22"/>
          <w:lang w:val="en-GB"/>
        </w:rPr>
        <w:t>that, unlike in "formal" insolvency proceedings</w:t>
      </w:r>
      <w:r>
        <w:rPr>
          <w:rFonts w:ascii="Avenir Next" w:hAnsi="Avenir Next" w:cs="Arial"/>
          <w:color w:val="808080" w:themeColor="background1" w:themeShade="80"/>
          <w:sz w:val="22"/>
          <w:szCs w:val="22"/>
          <w:lang w:val="en-GB"/>
        </w:rPr>
        <w:t>:</w:t>
      </w:r>
    </w:p>
    <w:p w14:paraId="635486EA" w14:textId="77777777" w:rsidR="00E73BDE" w:rsidRDefault="00E73BDE" w:rsidP="001E1C34">
      <w:pPr>
        <w:ind w:left="720" w:hanging="720"/>
        <w:jc w:val="both"/>
        <w:rPr>
          <w:rFonts w:ascii="Avenir Next" w:hAnsi="Avenir Next" w:cs="Arial"/>
          <w:color w:val="808080" w:themeColor="background1" w:themeShade="80"/>
          <w:sz w:val="22"/>
          <w:szCs w:val="22"/>
          <w:lang w:val="en-GB"/>
        </w:rPr>
      </w:pPr>
    </w:p>
    <w:p w14:paraId="4EE35342" w14:textId="6C85E75B" w:rsidR="00E73BDE" w:rsidRDefault="00E73BDE" w:rsidP="00E73BDE">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will be no moratorium to prevent other creditors from seeking the commencement of "formal" insolvency proceedings with regard to FPPL, meaning that those other creditors could cause FPPL to become insolvent and render ineffective the workout arrangement that Lobo has agreed with FPPL.  </w:t>
      </w:r>
    </w:p>
    <w:p w14:paraId="1326465E" w14:textId="78E2B65D" w:rsidR="00B97047" w:rsidRPr="00E73BDE" w:rsidRDefault="00B97047" w:rsidP="00E73BDE">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similarly, any workout arrangement that is agreed will not bind other creditors.</w:t>
      </w:r>
    </w:p>
    <w:p w14:paraId="48352A2E" w14:textId="77777777" w:rsidR="00B97047" w:rsidRDefault="00B97047" w:rsidP="00692852">
      <w:pPr>
        <w:jc w:val="both"/>
        <w:rPr>
          <w:rFonts w:ascii="Avenir Next" w:hAnsi="Avenir Next" w:cs="Arial"/>
          <w:sz w:val="22"/>
          <w:szCs w:val="22"/>
          <w:lang w:val="en-GB"/>
        </w:rPr>
      </w:pPr>
    </w:p>
    <w:p w14:paraId="32499CC0" w14:textId="01366A3E" w:rsidR="00B97047" w:rsidRDefault="00B97047" w:rsidP="00B9704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risk in relation to the above points may vary depending on how many creditors FPPL has in Asgard (assuming it is financially comfortable in Encanto, which appears to be the case), how large their claims are in comparison to Lobo's, and whether the workout arrangement would give FPPL the breathing space to meet debts due to other creditors as they fall due.  It would be helpful to know more about those points, as well as understanding whether FPPL's financial distress is a short-term issue that can be ameliorated or an indication of terminal decline/distress.</w:t>
      </w:r>
    </w:p>
    <w:p w14:paraId="3A73CFEB" w14:textId="77777777" w:rsidR="00B97047" w:rsidRDefault="00B97047" w:rsidP="00B97047">
      <w:pPr>
        <w:ind w:left="720" w:hanging="720"/>
        <w:jc w:val="both"/>
        <w:rPr>
          <w:rFonts w:ascii="Avenir Next" w:hAnsi="Avenir Next" w:cs="Arial"/>
          <w:color w:val="808080" w:themeColor="background1" w:themeShade="80"/>
          <w:sz w:val="22"/>
          <w:szCs w:val="22"/>
          <w:lang w:val="en-GB"/>
        </w:rPr>
      </w:pPr>
    </w:p>
    <w:p w14:paraId="40869258" w14:textId="36C8DE2C" w:rsidR="00B97047" w:rsidRPr="004216EA" w:rsidRDefault="00B97047" w:rsidP="00B97047">
      <w:pPr>
        <w:ind w:left="720" w:hanging="72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By contrast, an agreed workout arrangement </w:t>
      </w:r>
      <w:r w:rsidR="007F0919">
        <w:rPr>
          <w:rFonts w:ascii="Avenir Next" w:hAnsi="Avenir Next" w:cs="Arial"/>
          <w:color w:val="808080" w:themeColor="background1" w:themeShade="80"/>
          <w:sz w:val="22"/>
          <w:szCs w:val="22"/>
          <w:lang w:val="en-GB"/>
        </w:rPr>
        <w:t>would differ from "formal" insolvency proceedings</w:t>
      </w:r>
      <w:r>
        <w:rPr>
          <w:rFonts w:ascii="Avenir Next" w:hAnsi="Avenir Next" w:cs="Arial"/>
          <w:color w:val="808080" w:themeColor="background1" w:themeShade="80"/>
          <w:sz w:val="22"/>
          <w:szCs w:val="22"/>
          <w:lang w:val="en-GB"/>
        </w:rPr>
        <w:t xml:space="preserve"> </w:t>
      </w:r>
      <w:r w:rsidR="007F0919">
        <w:rPr>
          <w:rFonts w:ascii="Avenir Next" w:hAnsi="Avenir Next" w:cs="Arial"/>
          <w:color w:val="808080" w:themeColor="background1" w:themeShade="80"/>
          <w:sz w:val="22"/>
          <w:szCs w:val="22"/>
          <w:lang w:val="en-GB"/>
        </w:rPr>
        <w:t>by being</w:t>
      </w:r>
      <w:r>
        <w:rPr>
          <w:rFonts w:ascii="Avenir Next" w:hAnsi="Avenir Next" w:cs="Arial"/>
          <w:color w:val="808080" w:themeColor="background1" w:themeShade="80"/>
          <w:sz w:val="22"/>
          <w:szCs w:val="22"/>
          <w:lang w:val="en-GB"/>
        </w:rPr>
        <w:t xml:space="preserve"> significantly cheaper </w:t>
      </w:r>
      <w:r w:rsidR="007F0919">
        <w:rPr>
          <w:rFonts w:ascii="Avenir Next" w:hAnsi="Avenir Next" w:cs="Arial"/>
          <w:color w:val="808080" w:themeColor="background1" w:themeShade="80"/>
          <w:sz w:val="22"/>
          <w:szCs w:val="22"/>
          <w:lang w:val="en-GB"/>
        </w:rPr>
        <w:t>for Lobo to pursue (as opposed to involving the Asgard court), which is likely to prove expensive, and could remain private (rather than becoming publicly available information via court records).  In both cases, an agreed workout arrangement is likely to help to protect FPPL's financial position from deteriorating further and, in turn, may prevent value-destruction.</w:t>
      </w: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73C354D9" w:rsidR="001E1C34" w:rsidRDefault="001506F3"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insolvency representative appointed in respect of FPPL in Asgard may encounter difficulty wherever relevant laws of Asgard and Encanto diverge (for instance, where there are applicable property, intellectual property, or employment law elements at play).  These issue</w:t>
      </w:r>
      <w:r w:rsidR="00F069EA">
        <w:rPr>
          <w:rFonts w:ascii="Avenir Next" w:hAnsi="Avenir Next" w:cs="Arial"/>
          <w:color w:val="808080" w:themeColor="background1" w:themeShade="80"/>
          <w:sz w:val="22"/>
          <w:szCs w:val="22"/>
          <w:lang w:val="en-GB"/>
        </w:rPr>
        <w:t>s may be exacerbated where the insolvency representative is not able to rely upon cooperation from the Encanto courts and where the Encanto courts and not willing to cooperate and coordinate with the Asgard courts during the concurrent insolvency proceedings.</w:t>
      </w:r>
    </w:p>
    <w:p w14:paraId="32655038" w14:textId="77777777" w:rsidR="00F069EA" w:rsidRDefault="00F069EA" w:rsidP="001E1C34">
      <w:pPr>
        <w:ind w:left="720" w:hanging="720"/>
        <w:jc w:val="both"/>
        <w:rPr>
          <w:rFonts w:ascii="Avenir Next" w:hAnsi="Avenir Next" w:cs="Arial"/>
          <w:color w:val="808080" w:themeColor="background1" w:themeShade="80"/>
          <w:sz w:val="22"/>
          <w:szCs w:val="22"/>
          <w:lang w:val="en-GB"/>
        </w:rPr>
      </w:pPr>
    </w:p>
    <w:p w14:paraId="785A3C6F" w14:textId="2BA36A9A" w:rsidR="00F069EA" w:rsidRDefault="00F069EA"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Various cross-border insolvency agreements address such a lacuna.  Assuming that neither Asgard nor Encanto are party to the UNCITRAL Model Law on Cross-Border Insolvency (but it would be helpful to know if that is indeed the case), the following international insolvency instruments may be of assistance:</w:t>
      </w:r>
    </w:p>
    <w:p w14:paraId="07DC5B33" w14:textId="77777777" w:rsidR="00F069EA" w:rsidRDefault="00F069EA" w:rsidP="001E1C34">
      <w:pPr>
        <w:ind w:left="720" w:hanging="720"/>
        <w:jc w:val="both"/>
        <w:rPr>
          <w:rFonts w:ascii="Avenir Next" w:hAnsi="Avenir Next" w:cs="Arial"/>
          <w:color w:val="808080" w:themeColor="background1" w:themeShade="80"/>
          <w:sz w:val="22"/>
          <w:szCs w:val="22"/>
          <w:lang w:val="en-GB"/>
        </w:rPr>
      </w:pPr>
    </w:p>
    <w:p w14:paraId="68F9105A" w14:textId="6228B954" w:rsidR="00F069EA" w:rsidRDefault="006B72A7" w:rsidP="00F069EA">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ALI - III report Transnational Insolvency: Global Principles for Cooperation in International Insolvency Cases (2012) (the "</w:t>
      </w:r>
      <w:r>
        <w:rPr>
          <w:rFonts w:ascii="Avenir Next" w:hAnsi="Avenir Next" w:cs="Arial"/>
          <w:b/>
          <w:color w:val="808080" w:themeColor="background1" w:themeShade="80"/>
          <w:sz w:val="22"/>
          <w:szCs w:val="22"/>
          <w:lang w:val="en-GB"/>
        </w:rPr>
        <w:t>ALI - III Report</w:t>
      </w:r>
      <w:r>
        <w:rPr>
          <w:rFonts w:ascii="Avenir Next" w:hAnsi="Avenir Next" w:cs="Arial"/>
          <w:color w:val="808080" w:themeColor="background1" w:themeShade="80"/>
          <w:sz w:val="22"/>
          <w:szCs w:val="22"/>
          <w:lang w:val="en-GB"/>
        </w:rPr>
        <w:t>").  The ALI - III report contains various global principles for cooperation and for court-to-court communications in international insolvency cases, along with various defined terms and rules on conflict of laws to assist with clarifying cross-border insolvency issues</w:t>
      </w:r>
      <w:r w:rsidR="00285D38">
        <w:rPr>
          <w:rFonts w:ascii="Avenir Next" w:hAnsi="Avenir Next" w:cs="Arial"/>
          <w:color w:val="808080" w:themeColor="background1" w:themeShade="80"/>
          <w:sz w:val="22"/>
          <w:szCs w:val="22"/>
          <w:lang w:val="en-GB"/>
        </w:rPr>
        <w:t>.</w:t>
      </w:r>
    </w:p>
    <w:p w14:paraId="4A536DB7" w14:textId="16FFC491" w:rsidR="006B72A7" w:rsidRDefault="006B72A7" w:rsidP="00F069EA">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Judicial Insolvency Network's Guidelines for Communication and Cooperation between Courts in Cross-Border Insolvency Matters (the "</w:t>
      </w:r>
      <w:r>
        <w:rPr>
          <w:rFonts w:ascii="Avenir Next" w:hAnsi="Avenir Next" w:cs="Arial"/>
          <w:b/>
          <w:color w:val="808080" w:themeColor="background1" w:themeShade="80"/>
          <w:sz w:val="22"/>
          <w:szCs w:val="22"/>
          <w:lang w:val="en-GB"/>
        </w:rPr>
        <w:t>JIN Guidelines</w:t>
      </w:r>
      <w:r>
        <w:rPr>
          <w:rFonts w:ascii="Avenir Next" w:hAnsi="Avenir Next" w:cs="Arial"/>
          <w:color w:val="808080" w:themeColor="background1" w:themeShade="80"/>
          <w:sz w:val="22"/>
          <w:szCs w:val="22"/>
          <w:lang w:val="en-GB"/>
        </w:rPr>
        <w:t>").  The JIN Guidelines seek to improve the efficiency and effectiveness of insolvency proceedings continuing in parallel in different jurisdictions</w:t>
      </w:r>
      <w:r w:rsidR="00285D38">
        <w:rPr>
          <w:rFonts w:ascii="Avenir Next" w:hAnsi="Avenir Next" w:cs="Arial"/>
          <w:color w:val="808080" w:themeColor="background1" w:themeShade="80"/>
          <w:sz w:val="22"/>
          <w:szCs w:val="22"/>
          <w:lang w:val="en-GB"/>
        </w:rPr>
        <w:t xml:space="preserve"> by improving lines of coordination and cooperation between courts in cross-border cases.  It would be helpful to know if either or both of Asgard and Encanto have adopted the JIN Guidelines.</w:t>
      </w:r>
    </w:p>
    <w:p w14:paraId="5EB7E517" w14:textId="77777777" w:rsidR="00285D38" w:rsidRDefault="00285D38" w:rsidP="00285D38">
      <w:pPr>
        <w:jc w:val="both"/>
        <w:rPr>
          <w:rFonts w:ascii="Avenir Next" w:hAnsi="Avenir Next" w:cs="Arial"/>
          <w:color w:val="808080" w:themeColor="background1" w:themeShade="80"/>
          <w:sz w:val="22"/>
          <w:szCs w:val="22"/>
          <w:lang w:val="en-GB"/>
        </w:rPr>
      </w:pPr>
    </w:p>
    <w:p w14:paraId="73AB1149" w14:textId="36BFE8D8" w:rsidR="00285D38" w:rsidRPr="00285D38" w:rsidRDefault="00285D38" w:rsidP="00285D3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cross-border insolvency agreements are important in cross-border insolvency matters because they provide for courts to coordinate and cooperate.  Without these agreements, insolvency representatives and other stakeholders would be at the mercy of courts that were unwilling or unable to communicate and coordinate with other States' courts.  In turn, that could lead to unsatisfactory outcomes for creditors (if, for example, the positions of creditors in one jurisdiction were prejudiced by the outcomes of concurrent insolvency proceedings in a different jurisdiction)</w:t>
      </w:r>
      <w:r w:rsidR="00173303">
        <w:rPr>
          <w:rFonts w:ascii="Avenir Next" w:hAnsi="Avenir Next" w:cs="Arial"/>
          <w:color w:val="808080" w:themeColor="background1" w:themeShade="80"/>
          <w:sz w:val="22"/>
          <w:szCs w:val="22"/>
          <w:lang w:val="en-GB"/>
        </w:rPr>
        <w:t xml:space="preserve"> and unnecessary expense and delay in progressing insolvency proceedings.</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w:t>
      </w:r>
      <w:r w:rsidR="00B12F13" w:rsidRPr="004216EA">
        <w:rPr>
          <w:rFonts w:ascii="Avenir Next" w:hAnsi="Avenir Next" w:cs="Arial"/>
          <w:sz w:val="22"/>
          <w:szCs w:val="22"/>
          <w:lang w:val="en-GB"/>
        </w:rPr>
        <w:lastRenderedPageBreak/>
        <w:t>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31575F5B" w:rsidR="001E1C34" w:rsidRDefault="00557A06"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the UK's withdrawal from the European Union, the European Insolvency Regulation Recast (the "</w:t>
      </w:r>
      <w:r>
        <w:rPr>
          <w:rFonts w:ascii="Avenir Next" w:hAnsi="Avenir Next" w:cs="Arial"/>
          <w:b/>
          <w:color w:val="808080" w:themeColor="background1" w:themeShade="80"/>
          <w:sz w:val="22"/>
          <w:szCs w:val="22"/>
          <w:lang w:val="en-GB"/>
        </w:rPr>
        <w:t>EIR Recast</w:t>
      </w:r>
      <w:r>
        <w:rPr>
          <w:rFonts w:ascii="Avenir Next" w:hAnsi="Avenir Next" w:cs="Arial"/>
          <w:color w:val="808080" w:themeColor="background1" w:themeShade="80"/>
          <w:sz w:val="22"/>
          <w:szCs w:val="22"/>
          <w:lang w:val="en-GB"/>
        </w:rPr>
        <w:t xml:space="preserve">") ceased to apply in the UK from 11pm on 31 December 2020 onwards and proceedings opened </w:t>
      </w:r>
      <w:r w:rsidR="00233E7B">
        <w:rPr>
          <w:rFonts w:ascii="Avenir Next" w:hAnsi="Avenir Next" w:cs="Arial"/>
          <w:color w:val="808080" w:themeColor="background1" w:themeShade="80"/>
          <w:sz w:val="22"/>
          <w:szCs w:val="22"/>
          <w:lang w:val="en-GB"/>
        </w:rPr>
        <w:t xml:space="preserve">in the UK </w:t>
      </w:r>
      <w:r>
        <w:rPr>
          <w:rFonts w:ascii="Avenir Next" w:hAnsi="Avenir Next" w:cs="Arial"/>
          <w:color w:val="808080" w:themeColor="background1" w:themeShade="80"/>
          <w:sz w:val="22"/>
          <w:szCs w:val="22"/>
          <w:lang w:val="en-GB"/>
        </w:rPr>
        <w:t>subsequently do not fall within the</w:t>
      </w:r>
      <w:r w:rsidR="00233E7B">
        <w:rPr>
          <w:rFonts w:ascii="Avenir Next" w:hAnsi="Avenir Next" w:cs="Arial"/>
          <w:color w:val="808080" w:themeColor="background1" w:themeShade="80"/>
          <w:sz w:val="22"/>
          <w:szCs w:val="22"/>
          <w:lang w:val="en-GB"/>
        </w:rPr>
        <w:t xml:space="preserve"> scope of the EIR Recast.</w:t>
      </w:r>
    </w:p>
    <w:p w14:paraId="571705F6" w14:textId="77777777" w:rsidR="00233E7B" w:rsidRDefault="00233E7B" w:rsidP="001E1C34">
      <w:pPr>
        <w:ind w:left="720" w:hanging="720"/>
        <w:jc w:val="both"/>
        <w:rPr>
          <w:rFonts w:ascii="Avenir Next" w:hAnsi="Avenir Next" w:cs="Arial"/>
          <w:color w:val="808080" w:themeColor="background1" w:themeShade="80"/>
          <w:sz w:val="22"/>
          <w:szCs w:val="22"/>
          <w:lang w:val="en-GB"/>
        </w:rPr>
      </w:pPr>
    </w:p>
    <w:p w14:paraId="6CE88B37" w14:textId="0FC2F7D8" w:rsidR="00233E7B" w:rsidRDefault="003C5C1F"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233E7B">
        <w:rPr>
          <w:rFonts w:ascii="Avenir Next" w:hAnsi="Avenir Next" w:cs="Arial"/>
          <w:color w:val="808080" w:themeColor="background1" w:themeShade="80"/>
          <w:sz w:val="22"/>
          <w:szCs w:val="22"/>
          <w:lang w:val="en-GB"/>
        </w:rPr>
        <w:t>t may be the case that FPPL's centre of main interests ("</w:t>
      </w:r>
      <w:r w:rsidR="00233E7B">
        <w:rPr>
          <w:rFonts w:ascii="Avenir Next" w:hAnsi="Avenir Next" w:cs="Arial"/>
          <w:b/>
          <w:color w:val="808080" w:themeColor="background1" w:themeShade="80"/>
          <w:sz w:val="22"/>
          <w:szCs w:val="22"/>
          <w:lang w:val="en-GB"/>
        </w:rPr>
        <w:t>COMI</w:t>
      </w:r>
      <w:r w:rsidR="00233E7B">
        <w:rPr>
          <w:rFonts w:ascii="Avenir Next" w:hAnsi="Avenir Next" w:cs="Arial"/>
          <w:color w:val="808080" w:themeColor="background1" w:themeShade="80"/>
          <w:sz w:val="22"/>
          <w:szCs w:val="22"/>
          <w:lang w:val="en-GB"/>
        </w:rPr>
        <w:t xml:space="preserve">") is not in the UK - evidenced by the fact that the UK insolvency proceedings against FPPL were opened by a </w:t>
      </w:r>
      <w:r w:rsidR="00233E7B">
        <w:rPr>
          <w:rFonts w:ascii="Avenir Next" w:hAnsi="Avenir Next" w:cs="Arial"/>
          <w:i/>
          <w:color w:val="808080" w:themeColor="background1" w:themeShade="80"/>
          <w:sz w:val="22"/>
          <w:szCs w:val="22"/>
          <w:lang w:val="en-GB"/>
        </w:rPr>
        <w:t>minor</w:t>
      </w:r>
      <w:r w:rsidR="00233E7B">
        <w:rPr>
          <w:rFonts w:ascii="Avenir Next" w:hAnsi="Avenir Next" w:cs="Arial"/>
          <w:color w:val="808080" w:themeColor="background1" w:themeShade="80"/>
          <w:sz w:val="22"/>
          <w:szCs w:val="22"/>
          <w:lang w:val="en-GB"/>
        </w:rPr>
        <w:t xml:space="preserve"> creditor of FPPL.  The EIR Recast allocates jurisdictional primacy (known as main proceedings) based on a debtor's COMI, so it would be helpful to understand where FPPL's COMI is.  This is a question of fact, </w:t>
      </w:r>
      <w:r>
        <w:rPr>
          <w:rFonts w:ascii="Avenir Next" w:hAnsi="Avenir Next" w:cs="Arial"/>
          <w:color w:val="808080" w:themeColor="background1" w:themeShade="80"/>
          <w:sz w:val="22"/>
          <w:szCs w:val="22"/>
          <w:lang w:val="en-GB"/>
        </w:rPr>
        <w:t>starting from</w:t>
      </w:r>
      <w:r w:rsidR="00233E7B">
        <w:rPr>
          <w:rFonts w:ascii="Avenir Next" w:hAnsi="Avenir Next" w:cs="Arial"/>
          <w:color w:val="808080" w:themeColor="background1" w:themeShade="80"/>
          <w:sz w:val="22"/>
          <w:szCs w:val="22"/>
          <w:lang w:val="en-GB"/>
        </w:rPr>
        <w:t xml:space="preserve"> a rebuttable presumption that the jurisdiction of FPPL's incorporation would be its COMI.  It is not clear where FPPL is incorporated (only that it is an incorporated company and that it has offices in the UK).</w:t>
      </w:r>
    </w:p>
    <w:p w14:paraId="39B75BB7" w14:textId="77777777" w:rsidR="00233E7B" w:rsidRDefault="00233E7B" w:rsidP="001E1C34">
      <w:pPr>
        <w:ind w:left="720" w:hanging="720"/>
        <w:jc w:val="both"/>
        <w:rPr>
          <w:rFonts w:ascii="Avenir Next" w:hAnsi="Avenir Next" w:cs="Arial"/>
          <w:color w:val="808080" w:themeColor="background1" w:themeShade="80"/>
          <w:sz w:val="22"/>
          <w:szCs w:val="22"/>
          <w:lang w:val="en-GB"/>
        </w:rPr>
      </w:pPr>
    </w:p>
    <w:p w14:paraId="0FCF3040" w14:textId="4E00F694" w:rsidR="00233E7B" w:rsidRDefault="003C5C1F"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FPPL's COMI is in a European jurisdiction, the court of that State may be the appropriate one to open main insolvency proceedings pursuant to the EIR Recast.  That could mean that any judgment given in respect of the UK insolvency proceedings could be unenforceable with regard to the European main insolvency proceedings (or, indeed, any other European jurisdiction in which subsidiary proceedings have been opened).</w:t>
      </w:r>
    </w:p>
    <w:p w14:paraId="3B2418B9" w14:textId="77777777" w:rsidR="003C5C1F" w:rsidRDefault="003C5C1F" w:rsidP="001E1C34">
      <w:pPr>
        <w:ind w:left="720" w:hanging="720"/>
        <w:jc w:val="both"/>
        <w:rPr>
          <w:rFonts w:ascii="Avenir Next" w:hAnsi="Avenir Next" w:cs="Arial"/>
          <w:color w:val="808080" w:themeColor="background1" w:themeShade="80"/>
          <w:sz w:val="22"/>
          <w:szCs w:val="22"/>
          <w:lang w:val="en-GB"/>
        </w:rPr>
      </w:pPr>
    </w:p>
    <w:p w14:paraId="7E62771A" w14:textId="7B616888" w:rsidR="003C5C1F" w:rsidRPr="00233E7B" w:rsidRDefault="003C5C1F"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Non-enforceability of any judgment given or order made by the UK court may hinder the UK insolvency representative's ability to realise FPPL's assets or challenge voidable transactions, where the assets or transactions are outside of the UK.  If that is the case, there could be damaging consequences for FPPL's UK creditors (and the petitioning creditor may not recover the debts that it was seeking to by opening insolvency proceedings in respect of FPPL.</w:t>
      </w:r>
    </w:p>
    <w:p w14:paraId="38D1AC7A" w14:textId="77777777" w:rsidR="00233E7B" w:rsidRDefault="00233E7B" w:rsidP="001E1C34">
      <w:pPr>
        <w:ind w:left="720" w:hanging="720"/>
        <w:jc w:val="both"/>
        <w:rPr>
          <w:rFonts w:ascii="Avenir Next" w:hAnsi="Avenir Next" w:cs="Arial"/>
          <w:color w:val="808080" w:themeColor="background1" w:themeShade="80"/>
          <w:sz w:val="22"/>
          <w:szCs w:val="22"/>
          <w:lang w:val="en-GB"/>
        </w:rPr>
      </w:pPr>
    </w:p>
    <w:p w14:paraId="35528144" w14:textId="77777777" w:rsidR="00233E7B" w:rsidRPr="00557A06" w:rsidRDefault="00233E7B" w:rsidP="001E1C34">
      <w:pPr>
        <w:ind w:left="720" w:hanging="720"/>
        <w:jc w:val="both"/>
        <w:rPr>
          <w:rFonts w:ascii="Avenir Next" w:hAnsi="Avenir Next" w:cs="Arial"/>
          <w:color w:val="808080" w:themeColor="background1" w:themeShade="80"/>
          <w:sz w:val="22"/>
          <w:szCs w:val="22"/>
          <w:lang w:val="en-GB"/>
        </w:rPr>
      </w:pP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7040F" w14:textId="77777777" w:rsidR="000155C3" w:rsidRDefault="000155C3" w:rsidP="00241B44">
      <w:r>
        <w:separator/>
      </w:r>
    </w:p>
  </w:endnote>
  <w:endnote w:type="continuationSeparator" w:id="0">
    <w:p w14:paraId="48DE8B63" w14:textId="77777777" w:rsidR="000155C3" w:rsidRDefault="000155C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EB4E28" w:rsidRPr="00A31881" w:rsidRDefault="00EB4E28"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EB4E28" w:rsidRPr="00A31881" w:rsidRDefault="00EB4E28"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985E063" w:rsidR="00EB4E28" w:rsidRPr="00297BDF" w:rsidRDefault="00EB4E28"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C42A81">
          <w:rPr>
            <w:rStyle w:val="PageNumber"/>
            <w:rFonts w:ascii="Avenir Next" w:hAnsi="Avenir Next" w:cs="Arial"/>
            <w:noProof/>
            <w:sz w:val="22"/>
            <w:szCs w:val="22"/>
          </w:rPr>
          <w:t>14</w:t>
        </w:r>
        <w:r w:rsidRPr="00297BDF">
          <w:rPr>
            <w:rStyle w:val="PageNumber"/>
            <w:rFonts w:ascii="Avenir Next" w:hAnsi="Avenir Next" w:cs="Arial"/>
            <w:sz w:val="22"/>
            <w:szCs w:val="22"/>
          </w:rPr>
          <w:fldChar w:fldCharType="end"/>
        </w:r>
      </w:p>
    </w:sdtContent>
  </w:sdt>
  <w:p w14:paraId="12ABA5E1" w14:textId="4585576D" w:rsidR="00EB4E28" w:rsidRPr="00297BDF" w:rsidRDefault="00EB4E28" w:rsidP="0052732A">
    <w:pPr>
      <w:pStyle w:val="Footer"/>
      <w:ind w:right="360"/>
      <w:rPr>
        <w:rFonts w:ascii="Avenir Next" w:hAnsi="Avenir Next" w:cs="Arial"/>
        <w:sz w:val="22"/>
        <w:szCs w:val="22"/>
      </w:rPr>
    </w:pPr>
    <w:r w:rsidRPr="007E7B4B">
      <w:rPr>
        <w:rFonts w:ascii="Avenir Next" w:hAnsi="Avenir Next" w:cs="Arial"/>
        <w:sz w:val="22"/>
        <w:szCs w:val="22"/>
      </w:rPr>
      <w:t>202223-978</w:t>
    </w:r>
    <w:r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D3FC5" w14:textId="77777777" w:rsidR="000155C3" w:rsidRDefault="000155C3" w:rsidP="00241B44">
      <w:r>
        <w:separator/>
      </w:r>
    </w:p>
  </w:footnote>
  <w:footnote w:type="continuationSeparator" w:id="0">
    <w:p w14:paraId="0192B4A8" w14:textId="77777777" w:rsidR="000155C3" w:rsidRDefault="000155C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1255FC"/>
    <w:multiLevelType w:val="hybridMultilevel"/>
    <w:tmpl w:val="E27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C4378A"/>
    <w:multiLevelType w:val="hybridMultilevel"/>
    <w:tmpl w:val="B222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A2211"/>
    <w:multiLevelType w:val="hybridMultilevel"/>
    <w:tmpl w:val="2D4E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F513BA0"/>
    <w:multiLevelType w:val="hybridMultilevel"/>
    <w:tmpl w:val="4E96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3"/>
  </w:num>
  <w:num w:numId="4">
    <w:abstractNumId w:val="5"/>
  </w:num>
  <w:num w:numId="5">
    <w:abstractNumId w:val="17"/>
  </w:num>
  <w:num w:numId="6">
    <w:abstractNumId w:val="22"/>
  </w:num>
  <w:num w:numId="7">
    <w:abstractNumId w:val="10"/>
  </w:num>
  <w:num w:numId="8">
    <w:abstractNumId w:val="27"/>
  </w:num>
  <w:num w:numId="9">
    <w:abstractNumId w:val="9"/>
  </w:num>
  <w:num w:numId="10">
    <w:abstractNumId w:val="23"/>
  </w:num>
  <w:num w:numId="11">
    <w:abstractNumId w:val="8"/>
  </w:num>
  <w:num w:numId="12">
    <w:abstractNumId w:val="24"/>
  </w:num>
  <w:num w:numId="13">
    <w:abstractNumId w:val="16"/>
  </w:num>
  <w:num w:numId="14">
    <w:abstractNumId w:val="15"/>
  </w:num>
  <w:num w:numId="15">
    <w:abstractNumId w:val="6"/>
  </w:num>
  <w:num w:numId="16">
    <w:abstractNumId w:val="18"/>
  </w:num>
  <w:num w:numId="17">
    <w:abstractNumId w:val="13"/>
  </w:num>
  <w:num w:numId="18">
    <w:abstractNumId w:val="14"/>
  </w:num>
  <w:num w:numId="19">
    <w:abstractNumId w:val="20"/>
  </w:num>
  <w:num w:numId="20">
    <w:abstractNumId w:val="7"/>
  </w:num>
  <w:num w:numId="21">
    <w:abstractNumId w:val="12"/>
  </w:num>
  <w:num w:numId="22">
    <w:abstractNumId w:val="0"/>
  </w:num>
  <w:num w:numId="23">
    <w:abstractNumId w:val="19"/>
  </w:num>
  <w:num w:numId="24">
    <w:abstractNumId w:val="1"/>
  </w:num>
  <w:num w:numId="25">
    <w:abstractNumId w:val="4"/>
  </w:num>
  <w:num w:numId="26">
    <w:abstractNumId w:val="25"/>
  </w:num>
  <w:num w:numId="27">
    <w:abstractNumId w:val="2"/>
  </w:num>
  <w:num w:numId="2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07968"/>
    <w:rsid w:val="00010BA0"/>
    <w:rsid w:val="00011ECC"/>
    <w:rsid w:val="000155C3"/>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2536"/>
    <w:rsid w:val="00093BE8"/>
    <w:rsid w:val="00093FE2"/>
    <w:rsid w:val="0009471C"/>
    <w:rsid w:val="0009504E"/>
    <w:rsid w:val="000A01B9"/>
    <w:rsid w:val="000A0C1B"/>
    <w:rsid w:val="000A68ED"/>
    <w:rsid w:val="000A74CA"/>
    <w:rsid w:val="000B5B93"/>
    <w:rsid w:val="000B5BD7"/>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6F3"/>
    <w:rsid w:val="00150F6C"/>
    <w:rsid w:val="00152348"/>
    <w:rsid w:val="0015328F"/>
    <w:rsid w:val="0015456D"/>
    <w:rsid w:val="00161F1B"/>
    <w:rsid w:val="001620AF"/>
    <w:rsid w:val="00162829"/>
    <w:rsid w:val="0016472D"/>
    <w:rsid w:val="00164B28"/>
    <w:rsid w:val="001677CC"/>
    <w:rsid w:val="00172217"/>
    <w:rsid w:val="00173303"/>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3E7B"/>
    <w:rsid w:val="002362AB"/>
    <w:rsid w:val="002400DB"/>
    <w:rsid w:val="002406A4"/>
    <w:rsid w:val="0024116D"/>
    <w:rsid w:val="00241B44"/>
    <w:rsid w:val="00245EFB"/>
    <w:rsid w:val="002526C5"/>
    <w:rsid w:val="002529D2"/>
    <w:rsid w:val="0025386E"/>
    <w:rsid w:val="00254AB3"/>
    <w:rsid w:val="002554A0"/>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5D38"/>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0D"/>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C5C1F"/>
    <w:rsid w:val="003C68AC"/>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061EC"/>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43B"/>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E6B44"/>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56AED"/>
    <w:rsid w:val="00557A06"/>
    <w:rsid w:val="00560534"/>
    <w:rsid w:val="0056391B"/>
    <w:rsid w:val="005650E2"/>
    <w:rsid w:val="00566D80"/>
    <w:rsid w:val="00567AD7"/>
    <w:rsid w:val="00570D02"/>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F13"/>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0B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6BA9"/>
    <w:rsid w:val="00657087"/>
    <w:rsid w:val="0065715A"/>
    <w:rsid w:val="006578EC"/>
    <w:rsid w:val="00660EA9"/>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64B"/>
    <w:rsid w:val="006B2893"/>
    <w:rsid w:val="006B435A"/>
    <w:rsid w:val="006B4539"/>
    <w:rsid w:val="006B4C64"/>
    <w:rsid w:val="006B5AE8"/>
    <w:rsid w:val="006B72A7"/>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523C"/>
    <w:rsid w:val="00726E9A"/>
    <w:rsid w:val="00727864"/>
    <w:rsid w:val="007333CC"/>
    <w:rsid w:val="007335D8"/>
    <w:rsid w:val="0073399A"/>
    <w:rsid w:val="007340C5"/>
    <w:rsid w:val="00735E19"/>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54A5"/>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E7B4B"/>
    <w:rsid w:val="007F0919"/>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37FD2"/>
    <w:rsid w:val="00841E70"/>
    <w:rsid w:val="00845226"/>
    <w:rsid w:val="008473AA"/>
    <w:rsid w:val="00852883"/>
    <w:rsid w:val="00852F37"/>
    <w:rsid w:val="008571F6"/>
    <w:rsid w:val="00857A02"/>
    <w:rsid w:val="00861E51"/>
    <w:rsid w:val="00870B96"/>
    <w:rsid w:val="00871641"/>
    <w:rsid w:val="008723F3"/>
    <w:rsid w:val="00873246"/>
    <w:rsid w:val="00875E2E"/>
    <w:rsid w:val="00880F99"/>
    <w:rsid w:val="00881DA8"/>
    <w:rsid w:val="00881DE6"/>
    <w:rsid w:val="008837A6"/>
    <w:rsid w:val="00883BEC"/>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2B2"/>
    <w:rsid w:val="008C165D"/>
    <w:rsid w:val="008C4066"/>
    <w:rsid w:val="008C66E0"/>
    <w:rsid w:val="008D0122"/>
    <w:rsid w:val="008D3E17"/>
    <w:rsid w:val="008D5D34"/>
    <w:rsid w:val="008D7718"/>
    <w:rsid w:val="008E220E"/>
    <w:rsid w:val="008E3339"/>
    <w:rsid w:val="008E3ADC"/>
    <w:rsid w:val="008E589D"/>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3DC5"/>
    <w:rsid w:val="00926D10"/>
    <w:rsid w:val="009275FE"/>
    <w:rsid w:val="009355DB"/>
    <w:rsid w:val="00940C1F"/>
    <w:rsid w:val="00942123"/>
    <w:rsid w:val="0094263A"/>
    <w:rsid w:val="00943719"/>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87B26"/>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9F2F56"/>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1184"/>
    <w:rsid w:val="00A523C5"/>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554"/>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E630A"/>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5897"/>
    <w:rsid w:val="00B66053"/>
    <w:rsid w:val="00B7193E"/>
    <w:rsid w:val="00B72999"/>
    <w:rsid w:val="00B72FD7"/>
    <w:rsid w:val="00B736DF"/>
    <w:rsid w:val="00B74FBD"/>
    <w:rsid w:val="00B75179"/>
    <w:rsid w:val="00B82586"/>
    <w:rsid w:val="00B829A3"/>
    <w:rsid w:val="00B84CE9"/>
    <w:rsid w:val="00B86537"/>
    <w:rsid w:val="00B86DB1"/>
    <w:rsid w:val="00B87869"/>
    <w:rsid w:val="00B87A61"/>
    <w:rsid w:val="00B92D5B"/>
    <w:rsid w:val="00B9417E"/>
    <w:rsid w:val="00B948AE"/>
    <w:rsid w:val="00B97047"/>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4E82"/>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2A81"/>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0418"/>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0B84"/>
    <w:rsid w:val="00DA42EF"/>
    <w:rsid w:val="00DB1A35"/>
    <w:rsid w:val="00DB243C"/>
    <w:rsid w:val="00DB482A"/>
    <w:rsid w:val="00DB56F2"/>
    <w:rsid w:val="00DB5D9B"/>
    <w:rsid w:val="00DB6C81"/>
    <w:rsid w:val="00DB6EF5"/>
    <w:rsid w:val="00DC2A3F"/>
    <w:rsid w:val="00DC2BEC"/>
    <w:rsid w:val="00DC2FDB"/>
    <w:rsid w:val="00DC3089"/>
    <w:rsid w:val="00DC4420"/>
    <w:rsid w:val="00DC6489"/>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2EC2"/>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3BDE"/>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4E28"/>
    <w:rsid w:val="00EB6668"/>
    <w:rsid w:val="00EB6A2F"/>
    <w:rsid w:val="00EC3875"/>
    <w:rsid w:val="00EC549E"/>
    <w:rsid w:val="00EC6E55"/>
    <w:rsid w:val="00ED0BC4"/>
    <w:rsid w:val="00ED151E"/>
    <w:rsid w:val="00ED2323"/>
    <w:rsid w:val="00ED3CDA"/>
    <w:rsid w:val="00ED617A"/>
    <w:rsid w:val="00EE1A0E"/>
    <w:rsid w:val="00EE4971"/>
    <w:rsid w:val="00EE5A48"/>
    <w:rsid w:val="00EE5F7D"/>
    <w:rsid w:val="00EE6390"/>
    <w:rsid w:val="00EE677D"/>
    <w:rsid w:val="00EE7278"/>
    <w:rsid w:val="00EF090E"/>
    <w:rsid w:val="00EF16B6"/>
    <w:rsid w:val="00EF1B1A"/>
    <w:rsid w:val="00EF2D08"/>
    <w:rsid w:val="00EF54D7"/>
    <w:rsid w:val="00EF5705"/>
    <w:rsid w:val="00EF6653"/>
    <w:rsid w:val="00F033DA"/>
    <w:rsid w:val="00F0424E"/>
    <w:rsid w:val="00F069EA"/>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0253"/>
    <w:rsid w:val="00F71433"/>
    <w:rsid w:val="00F71CE8"/>
    <w:rsid w:val="00F738B0"/>
    <w:rsid w:val="00F801C5"/>
    <w:rsid w:val="00F83231"/>
    <w:rsid w:val="00F85A51"/>
    <w:rsid w:val="00F85DB2"/>
    <w:rsid w:val="00F91FA7"/>
    <w:rsid w:val="00F958F1"/>
    <w:rsid w:val="00F95955"/>
    <w:rsid w:val="00F96AF1"/>
    <w:rsid w:val="00F97C5B"/>
    <w:rsid w:val="00FA29FD"/>
    <w:rsid w:val="00FA2A46"/>
    <w:rsid w:val="00FA3739"/>
    <w:rsid w:val="00FA3D50"/>
    <w:rsid w:val="00FA43E7"/>
    <w:rsid w:val="00FB2C81"/>
    <w:rsid w:val="00FB6703"/>
    <w:rsid w:val="00FB7C8F"/>
    <w:rsid w:val="00FB7D52"/>
    <w:rsid w:val="00FC258A"/>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720E0-81BB-4881-A966-639B0E49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5610</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Baker McKenzie</cp:lastModifiedBy>
  <cp:revision>17</cp:revision>
  <cp:lastPrinted>2020-06-12T02:43:00Z</cp:lastPrinted>
  <dcterms:created xsi:type="dcterms:W3CDTF">2022-11-09T07:15:00Z</dcterms:created>
  <dcterms:modified xsi:type="dcterms:W3CDTF">2022-11-12T02:37:00Z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