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w:t>
      </w:r>
      <w:bookmarkStart w:id="0" w:name="_GoBack"/>
      <w:bookmarkEnd w:id="0"/>
      <w:r w:rsidRPr="006925C1">
        <w:rPr>
          <w:rFonts w:ascii="Avenir Next" w:hAnsi="Avenir Next" w:cs="Arial"/>
          <w:sz w:val="22"/>
          <w:szCs w:val="22"/>
          <w:lang w:val="en-GB"/>
        </w:rPr>
        <w:t xml:space="preserve">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C81677" w:rsidRDefault="00AE5B6F" w:rsidP="00B04033">
      <w:pPr>
        <w:pStyle w:val="ListParagraph"/>
        <w:numPr>
          <w:ilvl w:val="0"/>
          <w:numId w:val="1"/>
        </w:numPr>
        <w:ind w:left="426"/>
        <w:jc w:val="both"/>
        <w:rPr>
          <w:rFonts w:ascii="Avenir Next" w:hAnsi="Avenir Next" w:cs="Arial"/>
          <w:sz w:val="22"/>
          <w:szCs w:val="22"/>
          <w:highlight w:val="yellow"/>
          <w:lang w:val="en-GB"/>
        </w:rPr>
      </w:pPr>
      <w:r w:rsidRPr="00C81677">
        <w:rPr>
          <w:rFonts w:ascii="Avenir Next" w:hAnsi="Avenir Next" w:cs="Arial"/>
          <w:sz w:val="22"/>
          <w:szCs w:val="22"/>
          <w:highlight w:val="yellow"/>
          <w:lang w:val="en-GB"/>
        </w:rPr>
        <w:t>w</w:t>
      </w:r>
      <w:r w:rsidR="00C91062" w:rsidRPr="00C81677">
        <w:rPr>
          <w:rFonts w:ascii="Avenir Next" w:hAnsi="Avenir Next" w:cs="Arial"/>
          <w:sz w:val="22"/>
          <w:szCs w:val="22"/>
          <w:highlight w:val="yellow"/>
          <w:lang w:val="en-GB"/>
        </w:rPr>
        <w:t>ithin 8 weeks of the commencement of the administration</w:t>
      </w:r>
      <w:r w:rsidR="00763348" w:rsidRPr="00C81677">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B22E5C" w:rsidRDefault="00E443D7" w:rsidP="00B04033">
      <w:pPr>
        <w:pStyle w:val="ListParagraph"/>
        <w:numPr>
          <w:ilvl w:val="0"/>
          <w:numId w:val="2"/>
        </w:numPr>
        <w:ind w:left="426"/>
        <w:jc w:val="both"/>
        <w:rPr>
          <w:rFonts w:ascii="Avenir Next" w:hAnsi="Avenir Next" w:cs="Arial"/>
          <w:sz w:val="22"/>
          <w:szCs w:val="22"/>
          <w:highlight w:val="yellow"/>
          <w:lang w:val="en-GB"/>
        </w:rPr>
      </w:pPr>
      <w:r w:rsidRPr="00B22E5C">
        <w:rPr>
          <w:rFonts w:ascii="Avenir Next" w:hAnsi="Avenir Next" w:cs="Arial"/>
          <w:sz w:val="22"/>
          <w:szCs w:val="22"/>
          <w:highlight w:val="yellow"/>
          <w:lang w:val="en-GB"/>
        </w:rPr>
        <w:t>One year</w:t>
      </w:r>
      <w:r w:rsidR="00763348" w:rsidRPr="00B22E5C">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w:t>
      </w:r>
      <w:proofErr w:type="gramStart"/>
      <w:r w:rsidRPr="006925C1">
        <w:rPr>
          <w:rFonts w:ascii="Avenir Next" w:hAnsi="Avenir Next" w:cs="Arial"/>
          <w:sz w:val="22"/>
          <w:szCs w:val="22"/>
          <w:lang w:val="en-GB"/>
        </w:rPr>
        <w:t>enter into</w:t>
      </w:r>
      <w:proofErr w:type="gramEnd"/>
      <w:r w:rsidRPr="006925C1">
        <w:rPr>
          <w:rFonts w:ascii="Avenir Next" w:hAnsi="Avenir Next" w:cs="Arial"/>
          <w:sz w:val="22"/>
          <w:szCs w:val="22"/>
          <w:lang w:val="en-GB"/>
        </w:rPr>
        <w:t xml:space="preserve">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BC248B" w:rsidRDefault="00AE5B6F" w:rsidP="00B04033">
      <w:pPr>
        <w:pStyle w:val="ListParagraph"/>
        <w:numPr>
          <w:ilvl w:val="0"/>
          <w:numId w:val="3"/>
        </w:numPr>
        <w:ind w:left="426"/>
        <w:jc w:val="both"/>
        <w:rPr>
          <w:rFonts w:ascii="Avenir Next" w:hAnsi="Avenir Next" w:cs="Arial"/>
          <w:sz w:val="22"/>
          <w:szCs w:val="22"/>
          <w:highlight w:val="yellow"/>
          <w:lang w:val="en-GB"/>
        </w:rPr>
      </w:pPr>
      <w:r w:rsidRPr="00BC248B">
        <w:rPr>
          <w:rFonts w:ascii="Avenir Next" w:hAnsi="Avenir Next" w:cs="Arial"/>
          <w:sz w:val="22"/>
          <w:szCs w:val="22"/>
          <w:highlight w:val="yellow"/>
          <w:lang w:val="en-GB"/>
        </w:rPr>
        <w:t>T</w:t>
      </w:r>
      <w:r w:rsidR="008D1616" w:rsidRPr="00BC248B">
        <w:rPr>
          <w:rFonts w:ascii="Avenir Next" w:hAnsi="Avenir Next" w:cs="Arial"/>
          <w:sz w:val="22"/>
          <w:szCs w:val="22"/>
          <w:highlight w:val="yellow"/>
          <w:lang w:val="en-GB"/>
        </w:rPr>
        <w:t>he company is, or is likely to become, unable to pay their debts, as defined under s</w:t>
      </w:r>
      <w:r w:rsidR="00E833F4" w:rsidRPr="00BC248B">
        <w:rPr>
          <w:rFonts w:ascii="Avenir Next" w:hAnsi="Avenir Next" w:cs="Arial"/>
          <w:sz w:val="22"/>
          <w:szCs w:val="22"/>
          <w:highlight w:val="yellow"/>
          <w:lang w:val="en-GB"/>
        </w:rPr>
        <w:t>ection</w:t>
      </w:r>
      <w:r w:rsidR="008D1616" w:rsidRPr="00BC248B">
        <w:rPr>
          <w:rFonts w:ascii="Avenir Next" w:hAnsi="Avenir Next" w:cs="Arial"/>
          <w:sz w:val="22"/>
          <w:szCs w:val="22"/>
          <w:highlight w:val="yellow"/>
          <w:lang w:val="en-GB"/>
        </w:rPr>
        <w:t xml:space="preserve"> 123 of the Insolvency Act 1986</w:t>
      </w:r>
      <w:r w:rsidR="00763348" w:rsidRPr="00BC248B">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B1261F" w:rsidRDefault="00C91062" w:rsidP="00B04033">
      <w:pPr>
        <w:pStyle w:val="ListParagraph"/>
        <w:numPr>
          <w:ilvl w:val="0"/>
          <w:numId w:val="4"/>
        </w:numPr>
        <w:ind w:left="426"/>
        <w:jc w:val="both"/>
        <w:rPr>
          <w:rFonts w:ascii="Avenir Next" w:hAnsi="Avenir Next" w:cs="Arial"/>
          <w:sz w:val="22"/>
          <w:szCs w:val="22"/>
          <w:highlight w:val="yellow"/>
          <w:lang w:val="en-GB"/>
        </w:rPr>
      </w:pPr>
      <w:r w:rsidRPr="00B1261F">
        <w:rPr>
          <w:rFonts w:ascii="Avenir Next" w:hAnsi="Avenir Next" w:cs="Arial"/>
          <w:sz w:val="22"/>
          <w:szCs w:val="22"/>
          <w:highlight w:val="yellow"/>
          <w:lang w:val="en-GB"/>
        </w:rPr>
        <w:t>The purchaser</w:t>
      </w:r>
      <w:r w:rsidR="00763348" w:rsidRPr="00B1261F">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9E1726" w:rsidRDefault="00BA1CFD" w:rsidP="00B04033">
      <w:pPr>
        <w:pStyle w:val="ListParagraph"/>
        <w:numPr>
          <w:ilvl w:val="0"/>
          <w:numId w:val="5"/>
        </w:numPr>
        <w:ind w:left="426"/>
        <w:jc w:val="both"/>
        <w:rPr>
          <w:rFonts w:ascii="Avenir Next" w:hAnsi="Avenir Next" w:cs="Arial"/>
          <w:sz w:val="22"/>
          <w:szCs w:val="22"/>
          <w:highlight w:val="yellow"/>
          <w:lang w:val="en-GB"/>
        </w:rPr>
      </w:pPr>
      <w:r w:rsidRPr="009E1726">
        <w:rPr>
          <w:rFonts w:ascii="Avenir Next" w:hAnsi="Avenir Next" w:cs="Arial"/>
          <w:sz w:val="22"/>
          <w:szCs w:val="22"/>
          <w:highlight w:val="yellow"/>
          <w:lang w:val="en-GB"/>
        </w:rPr>
        <w:t>Administration</w:t>
      </w:r>
      <w:r w:rsidR="00763348" w:rsidRPr="009E1726">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9E1726" w:rsidRDefault="001F3C98" w:rsidP="00B04033">
      <w:pPr>
        <w:pStyle w:val="ListParagraph"/>
        <w:numPr>
          <w:ilvl w:val="0"/>
          <w:numId w:val="6"/>
        </w:numPr>
        <w:ind w:left="426"/>
        <w:jc w:val="both"/>
        <w:rPr>
          <w:rFonts w:ascii="Avenir Next" w:hAnsi="Avenir Next" w:cs="Arial"/>
          <w:sz w:val="22"/>
          <w:szCs w:val="22"/>
          <w:highlight w:val="yellow"/>
          <w:lang w:val="en-GB"/>
        </w:rPr>
      </w:pPr>
      <w:r w:rsidRPr="009E1726">
        <w:rPr>
          <w:rFonts w:ascii="Avenir Next" w:hAnsi="Avenir Next" w:cs="Arial"/>
          <w:sz w:val="22"/>
          <w:szCs w:val="22"/>
          <w:highlight w:val="yellow"/>
          <w:lang w:val="en-GB"/>
        </w:rPr>
        <w:t xml:space="preserve">GBP </w:t>
      </w:r>
      <w:r w:rsidR="00BA1CFD" w:rsidRPr="009E1726">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proofErr w:type="gramStart"/>
      <w:r w:rsidRPr="006925C1">
        <w:rPr>
          <w:rFonts w:ascii="Avenir Next" w:hAnsi="Avenir Next" w:cs="Arial"/>
          <w:sz w:val="22"/>
          <w:szCs w:val="22"/>
          <w:lang w:val="en-GB"/>
        </w:rPr>
        <w:t>, in itself, a</w:t>
      </w:r>
      <w:proofErr w:type="gramEnd"/>
      <w:r w:rsidRPr="006925C1">
        <w:rPr>
          <w:rFonts w:ascii="Avenir Next" w:hAnsi="Avenir Next" w:cs="Arial"/>
          <w:sz w:val="22"/>
          <w:szCs w:val="22"/>
          <w:lang w:val="en-GB"/>
        </w:rPr>
        <w:t xml:space="preserve">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D5AB2" w:rsidRDefault="00BA1CFD" w:rsidP="00B04033">
      <w:pPr>
        <w:pStyle w:val="ListParagraph"/>
        <w:numPr>
          <w:ilvl w:val="0"/>
          <w:numId w:val="7"/>
        </w:numPr>
        <w:ind w:left="426"/>
        <w:jc w:val="both"/>
        <w:rPr>
          <w:rFonts w:ascii="Avenir Next" w:hAnsi="Avenir Next" w:cs="Arial"/>
          <w:sz w:val="22"/>
          <w:szCs w:val="22"/>
          <w:highlight w:val="yellow"/>
          <w:lang w:val="en-GB"/>
        </w:rPr>
      </w:pPr>
      <w:r w:rsidRPr="006D5AB2">
        <w:rPr>
          <w:rFonts w:ascii="Avenir Next" w:hAnsi="Avenir Next" w:cs="Arial"/>
          <w:sz w:val="22"/>
          <w:szCs w:val="22"/>
          <w:highlight w:val="yellow"/>
          <w:lang w:val="en-GB"/>
        </w:rPr>
        <w:t>Wrongful trading</w:t>
      </w:r>
      <w:r w:rsidR="00763348" w:rsidRPr="006D5AB2">
        <w:rPr>
          <w:rFonts w:ascii="Avenir Next" w:hAnsi="Avenir Next" w:cs="Arial"/>
          <w:sz w:val="22"/>
          <w:szCs w:val="22"/>
          <w:highlight w:val="yellow"/>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212001">
        <w:rPr>
          <w:rFonts w:ascii="Avenir Next" w:hAnsi="Avenir Next" w:cs="Arial"/>
          <w:sz w:val="22"/>
          <w:szCs w:val="22"/>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t>
      </w:r>
      <w:proofErr w:type="gramStart"/>
      <w:r w:rsidR="00461F95" w:rsidRPr="006925C1">
        <w:rPr>
          <w:rFonts w:ascii="Avenir Next" w:hAnsi="Avenir Next" w:cs="Arial"/>
          <w:sz w:val="22"/>
          <w:szCs w:val="22"/>
          <w:lang w:val="en-GB"/>
        </w:rPr>
        <w:t>whether or not</w:t>
      </w:r>
      <w:proofErr w:type="gramEnd"/>
      <w:r w:rsidR="00461F95" w:rsidRPr="006925C1">
        <w:rPr>
          <w:rFonts w:ascii="Avenir Next" w:hAnsi="Avenir Next" w:cs="Arial"/>
          <w:sz w:val="22"/>
          <w:szCs w:val="22"/>
          <w:lang w:val="en-GB"/>
        </w:rPr>
        <w:t xml:space="preserve">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D5AB2" w:rsidRDefault="00876F56" w:rsidP="00B04033">
      <w:pPr>
        <w:pStyle w:val="ListParagraph"/>
        <w:numPr>
          <w:ilvl w:val="0"/>
          <w:numId w:val="8"/>
        </w:numPr>
        <w:ind w:left="426"/>
        <w:jc w:val="both"/>
        <w:rPr>
          <w:rFonts w:ascii="Avenir Next" w:hAnsi="Avenir Next" w:cs="Arial"/>
          <w:sz w:val="22"/>
          <w:szCs w:val="22"/>
          <w:highlight w:val="yellow"/>
          <w:lang w:val="en-GB"/>
        </w:rPr>
      </w:pPr>
      <w:r w:rsidRPr="006D5AB2">
        <w:rPr>
          <w:rFonts w:ascii="Avenir Next" w:hAnsi="Avenir Next" w:cs="Arial"/>
          <w:sz w:val="22"/>
          <w:szCs w:val="22"/>
          <w:highlight w:val="yellow"/>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212001" w:rsidRDefault="00876F56" w:rsidP="00B04033">
      <w:pPr>
        <w:pStyle w:val="ListParagraph"/>
        <w:numPr>
          <w:ilvl w:val="0"/>
          <w:numId w:val="8"/>
        </w:numPr>
        <w:ind w:left="426"/>
        <w:jc w:val="both"/>
        <w:rPr>
          <w:rFonts w:ascii="Avenir Next" w:hAnsi="Avenir Next" w:cs="Arial"/>
          <w:sz w:val="22"/>
          <w:szCs w:val="22"/>
          <w:lang w:val="en-GB"/>
        </w:rPr>
      </w:pPr>
      <w:r w:rsidRPr="00212001">
        <w:rPr>
          <w:rFonts w:ascii="Avenir Next" w:hAnsi="Avenir Next" w:cs="Arial"/>
          <w:sz w:val="22"/>
          <w:szCs w:val="22"/>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A14453" w:rsidRDefault="00E833F4" w:rsidP="00B04033">
      <w:pPr>
        <w:pStyle w:val="ListParagraph"/>
        <w:numPr>
          <w:ilvl w:val="0"/>
          <w:numId w:val="9"/>
        </w:numPr>
        <w:ind w:left="426"/>
        <w:jc w:val="both"/>
        <w:rPr>
          <w:rFonts w:ascii="Avenir Next" w:hAnsi="Avenir Next" w:cs="Arial"/>
          <w:sz w:val="22"/>
          <w:szCs w:val="22"/>
          <w:highlight w:val="yellow"/>
          <w:lang w:val="en-GB"/>
        </w:rPr>
      </w:pPr>
      <w:r w:rsidRPr="00A14453">
        <w:rPr>
          <w:rFonts w:ascii="Avenir Next" w:hAnsi="Avenir Next" w:cs="Arial"/>
          <w:sz w:val="22"/>
          <w:szCs w:val="22"/>
          <w:highlight w:val="yellow"/>
          <w:lang w:val="en-GB"/>
        </w:rPr>
        <w:t>A</w:t>
      </w:r>
      <w:r w:rsidR="000D10C6" w:rsidRPr="00A14453">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 xml:space="preserve">appointed after Brexit may apply to a UK court for recognition under the </w:t>
      </w:r>
      <w:proofErr w:type="gramStart"/>
      <w:r w:rsidR="00AC317D" w:rsidRPr="006925C1">
        <w:rPr>
          <w:rFonts w:ascii="Avenir Next" w:hAnsi="Avenir Next" w:cs="Arial"/>
          <w:sz w:val="22"/>
          <w:szCs w:val="22"/>
          <w:lang w:val="en-GB"/>
        </w:rPr>
        <w:t>Cross Border</w:t>
      </w:r>
      <w:proofErr w:type="gramEnd"/>
      <w:r w:rsidR="00AC317D" w:rsidRPr="006925C1">
        <w:rPr>
          <w:rFonts w:ascii="Avenir Next" w:hAnsi="Avenir Next" w:cs="Arial"/>
          <w:sz w:val="22"/>
          <w:szCs w:val="22"/>
          <w:lang w:val="en-GB"/>
        </w:rPr>
        <w:t xml:space="preserve">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 xml:space="preserve">for what </w:t>
      </w:r>
      <w:proofErr w:type="gramStart"/>
      <w:r w:rsidR="0020204E" w:rsidRPr="00A84235">
        <w:rPr>
          <w:rFonts w:ascii="Avenir Next Demi Bold" w:hAnsi="Avenir Next Demi Bold" w:cs="Arial"/>
          <w:b/>
          <w:bCs/>
          <w:sz w:val="22"/>
          <w:szCs w:val="22"/>
          <w:u w:val="single"/>
          <w:lang w:val="en-GB"/>
        </w:rPr>
        <w:t>period of time</w:t>
      </w:r>
      <w:proofErr w:type="gramEnd"/>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A14453" w:rsidRDefault="0020204E" w:rsidP="00B04033">
      <w:pPr>
        <w:pStyle w:val="ListParagraph"/>
        <w:numPr>
          <w:ilvl w:val="0"/>
          <w:numId w:val="10"/>
        </w:numPr>
        <w:ind w:left="426"/>
        <w:jc w:val="both"/>
        <w:rPr>
          <w:rFonts w:ascii="Avenir Next" w:hAnsi="Avenir Next" w:cs="Arial"/>
          <w:sz w:val="22"/>
          <w:szCs w:val="22"/>
          <w:highlight w:val="yellow"/>
          <w:lang w:val="en-GB"/>
        </w:rPr>
      </w:pPr>
      <w:r w:rsidRPr="00A14453">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19AD935A" w14:textId="1C328F05" w:rsidR="000B32DC" w:rsidRDefault="000B32DC"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7137F6">
        <w:rPr>
          <w:rFonts w:ascii="Avenir Next" w:hAnsi="Avenir Next" w:cs="Arial"/>
          <w:color w:val="808080" w:themeColor="background1" w:themeShade="80"/>
          <w:sz w:val="22"/>
          <w:szCs w:val="22"/>
          <w:lang w:val="en-GB"/>
        </w:rPr>
        <w:t xml:space="preserve"> Under Section 423 the following parties have the right to attack transaction 1) where the company is being wound up, or is administration, the liquidator, the administrator and (with the leave of the court) any victim of the transaction such as a creditor 2) where a victim is bound by a CVA, the supervisor of the CVA or any victim of the transaction (whether bound by the CVA or not) or 3) in any other case by the victim of the transaction.</w:t>
      </w:r>
    </w:p>
    <w:p w14:paraId="5E93EBFE" w14:textId="22CEE26B" w:rsidR="000B32DC" w:rsidRDefault="000B32DC"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w:t>
      </w:r>
      <w:r w:rsidR="00454A93">
        <w:rPr>
          <w:rFonts w:ascii="Avenir Next" w:hAnsi="Avenir Next" w:cs="Arial"/>
          <w:color w:val="808080" w:themeColor="background1" w:themeShade="80"/>
          <w:sz w:val="22"/>
          <w:szCs w:val="22"/>
          <w:lang w:val="en-GB"/>
        </w:rPr>
        <w:t xml:space="preserve"> Here either an administrator or liquidator can bring the action. </w:t>
      </w:r>
    </w:p>
    <w:p w14:paraId="7061C9D6" w14:textId="674F4DD3" w:rsidR="00AE5B6F" w:rsidRPr="00212001" w:rsidRDefault="000B32DC"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iii) Section 246ZB make directors of insolvent companies liable for wrongful trading. The Small Business, Enterprise and Employment Act 2015 introduced wrongful trading</w:t>
      </w:r>
      <w:r w:rsidR="009E25BE">
        <w:rPr>
          <w:rFonts w:ascii="Avenir Next" w:hAnsi="Avenir Next" w:cs="Arial"/>
          <w:color w:val="808080" w:themeColor="background1" w:themeShade="80"/>
          <w:sz w:val="22"/>
          <w:szCs w:val="22"/>
          <w:lang w:val="en-GB"/>
        </w:rPr>
        <w:t xml:space="preserve">. Only a liquidator can bring an application to court. </w:t>
      </w:r>
      <w:r>
        <w:rPr>
          <w:rFonts w:ascii="Avenir Next" w:hAnsi="Avenir Next" w:cs="Arial"/>
          <w:color w:val="808080" w:themeColor="background1" w:themeShade="80"/>
          <w:sz w:val="22"/>
          <w:szCs w:val="22"/>
          <w:lang w:val="en-GB"/>
        </w:rPr>
        <w:t xml:space="preserve">    </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D745CDB" w14:textId="3B908C55" w:rsidR="00EA3B38" w:rsidRDefault="00454A93" w:rsidP="00454A93">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monitor’s remuneration expenses</w:t>
      </w:r>
    </w:p>
    <w:p w14:paraId="33646276" w14:textId="03FB802B" w:rsidR="00454A93" w:rsidRDefault="00454A93" w:rsidP="00454A93">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Goods or services supplied during the moratorium</w:t>
      </w:r>
    </w:p>
    <w:p w14:paraId="6270962F" w14:textId="7BCCFDBC" w:rsidR="00454A93" w:rsidRDefault="00454A93" w:rsidP="00454A93">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Rent during the moratorium period</w:t>
      </w:r>
    </w:p>
    <w:p w14:paraId="022F102F" w14:textId="415C00DF" w:rsidR="00454A93" w:rsidRDefault="00454A93" w:rsidP="00454A93">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Wages or salaries arising from an employment contract</w:t>
      </w:r>
    </w:p>
    <w:p w14:paraId="019A4CF2" w14:textId="3516A1D9" w:rsidR="00454A93" w:rsidRPr="00454A93" w:rsidRDefault="00FB5413" w:rsidP="00454A93">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Redundancy payments or debts or liabilities arising under a contract or other instrument involving financial services.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4EE87D2E" w14:textId="77777777" w:rsidR="000A48F6" w:rsidRDefault="008A4E5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appointment of an administrator does not automatically terminate a company’s executory contracts. Terms in contracts in contracts of supply which provide for automatic termination have historically been generally effective but now have become subject to increasing statutory exceptions which largely make such automatic termination (or ipso facto) clause void. Administrators frequently need to obtain or retain certain essential supplies. Section 233 </w:t>
      </w:r>
      <w:r w:rsidR="000A48F6">
        <w:rPr>
          <w:rFonts w:ascii="Avenir Next" w:hAnsi="Avenir Next" w:cs="Arial"/>
          <w:color w:val="808080" w:themeColor="background1" w:themeShade="80"/>
          <w:sz w:val="22"/>
          <w:szCs w:val="22"/>
        </w:rPr>
        <w:t xml:space="preserve">of the Act applies to a supply of gas, electricity, water and communication services. The definition of communications services includes the supply of goods and services such as point of sale terminals, computer hardware and software, information, advice and technical assistance, data storage and processing and website hosting. Suppliers are not permitted to require payment of outstanding debts in order to secure a new or continued supply to the company in administration. The 2020 Act has now expanded these protections for an insolvent company by adding section 233B which prohibits clauses which allow the supplier of goods or services to terminate or “do any other thing” in relation to that contract if the company enters a formal insolvency procedure. </w:t>
      </w:r>
    </w:p>
    <w:p w14:paraId="3960F466" w14:textId="77777777" w:rsidR="000A48F6" w:rsidRDefault="000A48F6" w:rsidP="00EA3B38">
      <w:pPr>
        <w:jc w:val="both"/>
        <w:rPr>
          <w:rFonts w:ascii="Avenir Next" w:hAnsi="Avenir Next" w:cs="Arial"/>
          <w:color w:val="808080" w:themeColor="background1" w:themeShade="80"/>
          <w:sz w:val="22"/>
          <w:szCs w:val="22"/>
        </w:rPr>
      </w:pPr>
    </w:p>
    <w:p w14:paraId="0770EFD5" w14:textId="12082BDE" w:rsidR="00EA3B38" w:rsidRPr="00B84055" w:rsidRDefault="000A48F6"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Hence in certain circumstances an administrator can still require the supplier of goods and services to continue to supply those goods or services – depending of the nature of those services.   </w:t>
      </w:r>
      <w:r w:rsidR="008A4E5D">
        <w:rPr>
          <w:rFonts w:ascii="Avenir Next" w:hAnsi="Avenir Next" w:cs="Arial"/>
          <w:color w:val="808080" w:themeColor="background1" w:themeShade="80"/>
          <w:sz w:val="22"/>
          <w:szCs w:val="22"/>
        </w:rPr>
        <w:t xml:space="preserve"> </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1F067633" w14:textId="04F4A788" w:rsidR="00EA3B38" w:rsidRDefault="00A210B6"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 liquidator may only </w:t>
      </w:r>
      <w:proofErr w:type="spellStart"/>
      <w:r>
        <w:rPr>
          <w:rFonts w:ascii="Avenir Next" w:hAnsi="Avenir Next" w:cs="Arial"/>
          <w:color w:val="808080" w:themeColor="background1" w:themeShade="80"/>
          <w:sz w:val="22"/>
          <w:szCs w:val="22"/>
        </w:rPr>
        <w:t>realise</w:t>
      </w:r>
      <w:proofErr w:type="spellEnd"/>
      <w:r>
        <w:rPr>
          <w:rFonts w:ascii="Avenir Next" w:hAnsi="Avenir Next" w:cs="Arial"/>
          <w:color w:val="808080" w:themeColor="background1" w:themeShade="80"/>
          <w:sz w:val="22"/>
          <w:szCs w:val="22"/>
        </w:rPr>
        <w:t xml:space="preserve"> assets which belong to the company, which means that if debts have been assigned to a receivables financier or assets are subject to hire purchase or retention of title contracts, the liquidator has no rights to those assets. The holder of a floating charge may choose to enforce its charge by appointing an administrator which will usually prevent a liquidator being appointed until the administration is completed. It is possible for such a charge holder to consent to the appointment of a liquidator rather an administrator, in which case the liquidator may </w:t>
      </w:r>
      <w:proofErr w:type="spellStart"/>
      <w:r>
        <w:rPr>
          <w:rFonts w:ascii="Avenir Next" w:hAnsi="Avenir Next" w:cs="Arial"/>
          <w:color w:val="808080" w:themeColor="background1" w:themeShade="80"/>
          <w:sz w:val="22"/>
          <w:szCs w:val="22"/>
        </w:rPr>
        <w:t>realise</w:t>
      </w:r>
      <w:proofErr w:type="spellEnd"/>
      <w:r>
        <w:rPr>
          <w:rFonts w:ascii="Avenir Next" w:hAnsi="Avenir Next" w:cs="Arial"/>
          <w:color w:val="808080" w:themeColor="background1" w:themeShade="80"/>
          <w:sz w:val="22"/>
          <w:szCs w:val="22"/>
        </w:rPr>
        <w:t xml:space="preserve"> the charged asset as part of the liquidator and pay out the floating charge holder according to the charge holder’s priority. </w:t>
      </w:r>
    </w:p>
    <w:p w14:paraId="38CBAFBC" w14:textId="7892EEBD" w:rsidR="00A210B6" w:rsidRDefault="00A210B6" w:rsidP="00EA3B38">
      <w:pPr>
        <w:jc w:val="both"/>
        <w:rPr>
          <w:rFonts w:ascii="Avenir Next" w:hAnsi="Avenir Next" w:cs="Arial"/>
          <w:color w:val="808080" w:themeColor="background1" w:themeShade="80"/>
          <w:sz w:val="22"/>
          <w:szCs w:val="22"/>
        </w:rPr>
      </w:pPr>
    </w:p>
    <w:p w14:paraId="2C5AA447" w14:textId="77777777" w:rsidR="00163831" w:rsidRDefault="00163831"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Once the expenses of the liquidation have been paid in full, the assets of the company are then used to pay preferential creditors. (before any payment may be made to holders of floating charges or unsecured creditors). The category of preferential creditors largely consists of limited claims of employees and some taxation liabilities as well as some other types of liability. </w:t>
      </w:r>
    </w:p>
    <w:p w14:paraId="04C01BF9" w14:textId="77777777" w:rsidR="00163831" w:rsidRDefault="00163831" w:rsidP="00EA3B38">
      <w:pPr>
        <w:jc w:val="both"/>
        <w:rPr>
          <w:rFonts w:ascii="Avenir Next" w:hAnsi="Avenir Next" w:cs="Arial"/>
          <w:color w:val="808080" w:themeColor="background1" w:themeShade="80"/>
          <w:sz w:val="22"/>
          <w:szCs w:val="22"/>
        </w:rPr>
      </w:pPr>
    </w:p>
    <w:p w14:paraId="37DDCB43" w14:textId="1D083142" w:rsidR="00163831" w:rsidRDefault="00163831"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Prior to 2002 the class of preferential creditors included </w:t>
      </w:r>
      <w:proofErr w:type="gramStart"/>
      <w:r>
        <w:rPr>
          <w:rFonts w:ascii="Avenir Next" w:hAnsi="Avenir Next" w:cs="Arial"/>
          <w:color w:val="808080" w:themeColor="background1" w:themeShade="80"/>
          <w:sz w:val="22"/>
          <w:szCs w:val="22"/>
        </w:rPr>
        <w:t>a number of</w:t>
      </w:r>
      <w:proofErr w:type="gramEnd"/>
      <w:r>
        <w:rPr>
          <w:rFonts w:ascii="Avenir Next" w:hAnsi="Avenir Next" w:cs="Arial"/>
          <w:color w:val="808080" w:themeColor="background1" w:themeShade="80"/>
          <w:sz w:val="22"/>
          <w:szCs w:val="22"/>
        </w:rPr>
        <w:t xml:space="preserve"> liabilities owed in respect of outstanding tax to the Crown. Although this Crown preference was abolished by the Enterprise Act 2002, it has largely been reintroduced by section 95 of the Finance Act 2020.   </w:t>
      </w:r>
    </w:p>
    <w:p w14:paraId="5E56716A" w14:textId="3549D171" w:rsidR="00163831" w:rsidRDefault="00163831" w:rsidP="00EA3B38">
      <w:pPr>
        <w:jc w:val="both"/>
        <w:rPr>
          <w:rFonts w:ascii="Avenir Next" w:hAnsi="Avenir Next" w:cs="Arial"/>
          <w:color w:val="808080" w:themeColor="background1" w:themeShade="80"/>
          <w:sz w:val="22"/>
          <w:szCs w:val="22"/>
        </w:rPr>
      </w:pPr>
    </w:p>
    <w:p w14:paraId="6BF49F09" w14:textId="0C903EEB" w:rsidR="00163831" w:rsidRDefault="00163831"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There are two classes of preferential debts, ordinary and secondary. Ordinary preferential debts are paid before secondary preferential debts. Preferential debts, in their respective classes, rank equally amongst themselves and so abate in equal proportion if the company’s asset </w:t>
      </w:r>
      <w:proofErr w:type="gramStart"/>
      <w:r>
        <w:rPr>
          <w:rFonts w:ascii="Avenir Next" w:hAnsi="Avenir Next" w:cs="Arial"/>
          <w:color w:val="808080" w:themeColor="background1" w:themeShade="80"/>
          <w:sz w:val="22"/>
          <w:szCs w:val="22"/>
        </w:rPr>
        <w:t>are</w:t>
      </w:r>
      <w:proofErr w:type="gramEnd"/>
      <w:r>
        <w:rPr>
          <w:rFonts w:ascii="Avenir Next" w:hAnsi="Avenir Next" w:cs="Arial"/>
          <w:color w:val="808080" w:themeColor="background1" w:themeShade="80"/>
          <w:sz w:val="22"/>
          <w:szCs w:val="22"/>
        </w:rPr>
        <w:t xml:space="preserve"> insufficient to pay them all. </w:t>
      </w:r>
    </w:p>
    <w:p w14:paraId="14CA817C" w14:textId="37D629CB" w:rsidR="00163831" w:rsidRDefault="00163831" w:rsidP="00EA3B38">
      <w:pPr>
        <w:jc w:val="both"/>
        <w:rPr>
          <w:rFonts w:ascii="Avenir Next" w:hAnsi="Avenir Next" w:cs="Arial"/>
          <w:color w:val="808080" w:themeColor="background1" w:themeShade="80"/>
          <w:sz w:val="22"/>
          <w:szCs w:val="22"/>
        </w:rPr>
      </w:pPr>
    </w:p>
    <w:p w14:paraId="6B1EC7F4" w14:textId="77777777" w:rsidR="00163831" w:rsidRDefault="00163831"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After preferential creditors are creditors with no security, often trade creditors, known as unsecured creditors who are paid last in the statutory order. Frequently, once the expenses of the liquidation have been paid and distributions have been made to secured and preferential creditors, there is </w:t>
      </w:r>
      <w:proofErr w:type="gramStart"/>
      <w:r>
        <w:rPr>
          <w:rFonts w:ascii="Avenir Next" w:hAnsi="Avenir Next" w:cs="Arial"/>
          <w:color w:val="808080" w:themeColor="background1" w:themeShade="80"/>
          <w:sz w:val="22"/>
          <w:szCs w:val="22"/>
        </w:rPr>
        <w:t>little</w:t>
      </w:r>
      <w:proofErr w:type="gramEnd"/>
      <w:r>
        <w:rPr>
          <w:rFonts w:ascii="Avenir Next" w:hAnsi="Avenir Next" w:cs="Arial"/>
          <w:color w:val="808080" w:themeColor="background1" w:themeShade="80"/>
          <w:sz w:val="22"/>
          <w:szCs w:val="22"/>
        </w:rPr>
        <w:t xml:space="preserve"> or nothing left to pay a dividend to unsecured creditors. </w:t>
      </w:r>
    </w:p>
    <w:p w14:paraId="20E3AA6A" w14:textId="77777777" w:rsidR="00163831" w:rsidRDefault="00163831" w:rsidP="00EA3B38">
      <w:pPr>
        <w:jc w:val="both"/>
        <w:rPr>
          <w:rFonts w:ascii="Avenir Next" w:hAnsi="Avenir Next" w:cs="Arial"/>
          <w:color w:val="808080" w:themeColor="background1" w:themeShade="80"/>
          <w:sz w:val="22"/>
          <w:szCs w:val="22"/>
        </w:rPr>
      </w:pPr>
    </w:p>
    <w:p w14:paraId="2E0E2FFB" w14:textId="336C1100" w:rsidR="00163831" w:rsidRDefault="00163831"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there are sufficient funds to pay all the creditors any surplus is distributed amongst the shareholders according to the company’s constitution, which will normally permit a distribution pro rata the shareholders’ </w:t>
      </w:r>
      <w:proofErr w:type="gramStart"/>
      <w:r>
        <w:rPr>
          <w:rFonts w:ascii="Avenir Next" w:hAnsi="Avenir Next" w:cs="Arial"/>
          <w:color w:val="808080" w:themeColor="background1" w:themeShade="80"/>
          <w:sz w:val="22"/>
          <w:szCs w:val="22"/>
        </w:rPr>
        <w:t>respective shareholdings</w:t>
      </w:r>
      <w:proofErr w:type="gramEnd"/>
      <w:r>
        <w:rPr>
          <w:rFonts w:ascii="Avenir Next" w:hAnsi="Avenir Next" w:cs="Arial"/>
          <w:color w:val="808080" w:themeColor="background1" w:themeShade="80"/>
          <w:sz w:val="22"/>
          <w:szCs w:val="22"/>
        </w:rPr>
        <w:t xml:space="preserve">.  </w:t>
      </w:r>
    </w:p>
    <w:p w14:paraId="53D4EE90" w14:textId="2AD0E1AE" w:rsidR="00F2438D" w:rsidRDefault="00F2438D" w:rsidP="00EA3B38">
      <w:pPr>
        <w:jc w:val="both"/>
        <w:rPr>
          <w:rFonts w:ascii="Avenir Next" w:hAnsi="Avenir Next" w:cs="Arial"/>
          <w:color w:val="808080" w:themeColor="background1" w:themeShade="80"/>
          <w:sz w:val="22"/>
          <w:szCs w:val="22"/>
        </w:rPr>
      </w:pPr>
    </w:p>
    <w:p w14:paraId="2A6EA21C" w14:textId="58ED53C4" w:rsidR="00F2438D" w:rsidRPr="00B84055" w:rsidRDefault="00F2438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a company enters administration or liquidation within 12 weeks or at the end of the Moratorium, the priority of debts in that subsequent administration or liquidation may be different to the priority of debts which existed prior to the Moratorium. Section 174A provides that certain unpaid pre-Moratorium or Moratorium debts (the debts which are not part of the payment holiday) such as debts owed to employees or “financial services” debts, are paid in the subsequent liquidation, in priority to even the liquidator’s fees and expenses. Section 174A therefore affords certain unsecured debts a form of “super priority” in a subsequent liquidation.  </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1"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5237771F" w14:textId="2E2F1E1C" w:rsidR="00EA3B38" w:rsidRDefault="00EA2B6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Section 245 of the Act applies to floating charges with the floating charge being created with a person not connected to the company. Since the charge was created within 12 months prior to the company being unable to pay its debts or whether it led to the company becoming unable to pay its debts as a consequence of the floating charge – it would appear that the floating charge could be attacked – except in circumstance where “new” consideration is provided for the charge.</w:t>
      </w:r>
    </w:p>
    <w:p w14:paraId="60A2E45F" w14:textId="5C0E83F1" w:rsidR="00EA2B6E" w:rsidRDefault="00EA2B6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There are two main categories of “new” consideration, which if satisfied mean the floating charge would not be invalid;</w:t>
      </w:r>
    </w:p>
    <w:p w14:paraId="33E8A6F8" w14:textId="3E0E5166" w:rsidR="00EA2B6E" w:rsidRDefault="00EA2B6E" w:rsidP="00EA2B6E">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value of so much of the consideration for the creation of the charge as consist of money paid, or goods or services </w:t>
      </w:r>
      <w:proofErr w:type="gramStart"/>
      <w:r>
        <w:rPr>
          <w:rFonts w:ascii="Avenir Next" w:hAnsi="Avenir Next" w:cs="Arial"/>
          <w:color w:val="808080" w:themeColor="background1" w:themeShade="80"/>
          <w:sz w:val="22"/>
          <w:szCs w:val="22"/>
        </w:rPr>
        <w:t>supplied ,</w:t>
      </w:r>
      <w:proofErr w:type="gramEnd"/>
      <w:r>
        <w:rPr>
          <w:rFonts w:ascii="Avenir Next" w:hAnsi="Avenir Next" w:cs="Arial"/>
          <w:color w:val="808080" w:themeColor="background1" w:themeShade="80"/>
          <w:sz w:val="22"/>
          <w:szCs w:val="22"/>
        </w:rPr>
        <w:t xml:space="preserve"> to the company at the same time as, or after, the creation of the charge. The consideration must be given at the same time as or after the creation of the charge. Where an agreement is made to execute a charge, followed by payments made to the company, followed in turn by the formal execution of the charge, any delay between the making of the payments and execution of the charge must be minimal, such as the time to take a coffee break.</w:t>
      </w:r>
    </w:p>
    <w:p w14:paraId="465588A0" w14:textId="10F8D830" w:rsidR="00EA2B6E" w:rsidRDefault="00EA2B6E" w:rsidP="00EA2B6E">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value of so much of that consideration consists of the discharge or reduction, at the same time as, or after, the creation of the charge, of any debt of the company.</w:t>
      </w:r>
    </w:p>
    <w:p w14:paraId="358A65E8" w14:textId="4BA8CC81" w:rsidR="00EA2B6E" w:rsidRPr="00EA2B6E" w:rsidRDefault="00EA2B6E" w:rsidP="00EA2B6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liquidator would thus have to establish what the value of the outstanding loans were that were afforded the floating charge and establish whether there was </w:t>
      </w:r>
      <w:proofErr w:type="gramStart"/>
      <w:r>
        <w:rPr>
          <w:rFonts w:ascii="Avenir Next" w:hAnsi="Avenir Next" w:cs="Arial"/>
          <w:color w:val="808080" w:themeColor="background1" w:themeShade="80"/>
          <w:sz w:val="22"/>
          <w:szCs w:val="22"/>
        </w:rPr>
        <w:t>sufficient</w:t>
      </w:r>
      <w:proofErr w:type="gramEnd"/>
      <w:r>
        <w:rPr>
          <w:rFonts w:ascii="Avenir Next" w:hAnsi="Avenir Next" w:cs="Arial"/>
          <w:color w:val="808080" w:themeColor="background1" w:themeShade="80"/>
          <w:sz w:val="22"/>
          <w:szCs w:val="22"/>
        </w:rPr>
        <w:t xml:space="preserve"> “new” consideration provided for the floating charge. If there was less than such consideration – that floating charge could be invalid. </w:t>
      </w:r>
    </w:p>
    <w:p w14:paraId="60B72FD1" w14:textId="77777777" w:rsidR="00EA2B6E" w:rsidRPr="00B84055" w:rsidRDefault="00EA2B6E" w:rsidP="00EA3B38">
      <w:pPr>
        <w:jc w:val="both"/>
        <w:rPr>
          <w:rFonts w:ascii="Avenir Next" w:hAnsi="Avenir Next" w:cs="Arial"/>
          <w:color w:val="808080" w:themeColor="background1" w:themeShade="80"/>
          <w:sz w:val="22"/>
          <w:szCs w:val="22"/>
        </w:rPr>
      </w:pP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22246090" w:rsidR="00EA3B38" w:rsidRDefault="00747729"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sale appears to have defrauded creditors. Under section 423 of the Act there are two </w:t>
      </w:r>
      <w:proofErr w:type="gramStart"/>
      <w:r>
        <w:rPr>
          <w:rFonts w:ascii="Avenir Next" w:hAnsi="Avenir Next" w:cs="Arial"/>
          <w:color w:val="808080" w:themeColor="background1" w:themeShade="80"/>
          <w:sz w:val="22"/>
          <w:szCs w:val="22"/>
        </w:rPr>
        <w:t>requirement</w:t>
      </w:r>
      <w:proofErr w:type="gramEnd"/>
      <w:r>
        <w:rPr>
          <w:rFonts w:ascii="Avenir Next" w:hAnsi="Avenir Next" w:cs="Arial"/>
          <w:color w:val="808080" w:themeColor="background1" w:themeShade="80"/>
          <w:sz w:val="22"/>
          <w:szCs w:val="22"/>
        </w:rPr>
        <w:t xml:space="preserve"> to satisfy;</w:t>
      </w:r>
    </w:p>
    <w:p w14:paraId="6899264A" w14:textId="069B7628" w:rsidR="00747729" w:rsidRDefault="00747729" w:rsidP="00747729">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It is necessary to show that the company entered into a transaction with another person at an undervalue (which is defined in the same way as under section 238 of the Act that is, that the company has received no consideration or significantly less consideration than it has provided) and</w:t>
      </w:r>
    </w:p>
    <w:p w14:paraId="15107DE1" w14:textId="6CE36D24" w:rsidR="00747729" w:rsidRDefault="00747729" w:rsidP="00747729">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is necessary to show that the company entered into the transaction for the purpose either of putting assets beyond the reach of a person who is making, or may at some time make, a claim against the company, or of otherwise prejudicing the interests of such a person in relation to the claim which he is making or may make. </w:t>
      </w:r>
    </w:p>
    <w:p w14:paraId="21A1CF18" w14:textId="77777777" w:rsidR="00747729" w:rsidRDefault="00747729" w:rsidP="0074772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There are no time limits in respect of when the transaction was </w:t>
      </w:r>
      <w:proofErr w:type="gramStart"/>
      <w:r>
        <w:rPr>
          <w:rFonts w:ascii="Avenir Next" w:hAnsi="Avenir Next" w:cs="Arial"/>
          <w:color w:val="808080" w:themeColor="background1" w:themeShade="80"/>
          <w:sz w:val="22"/>
          <w:szCs w:val="22"/>
        </w:rPr>
        <w:t>entered into</w:t>
      </w:r>
      <w:proofErr w:type="gramEnd"/>
      <w:r>
        <w:rPr>
          <w:rFonts w:ascii="Avenir Next" w:hAnsi="Avenir Next" w:cs="Arial"/>
          <w:color w:val="808080" w:themeColor="background1" w:themeShade="80"/>
          <w:sz w:val="22"/>
          <w:szCs w:val="22"/>
        </w:rPr>
        <w:t xml:space="preserve">. </w:t>
      </w:r>
      <w:proofErr w:type="gramStart"/>
      <w:r>
        <w:rPr>
          <w:rFonts w:ascii="Avenir Next" w:hAnsi="Avenir Next" w:cs="Arial"/>
          <w:color w:val="808080" w:themeColor="background1" w:themeShade="80"/>
          <w:sz w:val="22"/>
          <w:szCs w:val="22"/>
        </w:rPr>
        <w:t>However</w:t>
      </w:r>
      <w:proofErr w:type="gramEnd"/>
      <w:r>
        <w:rPr>
          <w:rFonts w:ascii="Avenir Next" w:hAnsi="Avenir Next" w:cs="Arial"/>
          <w:color w:val="808080" w:themeColor="background1" w:themeShade="80"/>
          <w:sz w:val="22"/>
          <w:szCs w:val="22"/>
        </w:rPr>
        <w:t xml:space="preserve"> it appears that as the machines were more than double (GBP25,000) the value they were sold for (GBP10,000) only a year ago. </w:t>
      </w:r>
    </w:p>
    <w:p w14:paraId="2A09B421" w14:textId="77777777" w:rsidR="00747729" w:rsidRDefault="00747729" w:rsidP="00747729">
      <w:pPr>
        <w:jc w:val="both"/>
        <w:rPr>
          <w:rFonts w:ascii="Avenir Next" w:hAnsi="Avenir Next" w:cs="Arial"/>
          <w:color w:val="808080" w:themeColor="background1" w:themeShade="80"/>
          <w:sz w:val="22"/>
          <w:szCs w:val="22"/>
        </w:rPr>
      </w:pPr>
    </w:p>
    <w:p w14:paraId="6BDEDD76" w14:textId="6FC915EB" w:rsidR="00747729" w:rsidRPr="00747729" w:rsidRDefault="00747729" w:rsidP="0074772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Further </w:t>
      </w:r>
      <w:r w:rsidR="002C6AA1">
        <w:rPr>
          <w:rFonts w:ascii="Avenir Next" w:hAnsi="Avenir Next" w:cs="Arial"/>
          <w:color w:val="808080" w:themeColor="background1" w:themeShade="80"/>
          <w:sz w:val="22"/>
          <w:szCs w:val="22"/>
        </w:rPr>
        <w:t xml:space="preserve">Section 212 of the Act contains a procedural provision which is intended to simply actions brought against former officers of the company. The court may consider the conduct of certain persons and, if there has been any misfeasance or breach of duty in relation to a company now in liquidation, it may order the restoration, repayment or accounting of money or property or the contribution of such sum to the company by way of compensation in respect of the misfeasance or breach of duty. “Misfeasance” includes an action where the wrongdoer is alleged to have “misapplied, retained or become accountable for money or property of the company, or is guilty of misfeasance or breach of any fiduciary or other duty”.   </w:t>
      </w:r>
      <w:r>
        <w:rPr>
          <w:rFonts w:ascii="Avenir Next" w:hAnsi="Avenir Next" w:cs="Arial"/>
          <w:color w:val="808080" w:themeColor="background1" w:themeShade="80"/>
          <w:sz w:val="22"/>
          <w:szCs w:val="22"/>
        </w:rPr>
        <w:t xml:space="preserve">  </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F38B806" w14:textId="4E3F73AB" w:rsidR="009452DF" w:rsidRDefault="008B6004"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Sections 214 and 246ZB of the Act make directors of insolvent companies liable for wrongful trading and thereby making them in certain circumstances liable, for some debts and liabilities of the company. Fraudulent trading an older remedy remains a possible alternative cause of action to wrongful trading is found in sections 213 and 246ZA of the Act. Wrongful trading is aimed at ensuring that when directors become aware that an insolvent liquidation (or administration) is in prospect, they do everything possible to minimize the potential losses to the company’s creditors. </w:t>
      </w:r>
    </w:p>
    <w:p w14:paraId="7345424E" w14:textId="430DACB6" w:rsidR="008B6004" w:rsidRDefault="008B6004" w:rsidP="009452DF">
      <w:pPr>
        <w:jc w:val="both"/>
        <w:rPr>
          <w:rFonts w:ascii="Avenir Next" w:hAnsi="Avenir Next" w:cs="Arial"/>
          <w:color w:val="808080" w:themeColor="background1" w:themeShade="80"/>
          <w:sz w:val="22"/>
          <w:szCs w:val="22"/>
        </w:rPr>
      </w:pPr>
    </w:p>
    <w:p w14:paraId="7EA79E0D" w14:textId="2DAB3EDD" w:rsidR="008B6004" w:rsidRDefault="008B6004"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could be put forward that Rita Perkins should have not issued GBP8000 to cover the liabilities or possibly that the company could not have issued GBP8000 as it was insolvent. The transaction would be invalid if it caused the insolvency. </w:t>
      </w:r>
    </w:p>
    <w:p w14:paraId="1D975E35" w14:textId="5305DA64" w:rsidR="008B6004" w:rsidRDefault="008B6004" w:rsidP="009452DF">
      <w:pPr>
        <w:jc w:val="both"/>
        <w:rPr>
          <w:rFonts w:ascii="Avenir Next" w:hAnsi="Avenir Next" w:cs="Arial"/>
          <w:color w:val="808080" w:themeColor="background1" w:themeShade="80"/>
          <w:sz w:val="22"/>
          <w:szCs w:val="22"/>
        </w:rPr>
      </w:pPr>
    </w:p>
    <w:p w14:paraId="2297FE94" w14:textId="54306DA3" w:rsidR="008B6004" w:rsidRPr="00B84055" w:rsidRDefault="008B6004"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transaction to Hard and Fast appears to be for essential services which would mean the provisions under dispo</w:t>
      </w:r>
      <w:r w:rsidR="001040D7">
        <w:rPr>
          <w:rFonts w:ascii="Avenir Next" w:hAnsi="Avenir Next" w:cs="Arial"/>
          <w:color w:val="808080" w:themeColor="background1" w:themeShade="80"/>
          <w:sz w:val="22"/>
          <w:szCs w:val="22"/>
        </w:rPr>
        <w:t xml:space="preserve">sition void (section 127) could not be used here. </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1"/>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80A82" w14:textId="77777777" w:rsidR="00E23D95" w:rsidRDefault="00E23D95" w:rsidP="00241B44">
      <w:r>
        <w:separator/>
      </w:r>
    </w:p>
  </w:endnote>
  <w:endnote w:type="continuationSeparator" w:id="0">
    <w:p w14:paraId="0618EA5E" w14:textId="77777777" w:rsidR="00E23D95" w:rsidRDefault="00E23D9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2341E884" w:rsidR="00241FA3" w:rsidRPr="00A84235" w:rsidRDefault="003941A4" w:rsidP="009B4976">
    <w:pPr>
      <w:pStyle w:val="Footer"/>
      <w:ind w:right="360"/>
      <w:rPr>
        <w:rFonts w:ascii="Avenir Next" w:hAnsi="Avenir Next" w:cs="Arial"/>
        <w:sz w:val="22"/>
        <w:szCs w:val="22"/>
        <w:lang w:val="en-GB"/>
      </w:rPr>
    </w:pPr>
    <w:r>
      <w:rPr>
        <w:rFonts w:ascii="Avenir Next" w:hAnsi="Avenir Next" w:cs="Arial"/>
        <w:sz w:val="22"/>
        <w:szCs w:val="22"/>
        <w:lang w:val="en-GB"/>
      </w:rPr>
      <w:t>202223-985</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0EC15" w14:textId="77777777" w:rsidR="00E23D95" w:rsidRDefault="00E23D95" w:rsidP="00241B44">
      <w:r>
        <w:separator/>
      </w:r>
    </w:p>
  </w:footnote>
  <w:footnote w:type="continuationSeparator" w:id="0">
    <w:p w14:paraId="2BD14E6E" w14:textId="77777777" w:rsidR="00E23D95" w:rsidRDefault="00E23D9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D1110"/>
    <w:multiLevelType w:val="hybridMultilevel"/>
    <w:tmpl w:val="7102F2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DC1340D"/>
    <w:multiLevelType w:val="hybridMultilevel"/>
    <w:tmpl w:val="407E9D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AC596E"/>
    <w:multiLevelType w:val="hybridMultilevel"/>
    <w:tmpl w:val="E2404E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6"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9"/>
  </w:num>
  <w:num w:numId="5">
    <w:abstractNumId w:val="12"/>
  </w:num>
  <w:num w:numId="6">
    <w:abstractNumId w:val="2"/>
  </w:num>
  <w:num w:numId="7">
    <w:abstractNumId w:val="14"/>
  </w:num>
  <w:num w:numId="8">
    <w:abstractNumId w:val="18"/>
  </w:num>
  <w:num w:numId="9">
    <w:abstractNumId w:val="10"/>
  </w:num>
  <w:num w:numId="10">
    <w:abstractNumId w:val="19"/>
  </w:num>
  <w:num w:numId="11">
    <w:abstractNumId w:val="7"/>
  </w:num>
  <w:num w:numId="12">
    <w:abstractNumId w:val="16"/>
  </w:num>
  <w:num w:numId="13">
    <w:abstractNumId w:val="11"/>
  </w:num>
  <w:num w:numId="14">
    <w:abstractNumId w:val="6"/>
  </w:num>
  <w:num w:numId="15">
    <w:abstractNumId w:val="15"/>
  </w:num>
  <w:num w:numId="16">
    <w:abstractNumId w:val="17"/>
  </w:num>
  <w:num w:numId="17">
    <w:abstractNumId w:val="8"/>
  </w:num>
  <w:num w:numId="18">
    <w:abstractNumId w:val="4"/>
  </w:num>
  <w:num w:numId="19">
    <w:abstractNumId w:val="3"/>
  </w:num>
  <w:num w:numId="2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48F6"/>
    <w:rsid w:val="000A68ED"/>
    <w:rsid w:val="000B32DC"/>
    <w:rsid w:val="000B5FF1"/>
    <w:rsid w:val="000B609F"/>
    <w:rsid w:val="000D10C6"/>
    <w:rsid w:val="000D55A8"/>
    <w:rsid w:val="000E4841"/>
    <w:rsid w:val="000F1677"/>
    <w:rsid w:val="000F3D6C"/>
    <w:rsid w:val="00101694"/>
    <w:rsid w:val="00101707"/>
    <w:rsid w:val="00102CC9"/>
    <w:rsid w:val="001040D7"/>
    <w:rsid w:val="0010593A"/>
    <w:rsid w:val="0011473D"/>
    <w:rsid w:val="00115C85"/>
    <w:rsid w:val="00123855"/>
    <w:rsid w:val="00126A4D"/>
    <w:rsid w:val="0014171F"/>
    <w:rsid w:val="0014622C"/>
    <w:rsid w:val="00152348"/>
    <w:rsid w:val="0015456D"/>
    <w:rsid w:val="00155FA2"/>
    <w:rsid w:val="00161F1B"/>
    <w:rsid w:val="00162829"/>
    <w:rsid w:val="00163831"/>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C6AA1"/>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214"/>
    <w:rsid w:val="00361A0A"/>
    <w:rsid w:val="00364836"/>
    <w:rsid w:val="0036565C"/>
    <w:rsid w:val="0036625E"/>
    <w:rsid w:val="0037465A"/>
    <w:rsid w:val="00382C98"/>
    <w:rsid w:val="0038410E"/>
    <w:rsid w:val="0038533C"/>
    <w:rsid w:val="00386568"/>
    <w:rsid w:val="00390B57"/>
    <w:rsid w:val="003941A4"/>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34C2"/>
    <w:rsid w:val="00453715"/>
    <w:rsid w:val="0045446F"/>
    <w:rsid w:val="00454A93"/>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39DB"/>
    <w:rsid w:val="006661EF"/>
    <w:rsid w:val="00677AEB"/>
    <w:rsid w:val="00680EF2"/>
    <w:rsid w:val="00687A1D"/>
    <w:rsid w:val="006925C1"/>
    <w:rsid w:val="00697EA1"/>
    <w:rsid w:val="006A2646"/>
    <w:rsid w:val="006A472C"/>
    <w:rsid w:val="006A6530"/>
    <w:rsid w:val="006B435A"/>
    <w:rsid w:val="006B4C64"/>
    <w:rsid w:val="006D282B"/>
    <w:rsid w:val="006D5AB2"/>
    <w:rsid w:val="006D6BD5"/>
    <w:rsid w:val="006E0D3B"/>
    <w:rsid w:val="006E481A"/>
    <w:rsid w:val="006E5298"/>
    <w:rsid w:val="006F4A78"/>
    <w:rsid w:val="006F734A"/>
    <w:rsid w:val="00700D83"/>
    <w:rsid w:val="00704852"/>
    <w:rsid w:val="0070524B"/>
    <w:rsid w:val="007074E9"/>
    <w:rsid w:val="007137F6"/>
    <w:rsid w:val="00713DA4"/>
    <w:rsid w:val="00714BF1"/>
    <w:rsid w:val="00721383"/>
    <w:rsid w:val="0073158B"/>
    <w:rsid w:val="007333CC"/>
    <w:rsid w:val="0073399A"/>
    <w:rsid w:val="00740DAD"/>
    <w:rsid w:val="00742AF3"/>
    <w:rsid w:val="00747729"/>
    <w:rsid w:val="007603F5"/>
    <w:rsid w:val="00763348"/>
    <w:rsid w:val="00764DB0"/>
    <w:rsid w:val="00766D86"/>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1C74"/>
    <w:rsid w:val="008723F3"/>
    <w:rsid w:val="00876F56"/>
    <w:rsid w:val="00881DE6"/>
    <w:rsid w:val="008837A6"/>
    <w:rsid w:val="0089145D"/>
    <w:rsid w:val="00891690"/>
    <w:rsid w:val="008A4DF2"/>
    <w:rsid w:val="008A4E5D"/>
    <w:rsid w:val="008A6CFE"/>
    <w:rsid w:val="008B5333"/>
    <w:rsid w:val="008B58D5"/>
    <w:rsid w:val="008B6004"/>
    <w:rsid w:val="008B6223"/>
    <w:rsid w:val="008B72B8"/>
    <w:rsid w:val="008C66E0"/>
    <w:rsid w:val="008D1616"/>
    <w:rsid w:val="008E3339"/>
    <w:rsid w:val="008F20FC"/>
    <w:rsid w:val="008F5FFE"/>
    <w:rsid w:val="00905A43"/>
    <w:rsid w:val="00912C79"/>
    <w:rsid w:val="00921B8C"/>
    <w:rsid w:val="00924DAF"/>
    <w:rsid w:val="00931D14"/>
    <w:rsid w:val="00942123"/>
    <w:rsid w:val="009452DF"/>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E1726"/>
    <w:rsid w:val="009E25BE"/>
    <w:rsid w:val="009E2AEB"/>
    <w:rsid w:val="009E2E27"/>
    <w:rsid w:val="009E45DF"/>
    <w:rsid w:val="009E4DE3"/>
    <w:rsid w:val="009F275E"/>
    <w:rsid w:val="00A047EE"/>
    <w:rsid w:val="00A14453"/>
    <w:rsid w:val="00A210B6"/>
    <w:rsid w:val="00A2274A"/>
    <w:rsid w:val="00A235B7"/>
    <w:rsid w:val="00A27A7A"/>
    <w:rsid w:val="00A34ABE"/>
    <w:rsid w:val="00A407EF"/>
    <w:rsid w:val="00A46B4C"/>
    <w:rsid w:val="00A5117B"/>
    <w:rsid w:val="00A56D34"/>
    <w:rsid w:val="00A60074"/>
    <w:rsid w:val="00A6627C"/>
    <w:rsid w:val="00A71019"/>
    <w:rsid w:val="00A74E5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261F"/>
    <w:rsid w:val="00B14819"/>
    <w:rsid w:val="00B15E2F"/>
    <w:rsid w:val="00B17AA9"/>
    <w:rsid w:val="00B22E5C"/>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F2B"/>
    <w:rsid w:val="00BC248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03E"/>
    <w:rsid w:val="00C56B61"/>
    <w:rsid w:val="00C606C3"/>
    <w:rsid w:val="00C620F4"/>
    <w:rsid w:val="00C72848"/>
    <w:rsid w:val="00C7736C"/>
    <w:rsid w:val="00C81677"/>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01697"/>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3D95"/>
    <w:rsid w:val="00E26E19"/>
    <w:rsid w:val="00E31DF3"/>
    <w:rsid w:val="00E443D7"/>
    <w:rsid w:val="00E450A4"/>
    <w:rsid w:val="00E470D7"/>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2B6E"/>
    <w:rsid w:val="00EA3B38"/>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438D"/>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7B04"/>
    <w:rsid w:val="00F97C5B"/>
    <w:rsid w:val="00FA12B9"/>
    <w:rsid w:val="00FA3D50"/>
    <w:rsid w:val="00FA417D"/>
    <w:rsid w:val="00FB31D6"/>
    <w:rsid w:val="00FB5413"/>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9D35C3-A180-4B3D-82BE-589FB8EE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10</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Christopher Li Green (ZA)</cp:lastModifiedBy>
  <cp:revision>11</cp:revision>
  <cp:lastPrinted>2019-08-27T05:42:00Z</cp:lastPrinted>
  <dcterms:created xsi:type="dcterms:W3CDTF">2022-10-13T17:57:00Z</dcterms:created>
  <dcterms:modified xsi:type="dcterms:W3CDTF">2022-10-30T13:13:00Z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