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6166D8">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6166D8">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904827" w:rsidRDefault="00436884" w:rsidP="006166D8">
      <w:pPr>
        <w:pStyle w:val="ListParagraph"/>
        <w:numPr>
          <w:ilvl w:val="0"/>
          <w:numId w:val="1"/>
        </w:numPr>
        <w:ind w:left="426"/>
        <w:jc w:val="both"/>
        <w:rPr>
          <w:rFonts w:ascii="Avenir Next" w:hAnsi="Avenir Next" w:cs="Arial"/>
          <w:sz w:val="22"/>
          <w:szCs w:val="22"/>
          <w:highlight w:val="yellow"/>
          <w:lang w:val="en-GB"/>
        </w:rPr>
      </w:pPr>
      <w:r w:rsidRPr="00904827">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6166D8">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6166D8">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6166D8">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6166D8">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904827" w:rsidRDefault="00436884" w:rsidP="006166D8">
      <w:pPr>
        <w:pStyle w:val="ListParagraph"/>
        <w:numPr>
          <w:ilvl w:val="0"/>
          <w:numId w:val="2"/>
        </w:numPr>
        <w:ind w:left="426"/>
        <w:jc w:val="both"/>
        <w:rPr>
          <w:rFonts w:ascii="Avenir Next" w:hAnsi="Avenir Next" w:cs="Arial"/>
          <w:sz w:val="22"/>
          <w:szCs w:val="22"/>
          <w:highlight w:val="yellow"/>
          <w:lang w:val="en-GB"/>
        </w:rPr>
      </w:pPr>
      <w:r w:rsidRPr="00904827">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6166D8">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6166D8">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6166D8">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904827" w:rsidRDefault="00853A74" w:rsidP="006166D8">
      <w:pPr>
        <w:pStyle w:val="ListParagraph"/>
        <w:numPr>
          <w:ilvl w:val="0"/>
          <w:numId w:val="3"/>
        </w:numPr>
        <w:ind w:left="426"/>
        <w:jc w:val="both"/>
        <w:rPr>
          <w:rFonts w:ascii="Avenir Next" w:hAnsi="Avenir Next" w:cs="Arial"/>
          <w:sz w:val="22"/>
          <w:szCs w:val="22"/>
          <w:highlight w:val="yellow"/>
          <w:lang w:val="en-GB"/>
        </w:rPr>
      </w:pPr>
      <w:r w:rsidRPr="00904827">
        <w:rPr>
          <w:rFonts w:ascii="Avenir Next" w:hAnsi="Avenir Next" w:cs="Arial"/>
          <w:sz w:val="22"/>
          <w:szCs w:val="22"/>
          <w:highlight w:val="yellow"/>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6166D8">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073569" w:rsidRDefault="00436884" w:rsidP="006166D8">
      <w:pPr>
        <w:pStyle w:val="ListParagraph"/>
        <w:numPr>
          <w:ilvl w:val="0"/>
          <w:numId w:val="4"/>
        </w:numPr>
        <w:ind w:left="426"/>
        <w:jc w:val="both"/>
        <w:rPr>
          <w:rFonts w:ascii="Avenir Next" w:hAnsi="Avenir Next" w:cs="Arial"/>
          <w:sz w:val="22"/>
          <w:szCs w:val="22"/>
          <w:highlight w:val="yellow"/>
          <w:lang w:val="en-GB"/>
        </w:rPr>
      </w:pPr>
      <w:r w:rsidRPr="00073569">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6166D8">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6166D8">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6166D8">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6166D8">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235337" w:rsidRDefault="00C504E5" w:rsidP="006166D8">
      <w:pPr>
        <w:pStyle w:val="ListParagraph"/>
        <w:numPr>
          <w:ilvl w:val="0"/>
          <w:numId w:val="5"/>
        </w:numPr>
        <w:ind w:left="426"/>
        <w:jc w:val="both"/>
        <w:rPr>
          <w:rFonts w:ascii="Avenir Next" w:hAnsi="Avenir Next" w:cs="Arial"/>
          <w:sz w:val="22"/>
          <w:szCs w:val="22"/>
          <w:highlight w:val="yellow"/>
          <w:lang w:val="en-GB"/>
        </w:rPr>
      </w:pPr>
      <w:r w:rsidRPr="00235337">
        <w:rPr>
          <w:rFonts w:ascii="Avenir Next" w:hAnsi="Avenir Next" w:cs="Arial"/>
          <w:sz w:val="22"/>
          <w:szCs w:val="22"/>
          <w:highlight w:val="yellow"/>
          <w:lang w:val="en-GB"/>
        </w:rPr>
        <w:t xml:space="preserve">Both the foreign main proceedings in South Africa and the foreign non-main proceedings in </w:t>
      </w:r>
      <w:r w:rsidR="004137C3" w:rsidRPr="00235337">
        <w:rPr>
          <w:rFonts w:ascii="Avenir Next" w:hAnsi="Avenir Next" w:cs="Arial"/>
          <w:sz w:val="22"/>
          <w:szCs w:val="22"/>
          <w:highlight w:val="yellow"/>
          <w:lang w:val="en-GB"/>
        </w:rPr>
        <w:t xml:space="preserve">Argentina </w:t>
      </w:r>
      <w:r w:rsidRPr="00235337">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6166D8">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6166D8">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DF4CF1" w:rsidRDefault="00B72F5F" w:rsidP="006166D8">
      <w:pPr>
        <w:pStyle w:val="ListParagraph"/>
        <w:numPr>
          <w:ilvl w:val="0"/>
          <w:numId w:val="6"/>
        </w:numPr>
        <w:ind w:left="426"/>
        <w:jc w:val="both"/>
        <w:rPr>
          <w:rFonts w:ascii="Avenir Next" w:hAnsi="Avenir Next" w:cs="Arial"/>
          <w:sz w:val="22"/>
          <w:szCs w:val="22"/>
          <w:highlight w:val="yellow"/>
          <w:lang w:val="en-GB"/>
        </w:rPr>
      </w:pPr>
      <w:r w:rsidRPr="00DF4CF1">
        <w:rPr>
          <w:rFonts w:ascii="Avenir Next" w:hAnsi="Avenir Next"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6166D8">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77352" w:rsidRDefault="00B72F5F" w:rsidP="006166D8">
      <w:pPr>
        <w:pStyle w:val="ListParagraph"/>
        <w:numPr>
          <w:ilvl w:val="0"/>
          <w:numId w:val="6"/>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B77352">
        <w:rPr>
          <w:rFonts w:ascii="Avenir Next" w:hAnsi="Avenir Next" w:cs="Arial"/>
          <w:sz w:val="22"/>
          <w:szCs w:val="22"/>
          <w:lang w:val="en-GB"/>
        </w:rPr>
        <w:t>will</w:t>
      </w:r>
      <w:r w:rsidRPr="00B77352">
        <w:rPr>
          <w:rFonts w:ascii="Avenir Next" w:hAnsi="Avenir Next" w:cs="Arial"/>
          <w:sz w:val="22"/>
          <w:szCs w:val="22"/>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6166D8">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4D3DE4" w:rsidRDefault="00436884" w:rsidP="006166D8">
      <w:pPr>
        <w:pStyle w:val="ListParagraph"/>
        <w:numPr>
          <w:ilvl w:val="0"/>
          <w:numId w:val="7"/>
        </w:numPr>
        <w:ind w:left="426"/>
        <w:jc w:val="both"/>
        <w:rPr>
          <w:rFonts w:ascii="Avenir Next" w:hAnsi="Avenir Next" w:cs="Arial"/>
          <w:sz w:val="22"/>
          <w:szCs w:val="22"/>
          <w:highlight w:val="yellow"/>
          <w:lang w:val="en-GB"/>
        </w:rPr>
      </w:pPr>
      <w:r w:rsidRPr="004D3DE4">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6166D8">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6166D8">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4D3DE4" w:rsidRDefault="00436884" w:rsidP="006166D8">
      <w:pPr>
        <w:pStyle w:val="ListParagraph"/>
        <w:numPr>
          <w:ilvl w:val="0"/>
          <w:numId w:val="8"/>
        </w:numPr>
        <w:ind w:left="426"/>
        <w:jc w:val="both"/>
        <w:rPr>
          <w:rFonts w:ascii="Avenir Next" w:hAnsi="Avenir Next" w:cs="Arial"/>
          <w:sz w:val="22"/>
          <w:szCs w:val="22"/>
          <w:highlight w:val="yellow"/>
          <w:lang w:val="en-GB"/>
        </w:rPr>
      </w:pPr>
      <w:r w:rsidRPr="004D3DE4">
        <w:rPr>
          <w:rFonts w:ascii="Avenir Next" w:hAnsi="Avenir Next" w:cs="Arial"/>
          <w:sz w:val="22"/>
          <w:szCs w:val="22"/>
          <w:highlight w:val="yellow"/>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6166D8">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6166D8">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rsidP="006166D8">
      <w:pPr>
        <w:pStyle w:val="ListParagraph"/>
        <w:numPr>
          <w:ilvl w:val="0"/>
          <w:numId w:val="8"/>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6166D8">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6166D8">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4D3DE4" w:rsidRDefault="00436884" w:rsidP="006166D8">
      <w:pPr>
        <w:pStyle w:val="ListParagraph"/>
        <w:numPr>
          <w:ilvl w:val="0"/>
          <w:numId w:val="9"/>
        </w:numPr>
        <w:ind w:left="426"/>
        <w:jc w:val="both"/>
        <w:rPr>
          <w:rFonts w:ascii="Avenir Next" w:hAnsi="Avenir Next" w:cs="Arial"/>
          <w:sz w:val="22"/>
          <w:szCs w:val="22"/>
          <w:highlight w:val="yellow"/>
          <w:lang w:val="en-GB"/>
        </w:rPr>
      </w:pPr>
      <w:r w:rsidRPr="004D3DE4">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6166D8">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4D3DE4" w:rsidRDefault="00436884" w:rsidP="006166D8">
      <w:pPr>
        <w:pStyle w:val="ListParagraph"/>
        <w:numPr>
          <w:ilvl w:val="0"/>
          <w:numId w:val="10"/>
        </w:numPr>
        <w:ind w:left="426"/>
        <w:jc w:val="both"/>
        <w:rPr>
          <w:rFonts w:ascii="Avenir Next" w:hAnsi="Avenir Next" w:cs="Arial"/>
          <w:sz w:val="22"/>
          <w:szCs w:val="22"/>
          <w:highlight w:val="yellow"/>
          <w:lang w:val="en-GB"/>
        </w:rPr>
      </w:pPr>
      <w:r w:rsidRPr="004D3DE4">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4D3DE4">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6166D8">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6166D8">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6166D8">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6C91B180" w:rsidR="00CB56CE" w:rsidRPr="00B77352" w:rsidRDefault="009C4C20"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 MLCBI recognition of insolvency proceedings requires an assessment of whether the proceedings are foreign main or non-main proceedings in the that state. Foreign proceedings can only be recognised as foreign main proceedings if they are taking place in the jurisdiction where the debtor has its COMI. This would therefore be an evaluation at that point in time. Different states have different opinions on when the COMI is evaluated and thus the appropriate dates could differ. T</w:t>
      </w:r>
      <w:r w:rsidR="003440A2">
        <w:rPr>
          <w:rFonts w:ascii="Avenir Next" w:hAnsi="Avenir Next" w:cs="Arial"/>
          <w:color w:val="808080" w:themeColor="background1" w:themeShade="80"/>
          <w:sz w:val="22"/>
          <w:szCs w:val="22"/>
          <w:lang w:val="en-GB"/>
        </w:rPr>
        <w:t>he appropriate date for determining the COMI or whether and establishment exists, is the date of commencement of the foreign proceeding. While the COMI of a debtor can move, if such a move is in close proximity to the commencement of the foreign proceedings, the appropriate evidence for this will be harder to establish, in particular the requirement that the COMI must be readily ascertainable by third parties, such as creditors of the debtor</w:t>
      </w:r>
      <w:r>
        <w:rPr>
          <w:rFonts w:ascii="Avenir Next" w:hAnsi="Avenir Next" w:cs="Arial"/>
          <w:color w:val="808080" w:themeColor="background1" w:themeShade="80"/>
          <w:sz w:val="22"/>
          <w:szCs w:val="22"/>
          <w:lang w:val="en-GB"/>
        </w:rPr>
        <w:t>.</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3E9E06E5" w14:textId="77777777" w:rsidR="00E84AE8" w:rsidRDefault="009C4C2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w:t>
      </w:r>
      <w:r w:rsidR="00E84AE8">
        <w:rPr>
          <w:rFonts w:ascii="Avenir Next" w:hAnsi="Avenir Next" w:cs="Arial"/>
          <w:color w:val="808080" w:themeColor="background1" w:themeShade="80"/>
          <w:sz w:val="22"/>
          <w:szCs w:val="22"/>
          <w:lang w:val="en-GB"/>
        </w:rPr>
        <w:t xml:space="preserve"> Timely Notice Article 14, this sets out the equal treatment of foreign creditors to be notified whenever notification is required for local creditors in the enacting state. </w:t>
      </w:r>
    </w:p>
    <w:p w14:paraId="428DC0DA" w14:textId="47771644" w:rsidR="00867A8F" w:rsidRDefault="00E84AE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4C964FCB" w14:textId="7B26F864" w:rsidR="009C4C20" w:rsidRDefault="009C4C2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2 Safe Conduct Rule Article 10: this ensures that the court in the enacting State does not assume jurisdiction over all the assets of the debtor on the grounds that the foreign representative </w:t>
      </w:r>
      <w:r w:rsidR="00E84AE8">
        <w:rPr>
          <w:rFonts w:ascii="Avenir Next" w:hAnsi="Avenir Next" w:cs="Arial"/>
          <w:color w:val="808080" w:themeColor="background1" w:themeShade="80"/>
          <w:sz w:val="22"/>
          <w:szCs w:val="22"/>
          <w:lang w:val="en-GB"/>
        </w:rPr>
        <w:t xml:space="preserve">has made an application for the recognition of foreign proceeding. </w:t>
      </w:r>
    </w:p>
    <w:p w14:paraId="565B68B0" w14:textId="77777777" w:rsidR="009C4C20" w:rsidRDefault="009C4C20" w:rsidP="00867A8F">
      <w:pPr>
        <w:ind w:left="720" w:hanging="720"/>
        <w:jc w:val="both"/>
        <w:rPr>
          <w:rFonts w:ascii="Avenir Next" w:hAnsi="Avenir Next" w:cs="Arial"/>
          <w:color w:val="808080" w:themeColor="background1" w:themeShade="80"/>
          <w:sz w:val="22"/>
          <w:szCs w:val="22"/>
          <w:lang w:val="en-GB"/>
        </w:rPr>
      </w:pPr>
    </w:p>
    <w:p w14:paraId="256FBD7F" w14:textId="5BE514B3" w:rsidR="009C4C20" w:rsidRPr="00B77352" w:rsidRDefault="009C4C2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3</w:t>
      </w:r>
      <w:r w:rsidR="00003FB8">
        <w:rPr>
          <w:rFonts w:ascii="Avenir Next" w:hAnsi="Avenir Next" w:cs="Arial"/>
          <w:color w:val="808080" w:themeColor="background1" w:themeShade="80"/>
          <w:sz w:val="22"/>
          <w:szCs w:val="22"/>
          <w:lang w:val="en-GB"/>
        </w:rPr>
        <w:t xml:space="preserve"> Automatic relief when a foreign main proceeding is recognised Article 20</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224314A0" w:rsidR="00867A8F" w:rsidRPr="00B77352" w:rsidRDefault="00800D4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21 is broadly drafted to enable the enacting state the ability to provide the appropriate relief, but this is not unlimited. In the IBA case the English court determined that it did not have jurisdiction to grant the Azeri foreign representative of a foreign main proceeding opened in Azerbaijan an indefinite continuation of the automatic moratorium that resulted from an earlier recognition order. In the IBA case appeal </w:t>
      </w:r>
      <w:r w:rsidR="00FC2E56">
        <w:rPr>
          <w:rFonts w:ascii="Avenir Next" w:hAnsi="Avenir Next" w:cs="Arial"/>
          <w:color w:val="808080" w:themeColor="background1" w:themeShade="80"/>
          <w:sz w:val="22"/>
          <w:szCs w:val="22"/>
          <w:lang w:val="en-GB"/>
        </w:rPr>
        <w:t xml:space="preserve">according to the Court of Appeal, the case did not involve an issue of jurisdiction in the strict sense. Instead, the real issue in this case was whether as a matter of settled practice the court should not exercise its power to grant the indefinite Moratorium Continuation where to do so would </w:t>
      </w:r>
      <w:r>
        <w:rPr>
          <w:rFonts w:ascii="Avenir Next" w:hAnsi="Avenir Next" w:cs="Arial"/>
          <w:color w:val="808080" w:themeColor="background1" w:themeShade="80"/>
          <w:sz w:val="22"/>
          <w:szCs w:val="22"/>
          <w:lang w:val="en-GB"/>
        </w:rPr>
        <w:t>1)</w:t>
      </w:r>
      <w:r w:rsidR="00FC2E56">
        <w:rPr>
          <w:rFonts w:ascii="Avenir Next" w:hAnsi="Avenir Next" w:cs="Arial"/>
          <w:color w:val="808080" w:themeColor="background1" w:themeShade="80"/>
          <w:sz w:val="22"/>
          <w:szCs w:val="22"/>
          <w:lang w:val="en-GB"/>
        </w:rPr>
        <w:t xml:space="preserve"> in substance prevent the English creditors from enforcing their English law rights in accordance with the Gibbs Rule and 2) prolong the stay after the Azeri reconstruction has come to an end. In 1)</w:t>
      </w:r>
      <w:r>
        <w:rPr>
          <w:rFonts w:ascii="Avenir Next" w:hAnsi="Avenir Next" w:cs="Arial"/>
          <w:color w:val="808080" w:themeColor="background1" w:themeShade="80"/>
          <w:sz w:val="22"/>
          <w:szCs w:val="22"/>
          <w:lang w:val="en-GB"/>
        </w:rPr>
        <w:t xml:space="preserve"> the Court of Appeal held that an English court</w:t>
      </w:r>
      <w:r w:rsidR="00FC2E56">
        <w:rPr>
          <w:rFonts w:ascii="Avenir Next" w:hAnsi="Avenir Next" w:cs="Arial"/>
          <w:color w:val="808080" w:themeColor="background1" w:themeShade="80"/>
          <w:sz w:val="22"/>
          <w:szCs w:val="22"/>
          <w:lang w:val="en-GB"/>
        </w:rPr>
        <w:t xml:space="preserve"> could only grant the indefinite Moratorium Continuation if it were satisfied of two things: first, the stay would have to be necessary to protect the interests of IBA’s creditors and secondly, the stay would have to be an appropriate wat of achieving such protection. The Court held that neither of these conditions had been satisfied. </w:t>
      </w:r>
      <w:r>
        <w:rPr>
          <w:rFonts w:ascii="Avenir Next" w:hAnsi="Avenir Next" w:cs="Arial"/>
          <w:color w:val="808080" w:themeColor="background1" w:themeShade="80"/>
          <w:sz w:val="22"/>
          <w:szCs w:val="22"/>
          <w:lang w:val="en-GB"/>
        </w:rPr>
        <w:t xml:space="preserve"> </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1AB7D4E3" w:rsidR="00867A8F" w:rsidRDefault="00A8375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recognition of a foreign proceeding (whether main or non-main), Article 21(1) of the MLCBI provides the court in the enacting State with the discretionary power – where necessary to protect the assets of the debtor or the interest of creditors and at the request of the foreign representative  - to grant appropriate relief. </w:t>
      </w:r>
    </w:p>
    <w:p w14:paraId="196ECF20" w14:textId="191C9DD8" w:rsidR="00A83755" w:rsidRPr="00B77352" w:rsidRDefault="00C755B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18 requires the foreign representative , from the time of filing the recognition application for the foreign proceeding, to promptly inform the court in the enacting State of 1) any substantial change in the status of the recognised foreign proceeding or the status of the foreign representative’s appointment and 2) any other foreign proceeding regarding the same debtor that becomes known to the foreign representative.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4D9CFD3C" w:rsidR="00867A8F" w:rsidRPr="00B77352" w:rsidRDefault="0044379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automatic relief available under Model Law such as the stay of actions or of enforcement proceedings, is necessary to provide “breathing space” until appropriate measures are taken for reorganisation or liquidation of the assets of the debtor. The ability to apply for discretionary relief under Model Law provides the foreign representative maximum flexibility and the ability to devise bespoke solutions tailored to the circumstances of the debtor and other interested parties. Finally the ability to seek preliminary relief on an urgent basis on the filing of an application for recognition can help prevent dissipation of assets and preserve the status quo for the benefit of stakeholders generally until the application can be heard. </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4C68DD56" w14:textId="77777777" w:rsidR="00C029ED" w:rsidRDefault="00C029E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Model Law is intended to expedite and simplify the process required to recognise foreign proceedings and to provide a clear framework for obtaining recognition. </w:t>
      </w:r>
    </w:p>
    <w:p w14:paraId="63716817" w14:textId="77777777" w:rsidR="00B75615" w:rsidRDefault="00C029E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15 provides that a foreign representative may apply to the court for recognition of the foreign proceeding to which the foreign representative has been appointed. An application for recognition shall be accompanied by a) a certified copy of the decision of the foreign proceeding and appointing the foreign representative or b) a certificate from the foreign court affirming the existence of the foreign proceeding and of the appointment of the foreign </w:t>
      </w:r>
      <w:r w:rsidR="00B75615">
        <w:rPr>
          <w:rFonts w:ascii="Avenir Next" w:hAnsi="Avenir Next" w:cs="Arial"/>
          <w:color w:val="808080" w:themeColor="background1" w:themeShade="80"/>
          <w:sz w:val="22"/>
          <w:szCs w:val="22"/>
          <w:lang w:val="en-GB"/>
        </w:rPr>
        <w:t xml:space="preserve">representative or c) in the absence of evidence referred in a) and b) above any other evidence acceptable to the court of the existence of the foreign proceeding and the appointment of the foreign representative. </w:t>
      </w:r>
    </w:p>
    <w:p w14:paraId="3937CDFF" w14:textId="10B3352B" w:rsidR="00867A8F" w:rsidRDefault="00B7561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application for recognition shall also be accompanied by a statement identifying all foreign proceedings in respect of the debtor that are known to the foreign representative. </w:t>
      </w:r>
      <w:r w:rsidR="00C029ED">
        <w:rPr>
          <w:rFonts w:ascii="Avenir Next" w:hAnsi="Avenir Next" w:cs="Arial"/>
          <w:color w:val="808080" w:themeColor="background1" w:themeShade="80"/>
          <w:sz w:val="22"/>
          <w:szCs w:val="22"/>
          <w:lang w:val="en-GB"/>
        </w:rPr>
        <w:t xml:space="preserve"> </w:t>
      </w:r>
    </w:p>
    <w:p w14:paraId="460B5AEF" w14:textId="2B80F062" w:rsidR="00B75615" w:rsidRDefault="00B7561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may require a translation of documents supplied in support of the application for recognition into an official language of the enacting State.</w:t>
      </w:r>
    </w:p>
    <w:p w14:paraId="0C92A956" w14:textId="3EA88EDB" w:rsidR="00B75615" w:rsidRDefault="00B7561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16 sets forth the following presumptions concerning recognition;</w:t>
      </w:r>
    </w:p>
    <w:p w14:paraId="637D3EA0" w14:textId="411EC9B9" w:rsidR="00B75615" w:rsidRDefault="00B7561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decision or certificate referred in Article 15 above indicates that the foreign proceeding is a proceeding within article 2(a)  and that the foreign representative is a person or body within the meaning of article 2(d) the court is entitled to presume so.</w:t>
      </w:r>
    </w:p>
    <w:p w14:paraId="552DA814" w14:textId="7CEF488B" w:rsidR="00B75615" w:rsidRDefault="00B7561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is entitled to presume that documents submitted in support of the application for recognition are authentic, whether or not they have been legalised. </w:t>
      </w:r>
    </w:p>
    <w:p w14:paraId="02BEF00A" w14:textId="1F453CE7" w:rsidR="00B75615" w:rsidRPr="00B77352" w:rsidRDefault="00B75615" w:rsidP="00B7561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absence of proof to the contrary, the debtors registered office, or habitual residence in the case of an individual, is presumed to be the centre of the debtor’s main interest. </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118AA04A" w14:textId="50BBDD37" w:rsidR="0050627C" w:rsidRDefault="0050627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and relief are related concepts. The evidential requirements for recognition of a foreign proceeding </w:t>
      </w:r>
      <w:r w:rsidR="00763FFF">
        <w:rPr>
          <w:rFonts w:ascii="Avenir Next" w:hAnsi="Avenir Next" w:cs="Arial"/>
          <w:color w:val="808080" w:themeColor="background1" w:themeShade="80"/>
          <w:sz w:val="22"/>
          <w:szCs w:val="22"/>
          <w:lang w:val="en-GB"/>
        </w:rPr>
        <w:t xml:space="preserve">are set in Article 15 – and if met recognition will be granted pursuant to Article 17. In deciding whether the foreign proceeding should be recognise, the court in the enacting State is further limited to the jurisdictional pre-conditions set out in the definition of “foreign proceeding” as set out in Article 2 (a). </w:t>
      </w:r>
      <w:r>
        <w:rPr>
          <w:rFonts w:ascii="Avenir Next" w:hAnsi="Avenir Next" w:cs="Arial"/>
          <w:color w:val="808080" w:themeColor="background1" w:themeShade="80"/>
          <w:sz w:val="22"/>
          <w:szCs w:val="22"/>
          <w:lang w:val="en-GB"/>
        </w:rPr>
        <w:t xml:space="preserve"> </w:t>
      </w:r>
    </w:p>
    <w:p w14:paraId="59586374" w14:textId="304CE8C5" w:rsidR="00867A8F" w:rsidRDefault="00CC66C3"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Even prior to a decision on the recognition application, the court in the enacting State is entitled to grant urgently needed interim relief upon application for the recognition of a foreign proceeding based on Article 19. Article 21 sets out the court’s discretionary power to provide post-recognition relief and Article 20 provides for automatic mandatory relief in case the recognised foreign proceeding qualifies as a foreign main proceeding. Article 22 </w:t>
      </w:r>
      <w:r w:rsidR="0050627C">
        <w:rPr>
          <w:rFonts w:ascii="Avenir Next" w:hAnsi="Avenir Next" w:cs="Arial"/>
          <w:color w:val="808080" w:themeColor="background1" w:themeShade="80"/>
          <w:sz w:val="22"/>
          <w:szCs w:val="22"/>
          <w:lang w:val="en-GB"/>
        </w:rPr>
        <w:t xml:space="preserve">clarifies that in granting or denying relief based on either Article 19 or Article 21, the court in the enacting State must be satisfied that the interests of the debtor’s creditors and other interested parties are adequately protected. </w:t>
      </w:r>
    </w:p>
    <w:p w14:paraId="2080AF05" w14:textId="66BEB40A" w:rsidR="0050627C" w:rsidRDefault="0050627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consequence of a recognition decision is also, according to Article 23 that the foreign representative obtains standing to initiate actions under the law of the enacting State to avoid or otherwise render ineffective legal acts detrimental to the creditors of the debtor (i.e. clawback rights and the power to avoid antecedent transactions). Another consequence of recognition per Article 24 is the right of the foreign representative to intervene in any local proceedings in the enacting State in which the debtor is a party provided the foreign representative meets the local requirements for this. </w:t>
      </w:r>
    </w:p>
    <w:p w14:paraId="655CD70B" w14:textId="2EEC506E" w:rsidR="00D5244F" w:rsidRDefault="00D5244F" w:rsidP="00707FC8">
      <w:pPr>
        <w:ind w:left="720" w:hanging="720"/>
        <w:jc w:val="both"/>
        <w:rPr>
          <w:rFonts w:ascii="Avenir Next" w:hAnsi="Avenir Next" w:cs="Arial"/>
          <w:sz w:val="22"/>
          <w:szCs w:val="22"/>
          <w:lang w:val="en-GB"/>
        </w:rPr>
      </w:pPr>
    </w:p>
    <w:p w14:paraId="3AD64608" w14:textId="494971FA" w:rsidR="00867A8F" w:rsidRDefault="00867A8F" w:rsidP="00707FC8">
      <w:pPr>
        <w:ind w:left="720" w:hanging="720"/>
        <w:jc w:val="both"/>
        <w:rPr>
          <w:rFonts w:ascii="Avenir Next" w:hAnsi="Avenir Next" w:cs="Arial"/>
          <w:sz w:val="22"/>
          <w:szCs w:val="22"/>
          <w:lang w:val="en-GB"/>
        </w:rPr>
      </w:pPr>
    </w:p>
    <w:p w14:paraId="21A67231" w14:textId="09778AA2" w:rsidR="00867A8F" w:rsidRDefault="00867A8F" w:rsidP="00707FC8">
      <w:pPr>
        <w:ind w:left="720" w:hanging="720"/>
        <w:jc w:val="both"/>
        <w:rPr>
          <w:rFonts w:ascii="Avenir Next" w:hAnsi="Avenir Next" w:cs="Arial"/>
          <w:sz w:val="22"/>
          <w:szCs w:val="22"/>
          <w:lang w:val="en-GB"/>
        </w:rPr>
      </w:pP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1F0E7D4B" w:rsidR="00867A8F" w:rsidRPr="00B77352" w:rsidRDefault="003404B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English case between Igor Vitalievich Protasov and Khadzhi-Murat Derev the question was whether under Article 21 a worldwide freezing order that was granted as provisional relief under Article 19 could continue following recognition in the UK of a Russian bankruptcy as a foreign main proceeding. While the English court held to have jurisdiction in the strict sense to grant post-recognition relief, it found that relev</w:t>
      </w:r>
      <w:r w:rsidR="004F54CA">
        <w:rPr>
          <w:rFonts w:ascii="Avenir Next" w:hAnsi="Avenir Next" w:cs="Arial"/>
          <w:color w:val="808080" w:themeColor="background1" w:themeShade="80"/>
          <w:sz w:val="22"/>
          <w:szCs w:val="22"/>
          <w:lang w:val="en-GB"/>
        </w:rPr>
        <w:t xml:space="preserve">ant restrictions and limitations existed which served to inhibit the proper exercise of that jurisdiction. The English court found that the English bankruptcy regime offers other forms of protection which mean that relief in the form of a freezing order is simply not warranted. According to the court Model Law is intended to put the foreign trustee or bankruptcy manager in the same position, as far as practicable, as an officeholder appointed under domestic law and to bring the same wide infrastructure of the insolvency legislation.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6166D8">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6166D8">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6166D8">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_Hlk115287350"/>
      <w:bookmarkStart w:id="16" w:name="para30"/>
      <w:r w:rsidRPr="00E2622D">
        <w:rPr>
          <w:rFonts w:ascii="Avenir Next" w:hAnsi="Avenir Next" w:cs="Arial"/>
          <w:color w:val="000000"/>
          <w:sz w:val="22"/>
          <w:szCs w:val="22"/>
          <w:lang w:val="en-GB" w:eastAsia="en-GB"/>
        </w:rPr>
        <w:t xml:space="preserve">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w:t>
      </w:r>
      <w:bookmarkEnd w:id="15"/>
      <w:r w:rsidRPr="00E2622D">
        <w:rPr>
          <w:rFonts w:ascii="Avenir Next" w:hAnsi="Avenir Next" w:cs="Arial"/>
          <w:color w:val="000000"/>
          <w:sz w:val="22"/>
          <w:szCs w:val="22"/>
          <w:lang w:val="en-GB" w:eastAsia="en-GB"/>
        </w:rPr>
        <w:t>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7" w:name="para31"/>
      <w:bookmarkEnd w:id="16"/>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7"/>
    </w:p>
    <w:p w14:paraId="74A69F50" w14:textId="7C5ABA10" w:rsidR="008A7470" w:rsidRPr="00E2622D" w:rsidRDefault="008A7470" w:rsidP="006166D8">
      <w:pPr>
        <w:pStyle w:val="ListParagraph"/>
        <w:numPr>
          <w:ilvl w:val="0"/>
          <w:numId w:val="12"/>
        </w:numPr>
        <w:ind w:left="425" w:hanging="357"/>
        <w:jc w:val="both"/>
        <w:rPr>
          <w:rFonts w:ascii="Avenir Next" w:hAnsi="Avenir Next" w:cs="Arial"/>
          <w:color w:val="000000"/>
          <w:sz w:val="22"/>
          <w:szCs w:val="22"/>
          <w:lang w:val="en-GB" w:eastAsia="en-GB"/>
        </w:rPr>
      </w:pPr>
      <w:bookmarkStart w:id="18" w:name="_Hlk115288252"/>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bookmarkEnd w:id="18"/>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166D8">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9"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20" w:name="para33"/>
      <w:bookmarkEnd w:id="19"/>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6166D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6166D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6166D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6166D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6166D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6166D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3"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4"/>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5"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5"/>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6"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6"/>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6166D8">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6166D8">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6166D8">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6166D8">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6166D8">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7"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9" w:name="para41"/>
      <w:bookmarkEnd w:id="28"/>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9"/>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E112B6B" w:rsidR="0077498C" w:rsidRDefault="00193A4B"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4.1.1 Article 2 contains a number of definitions which thus establishes if the bank can be considered as a “foreign proceeding”. A key definition is that of “foreign proceeding” which must have the following elements;</w:t>
      </w:r>
    </w:p>
    <w:p w14:paraId="73BB9FC1" w14:textId="7EE801F6" w:rsidR="00193A4B" w:rsidRPr="0014735E" w:rsidRDefault="00193A4B" w:rsidP="006166D8">
      <w:pPr>
        <w:pStyle w:val="ListParagraph"/>
        <w:numPr>
          <w:ilvl w:val="0"/>
          <w:numId w:val="15"/>
        </w:numPr>
        <w:jc w:val="both"/>
        <w:rPr>
          <w:rFonts w:ascii="Avenir Next" w:hAnsi="Avenir Next" w:cs="Arial"/>
          <w:color w:val="000000" w:themeColor="text1"/>
          <w:sz w:val="22"/>
          <w:szCs w:val="22"/>
          <w:lang w:val="en-GB"/>
        </w:rPr>
      </w:pPr>
      <w:r w:rsidRPr="0014735E">
        <w:rPr>
          <w:rFonts w:ascii="Avenir Next" w:hAnsi="Avenir Next" w:cs="Arial"/>
          <w:color w:val="000000" w:themeColor="text1"/>
          <w:sz w:val="22"/>
          <w:szCs w:val="22"/>
          <w:lang w:val="en-GB"/>
        </w:rPr>
        <w:t>A proceeding (including an interim proceeding)</w:t>
      </w:r>
    </w:p>
    <w:p w14:paraId="25A0267E" w14:textId="5C13D4A8" w:rsidR="00193A4B" w:rsidRPr="0014735E" w:rsidRDefault="00193A4B" w:rsidP="006166D8">
      <w:pPr>
        <w:pStyle w:val="ListParagraph"/>
        <w:numPr>
          <w:ilvl w:val="0"/>
          <w:numId w:val="15"/>
        </w:numPr>
        <w:jc w:val="both"/>
        <w:rPr>
          <w:rFonts w:ascii="Avenir Next" w:hAnsi="Avenir Next" w:cs="Arial"/>
          <w:color w:val="000000" w:themeColor="text1"/>
          <w:sz w:val="22"/>
          <w:szCs w:val="22"/>
          <w:lang w:val="en-GB"/>
        </w:rPr>
      </w:pPr>
      <w:r w:rsidRPr="0014735E">
        <w:rPr>
          <w:rFonts w:ascii="Avenir Next" w:hAnsi="Avenir Next" w:cs="Arial"/>
          <w:color w:val="000000" w:themeColor="text1"/>
          <w:sz w:val="22"/>
          <w:szCs w:val="22"/>
          <w:lang w:val="en-GB"/>
        </w:rPr>
        <w:t>That is either judicial or administrative</w:t>
      </w:r>
    </w:p>
    <w:p w14:paraId="7FD219B4" w14:textId="03BA8EE7" w:rsidR="00193A4B" w:rsidRPr="0014735E" w:rsidRDefault="00193A4B" w:rsidP="006166D8">
      <w:pPr>
        <w:pStyle w:val="ListParagraph"/>
        <w:numPr>
          <w:ilvl w:val="0"/>
          <w:numId w:val="15"/>
        </w:numPr>
        <w:jc w:val="both"/>
        <w:rPr>
          <w:rFonts w:ascii="Avenir Next" w:hAnsi="Avenir Next" w:cs="Arial"/>
          <w:color w:val="000000" w:themeColor="text1"/>
          <w:sz w:val="22"/>
          <w:szCs w:val="22"/>
          <w:lang w:val="en-GB"/>
        </w:rPr>
      </w:pPr>
      <w:r w:rsidRPr="0014735E">
        <w:rPr>
          <w:rFonts w:ascii="Avenir Next" w:hAnsi="Avenir Next" w:cs="Arial"/>
          <w:color w:val="000000" w:themeColor="text1"/>
          <w:sz w:val="22"/>
          <w:szCs w:val="22"/>
          <w:lang w:val="en-GB"/>
        </w:rPr>
        <w:t>That is collective in nature</w:t>
      </w:r>
    </w:p>
    <w:p w14:paraId="2708D424" w14:textId="25A55171" w:rsidR="00193A4B" w:rsidRPr="0014735E" w:rsidRDefault="00193A4B" w:rsidP="006166D8">
      <w:pPr>
        <w:pStyle w:val="ListParagraph"/>
        <w:numPr>
          <w:ilvl w:val="0"/>
          <w:numId w:val="15"/>
        </w:numPr>
        <w:jc w:val="both"/>
        <w:rPr>
          <w:rFonts w:ascii="Avenir Next" w:hAnsi="Avenir Next" w:cs="Arial"/>
          <w:color w:val="000000" w:themeColor="text1"/>
          <w:sz w:val="22"/>
          <w:szCs w:val="22"/>
          <w:lang w:val="en-GB"/>
        </w:rPr>
      </w:pPr>
      <w:r w:rsidRPr="0014735E">
        <w:rPr>
          <w:rFonts w:ascii="Avenir Next" w:hAnsi="Avenir Next" w:cs="Arial"/>
          <w:color w:val="000000" w:themeColor="text1"/>
          <w:sz w:val="22"/>
          <w:szCs w:val="22"/>
          <w:lang w:val="en-GB"/>
        </w:rPr>
        <w:t>That is in a foreign State</w:t>
      </w:r>
    </w:p>
    <w:p w14:paraId="52321F30" w14:textId="09E37F05" w:rsidR="00193A4B" w:rsidRPr="0014735E" w:rsidRDefault="00193A4B" w:rsidP="006166D8">
      <w:pPr>
        <w:pStyle w:val="ListParagraph"/>
        <w:numPr>
          <w:ilvl w:val="0"/>
          <w:numId w:val="15"/>
        </w:numPr>
        <w:jc w:val="both"/>
        <w:rPr>
          <w:rFonts w:ascii="Avenir Next" w:hAnsi="Avenir Next" w:cs="Arial"/>
          <w:color w:val="000000" w:themeColor="text1"/>
          <w:sz w:val="22"/>
          <w:szCs w:val="22"/>
          <w:lang w:val="en-GB"/>
        </w:rPr>
      </w:pPr>
      <w:r w:rsidRPr="0014735E">
        <w:rPr>
          <w:rFonts w:ascii="Avenir Next" w:hAnsi="Avenir Next" w:cs="Arial"/>
          <w:color w:val="000000" w:themeColor="text1"/>
          <w:sz w:val="22"/>
          <w:szCs w:val="22"/>
          <w:lang w:val="en-GB"/>
        </w:rPr>
        <w:t>That is authorised or conducted under a law relating to insolvency</w:t>
      </w:r>
    </w:p>
    <w:p w14:paraId="778CA6B3" w14:textId="632EDB64" w:rsidR="00193A4B" w:rsidRPr="0014735E" w:rsidRDefault="00193A4B" w:rsidP="006166D8">
      <w:pPr>
        <w:pStyle w:val="ListParagraph"/>
        <w:numPr>
          <w:ilvl w:val="0"/>
          <w:numId w:val="15"/>
        </w:numPr>
        <w:jc w:val="both"/>
        <w:rPr>
          <w:rFonts w:ascii="Avenir Next" w:hAnsi="Avenir Next" w:cs="Arial"/>
          <w:color w:val="000000" w:themeColor="text1"/>
          <w:sz w:val="22"/>
          <w:szCs w:val="22"/>
          <w:lang w:val="en-GB"/>
        </w:rPr>
      </w:pPr>
      <w:r w:rsidRPr="0014735E">
        <w:rPr>
          <w:rFonts w:ascii="Avenir Next" w:hAnsi="Avenir Next" w:cs="Arial"/>
          <w:color w:val="000000" w:themeColor="text1"/>
          <w:sz w:val="22"/>
          <w:szCs w:val="22"/>
          <w:lang w:val="en-GB"/>
        </w:rPr>
        <w:t xml:space="preserve">In which the assets and affairs of the debtor are subject to control or supervision by a foreign court and </w:t>
      </w:r>
    </w:p>
    <w:p w14:paraId="17A36DB6" w14:textId="5139FE51" w:rsidR="00193A4B" w:rsidRPr="0014735E" w:rsidRDefault="00193A4B" w:rsidP="006166D8">
      <w:pPr>
        <w:pStyle w:val="ListParagraph"/>
        <w:numPr>
          <w:ilvl w:val="0"/>
          <w:numId w:val="15"/>
        </w:numPr>
        <w:jc w:val="both"/>
        <w:rPr>
          <w:rFonts w:ascii="Avenir Next" w:hAnsi="Avenir Next" w:cs="Arial"/>
          <w:color w:val="000000" w:themeColor="text1"/>
          <w:sz w:val="22"/>
          <w:szCs w:val="22"/>
          <w:lang w:val="en-GB"/>
        </w:rPr>
      </w:pPr>
      <w:r w:rsidRPr="0014735E">
        <w:rPr>
          <w:rFonts w:ascii="Avenir Next" w:hAnsi="Avenir Next" w:cs="Arial"/>
          <w:color w:val="000000" w:themeColor="text1"/>
          <w:sz w:val="22"/>
          <w:szCs w:val="22"/>
          <w:lang w:val="en-GB"/>
        </w:rPr>
        <w:t xml:space="preserve">Which proceeding is for the purpose of reorganisation or liquidation. </w:t>
      </w:r>
    </w:p>
    <w:p w14:paraId="38DE3960" w14:textId="639E02ED" w:rsidR="00193A4B" w:rsidRDefault="00193A4B" w:rsidP="00707FC8">
      <w:pPr>
        <w:jc w:val="both"/>
        <w:rPr>
          <w:rFonts w:ascii="Avenir Next" w:hAnsi="Avenir Next" w:cs="Arial"/>
          <w:color w:val="000000" w:themeColor="text1"/>
          <w:sz w:val="22"/>
          <w:szCs w:val="22"/>
          <w:lang w:val="en-GB"/>
        </w:rPr>
      </w:pPr>
    </w:p>
    <w:p w14:paraId="3FE33695" w14:textId="6C2E78E6" w:rsidR="0014735E" w:rsidRDefault="0014735E"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bank appears to fit the above elements in the following manner;</w:t>
      </w:r>
    </w:p>
    <w:p w14:paraId="4DE0FC20" w14:textId="7B216ED8" w:rsidR="0014735E" w:rsidRPr="0014735E" w:rsidRDefault="0014735E" w:rsidP="006166D8">
      <w:pPr>
        <w:pStyle w:val="ListParagraph"/>
        <w:numPr>
          <w:ilvl w:val="0"/>
          <w:numId w:val="16"/>
        </w:numPr>
        <w:jc w:val="both"/>
        <w:rPr>
          <w:rFonts w:ascii="Avenir Next" w:hAnsi="Avenir Next" w:cs="Arial"/>
          <w:color w:val="000000" w:themeColor="text1"/>
          <w:sz w:val="22"/>
          <w:szCs w:val="22"/>
          <w:lang w:val="en-GB"/>
        </w:rPr>
      </w:pPr>
      <w:r w:rsidRPr="0014735E">
        <w:rPr>
          <w:rFonts w:ascii="Avenir Next" w:hAnsi="Avenir Next" w:cs="Arial"/>
          <w:color w:val="000000" w:themeColor="text1"/>
          <w:sz w:val="22"/>
          <w:szCs w:val="22"/>
          <w:lang w:val="en-GB"/>
        </w:rPr>
        <w:t xml:space="preserve">Proceedings began 17 Sep 2015 when the bank was placed in administration and on 17 Dec 2015 when it was placed into liquidation. </w:t>
      </w:r>
    </w:p>
    <w:p w14:paraId="4C809002" w14:textId="3731A547" w:rsidR="0014735E" w:rsidRDefault="0014735E" w:rsidP="006166D8">
      <w:pPr>
        <w:pStyle w:val="ListParagraph"/>
        <w:numPr>
          <w:ilvl w:val="0"/>
          <w:numId w:val="16"/>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Both proceedings above were administrative and judicial respectively.</w:t>
      </w:r>
    </w:p>
    <w:p w14:paraId="7B4F75B0" w14:textId="77777777" w:rsidR="0014735E" w:rsidRDefault="0014735E" w:rsidP="006166D8">
      <w:pPr>
        <w:pStyle w:val="ListParagraph"/>
        <w:numPr>
          <w:ilvl w:val="0"/>
          <w:numId w:val="16"/>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w:t>
      </w:r>
      <w:r w:rsidRPr="0014735E">
        <w:rPr>
          <w:rFonts w:ascii="Avenir Next" w:hAnsi="Avenir Next" w:cs="Arial"/>
          <w:color w:val="000000" w:themeColor="text1"/>
          <w:sz w:val="22"/>
          <w:szCs w:val="22"/>
          <w:lang w:val="en-GB"/>
        </w:rPr>
        <w:t xml:space="preserve">Deposit Guarantee Fund (DGF) </w:t>
      </w:r>
      <w:r>
        <w:rPr>
          <w:rFonts w:ascii="Avenir Next" w:hAnsi="Avenir Next" w:cs="Arial"/>
          <w:color w:val="000000" w:themeColor="text1"/>
          <w:sz w:val="22"/>
          <w:szCs w:val="22"/>
          <w:lang w:val="en-GB"/>
        </w:rPr>
        <w:t>being</w:t>
      </w:r>
      <w:r w:rsidRPr="0014735E">
        <w:rPr>
          <w:rFonts w:ascii="Avenir Next" w:hAnsi="Avenir Next" w:cs="Arial"/>
          <w:color w:val="000000" w:themeColor="text1"/>
          <w:sz w:val="22"/>
          <w:szCs w:val="22"/>
          <w:lang w:val="en-GB"/>
        </w:rPr>
        <w:t xml:space="preserve"> tasked principally with providing deposit insurance to bank depositors in Country A</w:t>
      </w:r>
      <w:r>
        <w:rPr>
          <w:rFonts w:ascii="Avenir Next" w:hAnsi="Avenir Next" w:cs="Arial"/>
          <w:color w:val="000000" w:themeColor="text1"/>
          <w:sz w:val="22"/>
          <w:szCs w:val="22"/>
          <w:lang w:val="en-GB"/>
        </w:rPr>
        <w:t xml:space="preserve"> as well as being</w:t>
      </w:r>
      <w:r w:rsidRPr="0014735E">
        <w:rPr>
          <w:rFonts w:ascii="Avenir Next" w:hAnsi="Avenir Next" w:cs="Arial"/>
          <w:color w:val="000000" w:themeColor="text1"/>
          <w:sz w:val="22"/>
          <w:szCs w:val="22"/>
          <w:lang w:val="en-GB"/>
        </w:rPr>
        <w:t xml:space="preserve"> responsible for the process of withdrawing insolvent banks from the market and winding down their operations via liquidation</w:t>
      </w:r>
      <w:r>
        <w:rPr>
          <w:rFonts w:ascii="Avenir Next" w:hAnsi="Avenir Next" w:cs="Arial"/>
          <w:color w:val="000000" w:themeColor="text1"/>
          <w:sz w:val="22"/>
          <w:szCs w:val="22"/>
          <w:lang w:val="en-GB"/>
        </w:rPr>
        <w:t xml:space="preserve"> – is thus collective in nature.</w:t>
      </w:r>
    </w:p>
    <w:p w14:paraId="25231D54" w14:textId="77777777" w:rsidR="0014735E" w:rsidRDefault="0014735E" w:rsidP="006166D8">
      <w:pPr>
        <w:pStyle w:val="ListParagraph"/>
        <w:numPr>
          <w:ilvl w:val="0"/>
          <w:numId w:val="16"/>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bank was indeed in several foreign States.</w:t>
      </w:r>
    </w:p>
    <w:p w14:paraId="069E6558" w14:textId="6DD242C3" w:rsidR="0014735E" w:rsidRDefault="0014735E" w:rsidP="006166D8">
      <w:pPr>
        <w:pStyle w:val="ListParagraph"/>
        <w:numPr>
          <w:ilvl w:val="0"/>
          <w:numId w:val="16"/>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Administration and liquidation proceedings dealt with insolvency laws under both the LBBA and DGF Laws. </w:t>
      </w:r>
    </w:p>
    <w:p w14:paraId="36583418" w14:textId="2B57C3BB" w:rsidR="0014735E" w:rsidRDefault="0014735E" w:rsidP="006166D8">
      <w:pPr>
        <w:pStyle w:val="ListParagraph"/>
        <w:numPr>
          <w:ilvl w:val="0"/>
          <w:numId w:val="16"/>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bank would be subject to control or supervision by both DGF, NB in a foreign court and</w:t>
      </w:r>
    </w:p>
    <w:p w14:paraId="60FCB6EC" w14:textId="47124C78" w:rsidR="0014735E" w:rsidRDefault="0014735E" w:rsidP="006166D8">
      <w:pPr>
        <w:pStyle w:val="ListParagraph"/>
        <w:numPr>
          <w:ilvl w:val="0"/>
          <w:numId w:val="16"/>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purpose of the proceedings were liquidation. </w:t>
      </w:r>
    </w:p>
    <w:p w14:paraId="40B6C12F" w14:textId="77777777" w:rsidR="00867FFC" w:rsidRDefault="00867FFC" w:rsidP="00867FFC">
      <w:pPr>
        <w:jc w:val="both"/>
        <w:rPr>
          <w:rFonts w:ascii="Avenir Next" w:hAnsi="Avenir Next" w:cs="Arial"/>
          <w:color w:val="000000" w:themeColor="text1"/>
          <w:sz w:val="22"/>
          <w:szCs w:val="22"/>
          <w:lang w:val="en-GB"/>
        </w:rPr>
      </w:pPr>
    </w:p>
    <w:p w14:paraId="71F20823" w14:textId="77777777" w:rsidR="00867FFC" w:rsidRDefault="00867FFC" w:rsidP="00867FFC">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For the purposes of determining whether proceedings are foreign main proceedings, one would have to establish if the bank had its centre of main interest (COMI) in England or not. Proceedings can still be carried out in England as the bank has an establishment there – and should it not fit main proceedings definition – it could still be considered as non-main proceedings. </w:t>
      </w:r>
    </w:p>
    <w:p w14:paraId="459E6F90" w14:textId="77777777" w:rsidR="00867FFC" w:rsidRDefault="00867FFC" w:rsidP="00867FFC">
      <w:pPr>
        <w:jc w:val="both"/>
        <w:rPr>
          <w:rFonts w:ascii="Avenir Next" w:hAnsi="Avenir Next" w:cs="Arial"/>
          <w:color w:val="000000" w:themeColor="text1"/>
          <w:sz w:val="22"/>
          <w:szCs w:val="22"/>
          <w:lang w:val="en-GB"/>
        </w:rPr>
      </w:pPr>
    </w:p>
    <w:p w14:paraId="4E33D4B1" w14:textId="28F6FB38" w:rsidR="006F7E2E" w:rsidRPr="006F7E2E" w:rsidRDefault="00867FFC" w:rsidP="006F7E2E">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4.</w:t>
      </w:r>
      <w:r w:rsidR="006F7E2E">
        <w:rPr>
          <w:rFonts w:ascii="Avenir Next" w:hAnsi="Avenir Next" w:cs="Arial"/>
          <w:color w:val="000000" w:themeColor="text1"/>
          <w:sz w:val="22"/>
          <w:szCs w:val="22"/>
          <w:lang w:val="en-GB"/>
        </w:rPr>
        <w:t>1.</w:t>
      </w:r>
      <w:r>
        <w:rPr>
          <w:rFonts w:ascii="Avenir Next" w:hAnsi="Avenir Next" w:cs="Arial"/>
          <w:color w:val="000000" w:themeColor="text1"/>
          <w:sz w:val="22"/>
          <w:szCs w:val="22"/>
          <w:lang w:val="en-GB"/>
        </w:rPr>
        <w:t>2</w:t>
      </w:r>
      <w:r w:rsidR="006F7E2E">
        <w:rPr>
          <w:rFonts w:ascii="Avenir Next" w:hAnsi="Avenir Next" w:cs="Arial"/>
          <w:color w:val="000000" w:themeColor="text1"/>
          <w:sz w:val="22"/>
          <w:szCs w:val="22"/>
          <w:lang w:val="en-GB"/>
        </w:rPr>
        <w:t xml:space="preserve"> </w:t>
      </w:r>
      <w:r>
        <w:rPr>
          <w:rFonts w:ascii="Avenir Next" w:hAnsi="Avenir Next" w:cs="Arial"/>
          <w:color w:val="000000" w:themeColor="text1"/>
          <w:sz w:val="22"/>
          <w:szCs w:val="22"/>
          <w:lang w:val="en-GB"/>
        </w:rPr>
        <w:t xml:space="preserve">  </w:t>
      </w:r>
      <w:r w:rsidR="006F7E2E">
        <w:rPr>
          <w:rFonts w:ascii="Avenir Next" w:hAnsi="Avenir Next" w:cs="Arial"/>
          <w:color w:val="000000" w:themeColor="text1"/>
          <w:sz w:val="22"/>
          <w:szCs w:val="22"/>
          <w:lang w:val="en-GB"/>
        </w:rPr>
        <w:t>T</w:t>
      </w:r>
      <w:r w:rsidR="006F7E2E" w:rsidRPr="006F7E2E">
        <w:rPr>
          <w:rFonts w:ascii="Avenir Next" w:hAnsi="Avenir Next" w:cs="Arial"/>
          <w:color w:val="000000" w:themeColor="text1"/>
          <w:sz w:val="22"/>
          <w:szCs w:val="22"/>
          <w:lang w:val="en-GB"/>
        </w:rPr>
        <w:t>he definition of “foreign representative” has the following elements;</w:t>
      </w:r>
    </w:p>
    <w:p w14:paraId="35737885" w14:textId="77777777" w:rsidR="006F7E2E" w:rsidRPr="006F7E2E" w:rsidRDefault="006F7E2E" w:rsidP="006166D8">
      <w:pPr>
        <w:numPr>
          <w:ilvl w:val="0"/>
          <w:numId w:val="17"/>
        </w:numPr>
        <w:jc w:val="both"/>
        <w:rPr>
          <w:rFonts w:ascii="Avenir Next" w:hAnsi="Avenir Next" w:cs="Arial"/>
          <w:color w:val="000000" w:themeColor="text1"/>
          <w:sz w:val="22"/>
          <w:szCs w:val="22"/>
          <w:lang w:val="en-GB"/>
        </w:rPr>
      </w:pPr>
      <w:r w:rsidRPr="006F7E2E">
        <w:rPr>
          <w:rFonts w:ascii="Avenir Next" w:hAnsi="Avenir Next" w:cs="Arial"/>
          <w:color w:val="000000" w:themeColor="text1"/>
          <w:sz w:val="22"/>
          <w:szCs w:val="22"/>
          <w:lang w:val="en-GB"/>
        </w:rPr>
        <w:t>A person or body, including one appointed on an interim basis,</w:t>
      </w:r>
    </w:p>
    <w:p w14:paraId="29E36793" w14:textId="77777777" w:rsidR="006F7E2E" w:rsidRPr="006F7E2E" w:rsidRDefault="006F7E2E" w:rsidP="006166D8">
      <w:pPr>
        <w:numPr>
          <w:ilvl w:val="0"/>
          <w:numId w:val="17"/>
        </w:numPr>
        <w:jc w:val="both"/>
        <w:rPr>
          <w:rFonts w:ascii="Avenir Next" w:hAnsi="Avenir Next" w:cs="Arial"/>
          <w:color w:val="000000" w:themeColor="text1"/>
          <w:sz w:val="22"/>
          <w:szCs w:val="22"/>
          <w:lang w:val="en-GB"/>
        </w:rPr>
      </w:pPr>
      <w:r w:rsidRPr="006F7E2E">
        <w:rPr>
          <w:rFonts w:ascii="Avenir Next" w:hAnsi="Avenir Next" w:cs="Arial"/>
          <w:color w:val="000000" w:themeColor="text1"/>
          <w:sz w:val="22"/>
          <w:szCs w:val="22"/>
          <w:lang w:val="en-GB"/>
        </w:rPr>
        <w:t>Authorised in a foreign proceeding;</w:t>
      </w:r>
    </w:p>
    <w:p w14:paraId="14094367" w14:textId="77777777" w:rsidR="006F7E2E" w:rsidRPr="006F7E2E" w:rsidRDefault="006F7E2E" w:rsidP="006166D8">
      <w:pPr>
        <w:numPr>
          <w:ilvl w:val="0"/>
          <w:numId w:val="17"/>
        </w:numPr>
        <w:jc w:val="both"/>
        <w:rPr>
          <w:rFonts w:ascii="Avenir Next" w:hAnsi="Avenir Next" w:cs="Arial"/>
          <w:color w:val="000000" w:themeColor="text1"/>
          <w:sz w:val="22"/>
          <w:szCs w:val="22"/>
          <w:lang w:val="en-GB"/>
        </w:rPr>
      </w:pPr>
      <w:r w:rsidRPr="006F7E2E">
        <w:rPr>
          <w:rFonts w:ascii="Avenir Next" w:hAnsi="Avenir Next" w:cs="Arial"/>
          <w:color w:val="000000" w:themeColor="text1"/>
          <w:sz w:val="22"/>
          <w:szCs w:val="22"/>
          <w:lang w:val="en-GB"/>
        </w:rPr>
        <w:t xml:space="preserve">To administer the reorganisation or liquidation of the debtor’s assets or affairs or to act as representative of the foreign proceeding. </w:t>
      </w:r>
    </w:p>
    <w:p w14:paraId="3737764B" w14:textId="77777777" w:rsidR="006F7E2E" w:rsidRDefault="006F7E2E" w:rsidP="006F7E2E">
      <w:pPr>
        <w:jc w:val="both"/>
        <w:rPr>
          <w:rFonts w:ascii="Avenir Next" w:hAnsi="Avenir Next" w:cs="Arial"/>
          <w:color w:val="000000" w:themeColor="text1"/>
          <w:sz w:val="22"/>
          <w:szCs w:val="22"/>
          <w:lang w:val="en-GB"/>
        </w:rPr>
      </w:pPr>
      <w:r w:rsidRPr="006F7E2E">
        <w:rPr>
          <w:rFonts w:ascii="Avenir Next" w:hAnsi="Avenir Next" w:cs="Arial"/>
          <w:color w:val="000000" w:themeColor="text1"/>
          <w:sz w:val="22"/>
          <w:szCs w:val="22"/>
          <w:lang w:val="en-GB"/>
        </w:rPr>
        <w:t xml:space="preserve">It is clear that the DGF would all the above elements as </w:t>
      </w:r>
      <w:r>
        <w:rPr>
          <w:rFonts w:ascii="Avenir Next" w:hAnsi="Avenir Next" w:cs="Arial"/>
          <w:color w:val="000000" w:themeColor="text1"/>
          <w:sz w:val="22"/>
          <w:szCs w:val="22"/>
          <w:lang w:val="en-GB"/>
        </w:rPr>
        <w:t>follows;</w:t>
      </w:r>
    </w:p>
    <w:p w14:paraId="6C7412C5" w14:textId="77777777" w:rsidR="001C335F" w:rsidRDefault="006F7E2E" w:rsidP="006166D8">
      <w:pPr>
        <w:pStyle w:val="ListParagraph"/>
        <w:numPr>
          <w:ilvl w:val="0"/>
          <w:numId w:val="18"/>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DGF is a body which has been appointed under State A’s laws</w:t>
      </w:r>
      <w:r w:rsidR="001C335F">
        <w:rPr>
          <w:rFonts w:ascii="Avenir Next" w:hAnsi="Avenir Next" w:cs="Arial"/>
          <w:color w:val="000000" w:themeColor="text1"/>
          <w:sz w:val="22"/>
          <w:szCs w:val="22"/>
          <w:lang w:val="en-GB"/>
        </w:rPr>
        <w:t xml:space="preserve"> and acts via an authorised officer (a person) – in this case </w:t>
      </w:r>
      <w:r>
        <w:rPr>
          <w:rFonts w:ascii="Avenir Next" w:hAnsi="Avenir Next" w:cs="Arial"/>
          <w:color w:val="000000" w:themeColor="text1"/>
          <w:sz w:val="22"/>
          <w:szCs w:val="22"/>
          <w:lang w:val="en-GB"/>
        </w:rPr>
        <w:t>.</w:t>
      </w:r>
    </w:p>
    <w:p w14:paraId="16E73350" w14:textId="77777777" w:rsidR="001C335F" w:rsidRDefault="006F7E2E" w:rsidP="006166D8">
      <w:pPr>
        <w:pStyle w:val="ListParagraph"/>
        <w:numPr>
          <w:ilvl w:val="0"/>
          <w:numId w:val="18"/>
        </w:numPr>
        <w:rPr>
          <w:rFonts w:ascii="Avenir Next" w:hAnsi="Avenir Next" w:cs="Arial"/>
          <w:color w:val="000000"/>
          <w:sz w:val="22"/>
          <w:szCs w:val="22"/>
          <w:lang w:val="en-GB" w:eastAsia="en-GB"/>
        </w:rPr>
      </w:pPr>
      <w:r w:rsidRPr="001C335F">
        <w:rPr>
          <w:rFonts w:ascii="Avenir Next" w:hAnsi="Avenir Next" w:cs="Arial"/>
          <w:color w:val="000000" w:themeColor="text1"/>
          <w:sz w:val="22"/>
          <w:szCs w:val="22"/>
          <w:lang w:val="en-GB"/>
        </w:rPr>
        <w:t xml:space="preserve">The DGF is a governmental body of Country A, tasked principally with providing deposit insurance to bank depositors in Country A. The DGF is also responsible for the process of withdrawing insolvent banks from the market and winding down their operations via liquidation. Its powers include those related to early detection and intervention, and the power to act in a bank’s interim or provisional administration and its ultimate liquidation. </w:t>
      </w:r>
      <w:r w:rsidR="001C335F" w:rsidRPr="001C335F">
        <w:rPr>
          <w:rFonts w:ascii="Avenir Next" w:hAnsi="Avenir Next" w:cs="Arial"/>
          <w:color w:val="000000"/>
          <w:sz w:val="22"/>
          <w:szCs w:val="22"/>
          <w:lang w:val="en-GB" w:eastAsia="en-GB"/>
        </w:rPr>
        <w:t xml:space="preserve">the DGF (acting via an authorised officer) begins the process of directly administering the bank’s affairs. Articles 35(5) and 36(1) of the DGF Law provide that during provisional administration, the DGF shall have full and exclusive rights to manage the bank and all powers of the bank’s management. </w:t>
      </w:r>
      <w:r w:rsidR="001C335F">
        <w:rPr>
          <w:rFonts w:ascii="Avenir Next" w:hAnsi="Avenir Next" w:cs="Arial"/>
          <w:color w:val="000000"/>
          <w:sz w:val="22"/>
          <w:szCs w:val="22"/>
          <w:lang w:val="en-GB" w:eastAsia="en-GB"/>
        </w:rPr>
        <w:t xml:space="preserve">On </w:t>
      </w:r>
      <w:r w:rsidR="001C335F" w:rsidRPr="001C335F">
        <w:rPr>
          <w:rFonts w:ascii="Avenir Next" w:hAnsi="Avenir Next" w:cs="Arial"/>
          <w:color w:val="000000"/>
          <w:sz w:val="22"/>
          <w:szCs w:val="22"/>
          <w:lang w:val="en-GB" w:eastAsia="en-GB"/>
        </w:rPr>
        <w:t>17 December 2015, the NB formally revoked the Bank’s banking licence and resolved that it be liquidated. The following day, the DGF initiated the liquidation procedure and appointed Ms C as the first of the DGF’s authorised persons to whom powers of the liquidator were delegated. Ms C was replaced as authorised officer with effect from 17 August 2020 by Ms G.</w:t>
      </w:r>
      <w:r w:rsidR="001C335F">
        <w:rPr>
          <w:rFonts w:ascii="Avenir Next" w:hAnsi="Avenir Next" w:cs="Arial"/>
          <w:color w:val="000000"/>
          <w:sz w:val="22"/>
          <w:szCs w:val="22"/>
          <w:lang w:val="en-GB" w:eastAsia="en-GB"/>
        </w:rPr>
        <w:t xml:space="preserve"> thus proceedings were authorised in the foreign State.</w:t>
      </w:r>
    </w:p>
    <w:p w14:paraId="426B8775" w14:textId="02B05CE3" w:rsidR="006F7E2E" w:rsidRPr="001C335F" w:rsidRDefault="001C335F" w:rsidP="006166D8">
      <w:pPr>
        <w:pStyle w:val="ListParagraph"/>
        <w:numPr>
          <w:ilvl w:val="0"/>
          <w:numId w:val="18"/>
        </w:numPr>
        <w:rPr>
          <w:rFonts w:ascii="Avenir Next" w:hAnsi="Avenir Next" w:cs="Arial"/>
          <w:color w:val="000000"/>
          <w:sz w:val="22"/>
          <w:szCs w:val="22"/>
          <w:lang w:val="en-GB" w:eastAsia="en-GB"/>
        </w:rPr>
      </w:pPr>
      <w:r>
        <w:rPr>
          <w:rFonts w:ascii="Avenir Next" w:hAnsi="Avenir Next" w:cs="Arial"/>
          <w:color w:val="000000" w:themeColor="text1"/>
          <w:sz w:val="22"/>
          <w:szCs w:val="22"/>
          <w:lang w:val="en-GB"/>
        </w:rPr>
        <w:t xml:space="preserve">As per the DGF and NB laws Ms C and then Ms G were appointed as liquidators in the situation. </w:t>
      </w:r>
    </w:p>
    <w:p w14:paraId="59FEFD36" w14:textId="11C62B73" w:rsidR="00867FFC" w:rsidRPr="00867FFC" w:rsidRDefault="00867FFC" w:rsidP="00867FFC">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8D3AC" w14:textId="77777777" w:rsidR="00F24915" w:rsidRDefault="00F24915" w:rsidP="00241B44">
      <w:r>
        <w:separator/>
      </w:r>
    </w:p>
  </w:endnote>
  <w:endnote w:type="continuationSeparator" w:id="0">
    <w:p w14:paraId="06C244C1" w14:textId="77777777" w:rsidR="00F24915" w:rsidRDefault="00F2491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5745" w14:textId="138E2D88" w:rsidR="000300E0" w:rsidRPr="00B46CE2" w:rsidRDefault="009F66D0" w:rsidP="000300E0">
    <w:pPr>
      <w:pStyle w:val="Footer"/>
      <w:ind w:right="360"/>
      <w:rPr>
        <w:rFonts w:ascii="Avenir Next" w:hAnsi="Avenir Next"/>
        <w:sz w:val="22"/>
        <w:szCs w:val="22"/>
      </w:rPr>
    </w:pPr>
    <w:r>
      <w:rPr>
        <w:rFonts w:ascii="Avenir Next" w:hAnsi="Avenir Next"/>
        <w:sz w:val="22"/>
        <w:szCs w:val="22"/>
      </w:rPr>
      <w:t>202223-985</w:t>
    </w:r>
    <w:bookmarkStart w:id="30" w:name="_GoBack"/>
    <w:bookmarkEnd w:id="30"/>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B3CA8" w14:textId="77777777" w:rsidR="00F24915" w:rsidRDefault="00F24915" w:rsidP="00241B44">
      <w:r>
        <w:separator/>
      </w:r>
    </w:p>
  </w:footnote>
  <w:footnote w:type="continuationSeparator" w:id="0">
    <w:p w14:paraId="2646F291" w14:textId="77777777" w:rsidR="00F24915" w:rsidRDefault="00F2491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56BEF" w14:textId="77777777" w:rsidR="009F66D0" w:rsidRDefault="009F6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F147" w14:textId="77777777" w:rsidR="009F66D0" w:rsidRDefault="009F6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5287E" w14:textId="77777777" w:rsidR="009F66D0" w:rsidRDefault="009F6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FB2677"/>
    <w:multiLevelType w:val="hybridMultilevel"/>
    <w:tmpl w:val="D94E10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1346B4"/>
    <w:multiLevelType w:val="hybridMultilevel"/>
    <w:tmpl w:val="4BCC44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105E89"/>
    <w:multiLevelType w:val="hybridMultilevel"/>
    <w:tmpl w:val="E73CA4B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A5247D"/>
    <w:multiLevelType w:val="hybridMultilevel"/>
    <w:tmpl w:val="703C12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3"/>
  </w:num>
  <w:num w:numId="3">
    <w:abstractNumId w:val="7"/>
  </w:num>
  <w:num w:numId="4">
    <w:abstractNumId w:val="3"/>
  </w:num>
  <w:num w:numId="5">
    <w:abstractNumId w:val="17"/>
  </w:num>
  <w:num w:numId="6">
    <w:abstractNumId w:val="16"/>
  </w:num>
  <w:num w:numId="7">
    <w:abstractNumId w:val="15"/>
  </w:num>
  <w:num w:numId="8">
    <w:abstractNumId w:val="4"/>
  </w:num>
  <w:num w:numId="9">
    <w:abstractNumId w:val="6"/>
  </w:num>
  <w:num w:numId="10">
    <w:abstractNumId w:val="11"/>
  </w:num>
  <w:num w:numId="11">
    <w:abstractNumId w:val="0"/>
  </w:num>
  <w:num w:numId="12">
    <w:abstractNumId w:val="9"/>
  </w:num>
  <w:num w:numId="13">
    <w:abstractNumId w:val="10"/>
  </w:num>
  <w:num w:numId="14">
    <w:abstractNumId w:val="2"/>
  </w:num>
  <w:num w:numId="15">
    <w:abstractNumId w:val="5"/>
  </w:num>
  <w:num w:numId="16">
    <w:abstractNumId w:val="12"/>
  </w:num>
  <w:num w:numId="17">
    <w:abstractNumId w:val="8"/>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00"/>
  <w:displayHorizontalDrawingGridEvery w:val="0"/>
  <w:displayVertic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3FB8"/>
    <w:rsid w:val="000077DD"/>
    <w:rsid w:val="00010BA0"/>
    <w:rsid w:val="00011778"/>
    <w:rsid w:val="00020557"/>
    <w:rsid w:val="000232A1"/>
    <w:rsid w:val="000248E4"/>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3569"/>
    <w:rsid w:val="00077D49"/>
    <w:rsid w:val="00082609"/>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4735E"/>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3A4B"/>
    <w:rsid w:val="001966D9"/>
    <w:rsid w:val="001A24E7"/>
    <w:rsid w:val="001A2B78"/>
    <w:rsid w:val="001A7E9A"/>
    <w:rsid w:val="001B0F70"/>
    <w:rsid w:val="001B5016"/>
    <w:rsid w:val="001C335F"/>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35337"/>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4B4"/>
    <w:rsid w:val="00340769"/>
    <w:rsid w:val="00341AA6"/>
    <w:rsid w:val="00342459"/>
    <w:rsid w:val="003427B9"/>
    <w:rsid w:val="003440A2"/>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3796"/>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3DE4"/>
    <w:rsid w:val="004D64F9"/>
    <w:rsid w:val="004E0549"/>
    <w:rsid w:val="004E2E92"/>
    <w:rsid w:val="004E30B0"/>
    <w:rsid w:val="004E622C"/>
    <w:rsid w:val="004F54CA"/>
    <w:rsid w:val="004F5FDF"/>
    <w:rsid w:val="0050157D"/>
    <w:rsid w:val="0050627C"/>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C5EC3"/>
    <w:rsid w:val="005D43E0"/>
    <w:rsid w:val="005D58A3"/>
    <w:rsid w:val="005E1B79"/>
    <w:rsid w:val="005E5C28"/>
    <w:rsid w:val="005F026D"/>
    <w:rsid w:val="005F21F4"/>
    <w:rsid w:val="005F2D0B"/>
    <w:rsid w:val="005F4B31"/>
    <w:rsid w:val="00610388"/>
    <w:rsid w:val="00612CA5"/>
    <w:rsid w:val="006153EC"/>
    <w:rsid w:val="006166D8"/>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6F7E2E"/>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3FFF"/>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0D4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528F"/>
    <w:rsid w:val="00857763"/>
    <w:rsid w:val="00860E61"/>
    <w:rsid w:val="00867A8F"/>
    <w:rsid w:val="00867FFC"/>
    <w:rsid w:val="008723F3"/>
    <w:rsid w:val="008779D4"/>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4827"/>
    <w:rsid w:val="00905A43"/>
    <w:rsid w:val="00907DC2"/>
    <w:rsid w:val="00912C79"/>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C4C20"/>
    <w:rsid w:val="009D0811"/>
    <w:rsid w:val="009D0EE1"/>
    <w:rsid w:val="009D30BB"/>
    <w:rsid w:val="009E2AEB"/>
    <w:rsid w:val="009E2E27"/>
    <w:rsid w:val="009E4DE3"/>
    <w:rsid w:val="009F66D0"/>
    <w:rsid w:val="00A047EE"/>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81029"/>
    <w:rsid w:val="00A83755"/>
    <w:rsid w:val="00A83CB5"/>
    <w:rsid w:val="00A865A7"/>
    <w:rsid w:val="00A96489"/>
    <w:rsid w:val="00AA3A42"/>
    <w:rsid w:val="00AA5311"/>
    <w:rsid w:val="00AA7BAA"/>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5615"/>
    <w:rsid w:val="00B77352"/>
    <w:rsid w:val="00B82586"/>
    <w:rsid w:val="00B829A3"/>
    <w:rsid w:val="00B86DB1"/>
    <w:rsid w:val="00B87869"/>
    <w:rsid w:val="00BA0E44"/>
    <w:rsid w:val="00BA47C5"/>
    <w:rsid w:val="00BB0F2B"/>
    <w:rsid w:val="00BD0D57"/>
    <w:rsid w:val="00BE1A50"/>
    <w:rsid w:val="00BF50F7"/>
    <w:rsid w:val="00C029ED"/>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55BC"/>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66C3"/>
    <w:rsid w:val="00CC70BB"/>
    <w:rsid w:val="00CD3420"/>
    <w:rsid w:val="00CD4998"/>
    <w:rsid w:val="00CE1035"/>
    <w:rsid w:val="00CF2819"/>
    <w:rsid w:val="00CF4F9D"/>
    <w:rsid w:val="00CF70DC"/>
    <w:rsid w:val="00D148DC"/>
    <w:rsid w:val="00D17FDC"/>
    <w:rsid w:val="00D444C5"/>
    <w:rsid w:val="00D45AEA"/>
    <w:rsid w:val="00D5244F"/>
    <w:rsid w:val="00D52E4F"/>
    <w:rsid w:val="00D56A37"/>
    <w:rsid w:val="00D56B81"/>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C5E7C"/>
    <w:rsid w:val="00DD0802"/>
    <w:rsid w:val="00DD0A50"/>
    <w:rsid w:val="00DD2E11"/>
    <w:rsid w:val="00DE03AF"/>
    <w:rsid w:val="00DE121C"/>
    <w:rsid w:val="00DE2A27"/>
    <w:rsid w:val="00DE3705"/>
    <w:rsid w:val="00DE6633"/>
    <w:rsid w:val="00DF4CF1"/>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4AE8"/>
    <w:rsid w:val="00E850FE"/>
    <w:rsid w:val="00E909F0"/>
    <w:rsid w:val="00E90D47"/>
    <w:rsid w:val="00E93993"/>
    <w:rsid w:val="00E9597C"/>
    <w:rsid w:val="00EA0913"/>
    <w:rsid w:val="00EA0A2F"/>
    <w:rsid w:val="00EA6D31"/>
    <w:rsid w:val="00EB146B"/>
    <w:rsid w:val="00EB2B7A"/>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4915"/>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2E5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75DA6-EFD0-41D1-B670-90CFD570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15</Pages>
  <Words>5799</Words>
  <Characters>33055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Li Green (ZA)</cp:lastModifiedBy>
  <cp:revision>14</cp:revision>
  <cp:lastPrinted>2019-08-27T05:42:00Z</cp:lastPrinted>
  <dcterms:created xsi:type="dcterms:W3CDTF">2022-09-21T19:17:00Z</dcterms:created>
  <dcterms:modified xsi:type="dcterms:W3CDTF">2022-10-30T13:12:00Z</dcterms:modified>
</cp:coreProperties>
</file>