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14A4F" w:rsidRDefault="002D2356" w:rsidP="008071D5">
      <w:pPr>
        <w:pStyle w:val="ListParagraph"/>
        <w:numPr>
          <w:ilvl w:val="0"/>
          <w:numId w:val="15"/>
        </w:numPr>
        <w:ind w:left="425" w:hanging="357"/>
        <w:jc w:val="both"/>
        <w:rPr>
          <w:rFonts w:ascii="Avenir Next" w:hAnsi="Avenir Next" w:cs="Arial"/>
          <w:sz w:val="22"/>
          <w:szCs w:val="22"/>
          <w:highlight w:val="yellow"/>
        </w:rPr>
      </w:pPr>
      <w:r w:rsidRPr="00E14A4F">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14A4F">
        <w:rPr>
          <w:rFonts w:ascii="Avenir Next" w:hAnsi="Avenir Next" w:cs="Arial"/>
          <w:sz w:val="22"/>
          <w:szCs w:val="22"/>
          <w:highlight w:val="yellow"/>
          <w:vertAlign w:val="superscript"/>
        </w:rPr>
        <w:t>th</w:t>
      </w:r>
      <w:r w:rsidRPr="00E14A4F">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14A4F" w:rsidRDefault="002D2356" w:rsidP="008071D5">
      <w:pPr>
        <w:pStyle w:val="ListParagraph"/>
        <w:numPr>
          <w:ilvl w:val="0"/>
          <w:numId w:val="16"/>
        </w:numPr>
        <w:ind w:left="426"/>
        <w:jc w:val="both"/>
        <w:rPr>
          <w:rFonts w:ascii="Avenir Next" w:hAnsi="Avenir Next" w:cs="Arial"/>
          <w:sz w:val="22"/>
          <w:szCs w:val="22"/>
          <w:highlight w:val="yellow"/>
        </w:rPr>
      </w:pPr>
      <w:r w:rsidRPr="00E14A4F">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E14A4F" w:rsidRDefault="002D2356" w:rsidP="008071D5">
      <w:pPr>
        <w:pStyle w:val="ListParagraph"/>
        <w:numPr>
          <w:ilvl w:val="0"/>
          <w:numId w:val="17"/>
        </w:numPr>
        <w:ind w:left="426"/>
        <w:jc w:val="both"/>
        <w:rPr>
          <w:rFonts w:ascii="Avenir Next" w:hAnsi="Avenir Next" w:cs="Arial"/>
          <w:sz w:val="22"/>
          <w:szCs w:val="22"/>
          <w:highlight w:val="yellow"/>
        </w:rPr>
      </w:pPr>
      <w:r w:rsidRPr="00E14A4F">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E14A4F" w:rsidRDefault="00466ED6" w:rsidP="008071D5">
      <w:pPr>
        <w:pStyle w:val="ListParagraph"/>
        <w:numPr>
          <w:ilvl w:val="0"/>
          <w:numId w:val="18"/>
        </w:numPr>
        <w:ind w:left="426"/>
        <w:jc w:val="both"/>
        <w:rPr>
          <w:rFonts w:ascii="Avenir Next" w:hAnsi="Avenir Next" w:cs="Arial"/>
          <w:sz w:val="22"/>
          <w:szCs w:val="22"/>
          <w:highlight w:val="yellow"/>
        </w:rPr>
      </w:pPr>
      <w:r w:rsidRPr="00E14A4F">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14A4F" w:rsidRDefault="002D2356" w:rsidP="008071D5">
      <w:pPr>
        <w:pStyle w:val="ListParagraph"/>
        <w:numPr>
          <w:ilvl w:val="0"/>
          <w:numId w:val="19"/>
        </w:numPr>
        <w:ind w:left="425" w:hanging="357"/>
        <w:jc w:val="both"/>
        <w:rPr>
          <w:rFonts w:ascii="Avenir Next" w:hAnsi="Avenir Next" w:cs="Arial"/>
          <w:sz w:val="22"/>
          <w:szCs w:val="22"/>
          <w:highlight w:val="yellow"/>
        </w:rPr>
      </w:pPr>
      <w:r w:rsidRPr="00E14A4F">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EF2A25"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EF2A2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F2A25"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F2A2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F2A25">
        <w:rPr>
          <w:rFonts w:ascii="Avenir Next" w:eastAsiaTheme="minorHAnsi" w:hAnsi="Avenir Next" w:cs="Arial"/>
          <w:sz w:val="22"/>
          <w:szCs w:val="22"/>
          <w:highlight w:val="yellow"/>
          <w:lang w:val="en-GB"/>
        </w:rPr>
        <w:t xml:space="preserve"> </w:t>
      </w:r>
      <w:r w:rsidRPr="00EF2A25">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D29E8"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CD29E8">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CD29E8" w:rsidRDefault="00F5239B" w:rsidP="008071D5">
      <w:pPr>
        <w:pStyle w:val="ListParagraph"/>
        <w:numPr>
          <w:ilvl w:val="0"/>
          <w:numId w:val="23"/>
        </w:numPr>
        <w:ind w:left="426"/>
        <w:jc w:val="both"/>
        <w:rPr>
          <w:rFonts w:ascii="Avenir Next" w:hAnsi="Avenir Next" w:cs="Arial"/>
          <w:sz w:val="22"/>
          <w:szCs w:val="22"/>
          <w:highlight w:val="yellow"/>
        </w:rPr>
      </w:pPr>
      <w:r w:rsidRPr="00CD29E8">
        <w:rPr>
          <w:rFonts w:ascii="Avenir Next" w:hAnsi="Avenir Next" w:cs="Arial"/>
          <w:sz w:val="22"/>
          <w:szCs w:val="22"/>
          <w:highlight w:val="yellow"/>
        </w:rPr>
        <w:t xml:space="preserve">This statement is true because </w:t>
      </w:r>
      <w:r w:rsidR="007B5180" w:rsidRPr="00CD29E8">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CD29E8" w:rsidRDefault="009355DB" w:rsidP="008071D5">
      <w:pPr>
        <w:pStyle w:val="ListParagraph"/>
        <w:numPr>
          <w:ilvl w:val="0"/>
          <w:numId w:val="24"/>
        </w:numPr>
        <w:ind w:left="426"/>
        <w:jc w:val="both"/>
        <w:rPr>
          <w:rFonts w:ascii="Avenir Next" w:hAnsi="Avenir Next" w:cs="Arial"/>
          <w:sz w:val="22"/>
          <w:szCs w:val="22"/>
          <w:highlight w:val="yellow"/>
        </w:rPr>
      </w:pPr>
      <w:r w:rsidRPr="00CD29E8">
        <w:rPr>
          <w:rFonts w:ascii="Avenir Next" w:hAnsi="Avenir Next" w:cs="Arial"/>
          <w:sz w:val="22"/>
          <w:szCs w:val="22"/>
          <w:highlight w:val="yellow"/>
        </w:rPr>
        <w:t xml:space="preserve">This statement is true because </w:t>
      </w:r>
      <w:r w:rsidR="005C4FF2" w:rsidRPr="00CD29E8">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3853694A" w:rsidR="0081547D" w:rsidRPr="00AB63DE" w:rsidRDefault="005A4F0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laws of African jurisdictions are heavily influenced by the laws of the colonial/imperial countries which formerly ruled them. For this reason, similar to varying laws of the European countries which occupied Africa, African countries have varying systems of insolvency which find their roots in either civil law or English common law. For example, countries formerly occupied by the French largely still rely on a historical civil law system like the French do. </w:t>
      </w:r>
      <w:r>
        <w:rPr>
          <w:rFonts w:ascii="Avenir Next" w:hAnsi="Avenir Next" w:cs="Arial"/>
          <w:color w:val="808080" w:themeColor="background1" w:themeShade="80"/>
          <w:sz w:val="22"/>
          <w:szCs w:val="22"/>
          <w:lang w:val="en-GB"/>
        </w:rPr>
        <w:lastRenderedPageBreak/>
        <w:t xml:space="preserve">Similarly, countries which were formerly occupied by the English tend to have insolvency law systems based on English law, like in Kenya and Tanzania.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26B68FB" w:rsidR="00AB63DE" w:rsidRPr="00AB63DE" w:rsidRDefault="002E294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laws of Eastern Asia were heavily reformed, particularly in Thailand, following the 1998 financial crisis. Reform has continued and very recently, Singapore adopted a unified law for insolvency covering both personal and corporate bankruptcy. Furthermore, many East Asian and Asian-Pacific countries have moved forward with adopting the Model Law on Cross-Border Insolvency. Finally, leaders and scholars have worked to develop the Asian Principles of Business Restructuring which is a guiding soft law intended to influence corporate restructuring.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48599E02" w:rsidR="00AB63DE" w:rsidRPr="00AB63DE" w:rsidRDefault="00A03A6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same time that US Bankruptcy Code was being substantially reformed, the United States and Canada attempted to craft a treaty among the two states which would address cross-border insolvency. However, the initiative was never completed. Subsequently, both the US and Canada adopted the MLCBI. The American Law Institute and International Insolvency Institute collaborated to produce guidelines for cooperation (Principles of Cooperation) among courts in NAFTA countries (the United States, Canada, and Mexico) and such guidelines are seen by scholars as complementary to the MLCBI. The NAFTA principles are broad in scope, covering procedure, cooperation, recognition and sharing of value, to name few.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FD49596" w14:textId="77777777" w:rsidR="004435A0" w:rsidRDefault="004435A0" w:rsidP="004435A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dispositions can be categorized into fraudulent transfers and preferences. The enforcement of each is essential to the process of insolvency because the potential liability for a voidable disposition discourages creditors and insiders from behaving badly prior to the onset of the </w:t>
      </w:r>
      <w:r>
        <w:rPr>
          <w:rFonts w:ascii="Avenir Next" w:hAnsi="Avenir Next" w:cs="Arial"/>
          <w:color w:val="808080" w:themeColor="background1" w:themeShade="80"/>
          <w:sz w:val="22"/>
          <w:szCs w:val="22"/>
          <w:lang w:val="en-GB"/>
        </w:rPr>
        <w:lastRenderedPageBreak/>
        <w:t xml:space="preserve">insolvency process. For example, a creditor may be liable for a fraudulent transfer, thus being forced to turnover the asset to the bankruptcy estate, if they creditor receives property without due consideration just prior to bankruptcy. This possible liability may encourage creditors to work reasonably with the Debtor and potentially avoid bankruptcy and discourage the “grab assets and run” behaviour that may tip a Debtor into insolvency or allow the creditor to collect assets that may have otherwise been shared among creditors or used by the Debtor in their business. </w:t>
      </w:r>
    </w:p>
    <w:p w14:paraId="1C55E163" w14:textId="77777777" w:rsidR="00023AE4" w:rsidRDefault="000C62E2" w:rsidP="000C62E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systems tend to be historically pro-creditor, which English law systems tend to be historically pro-debtor. In c</w:t>
      </w:r>
      <w:r w:rsidR="004435A0" w:rsidRPr="004435A0">
        <w:rPr>
          <w:rFonts w:ascii="Avenir Next" w:hAnsi="Avenir Next" w:cs="Arial"/>
          <w:color w:val="808080" w:themeColor="background1" w:themeShade="80"/>
          <w:sz w:val="22"/>
          <w:szCs w:val="22"/>
          <w:lang w:val="en-GB"/>
        </w:rPr>
        <w:t>ivil law systems</w:t>
      </w:r>
      <w:r>
        <w:rPr>
          <w:rFonts w:ascii="Avenir Next" w:hAnsi="Avenir Next" w:cs="Arial"/>
          <w:color w:val="808080" w:themeColor="background1" w:themeShade="80"/>
          <w:sz w:val="22"/>
          <w:szCs w:val="22"/>
          <w:lang w:val="en-GB"/>
        </w:rPr>
        <w:t>, which</w:t>
      </w:r>
      <w:r w:rsidR="004435A0" w:rsidRPr="004435A0">
        <w:rPr>
          <w:rFonts w:ascii="Avenir Next" w:hAnsi="Avenir Next" w:cs="Arial"/>
          <w:color w:val="808080" w:themeColor="background1" w:themeShade="80"/>
          <w:sz w:val="22"/>
          <w:szCs w:val="22"/>
          <w:lang w:val="en-GB"/>
        </w:rPr>
        <w:t xml:space="preserve"> find the roots of their voidable disposition law in the </w:t>
      </w:r>
      <w:proofErr w:type="spellStart"/>
      <w:r w:rsidR="004435A0" w:rsidRPr="004435A0">
        <w:rPr>
          <w:rFonts w:ascii="Avenir Next" w:hAnsi="Avenir Next" w:cs="Arial"/>
          <w:i/>
          <w:iCs/>
          <w:color w:val="808080" w:themeColor="background1" w:themeShade="80"/>
          <w:sz w:val="22"/>
          <w:szCs w:val="22"/>
          <w:lang w:val="en-GB"/>
        </w:rPr>
        <w:t>actio</w:t>
      </w:r>
      <w:proofErr w:type="spellEnd"/>
      <w:r w:rsidR="004435A0" w:rsidRPr="004435A0">
        <w:rPr>
          <w:rFonts w:ascii="Avenir Next" w:hAnsi="Avenir Next" w:cs="Arial"/>
          <w:i/>
          <w:iCs/>
          <w:color w:val="808080" w:themeColor="background1" w:themeShade="80"/>
          <w:sz w:val="22"/>
          <w:szCs w:val="22"/>
          <w:lang w:val="en-GB"/>
        </w:rPr>
        <w:t xml:space="preserve"> </w:t>
      </w:r>
      <w:proofErr w:type="spellStart"/>
      <w:r w:rsidR="004435A0" w:rsidRPr="004435A0">
        <w:rPr>
          <w:rFonts w:ascii="Avenir Next" w:hAnsi="Avenir Next" w:cs="Arial"/>
          <w:i/>
          <w:iCs/>
          <w:color w:val="808080" w:themeColor="background1" w:themeShade="80"/>
          <w:sz w:val="22"/>
          <w:szCs w:val="22"/>
          <w:lang w:val="en-GB"/>
        </w:rPr>
        <w:t>Pauli</w:t>
      </w:r>
      <w:r>
        <w:rPr>
          <w:rFonts w:ascii="Avenir Next" w:hAnsi="Avenir Next" w:cs="Arial"/>
          <w:i/>
          <w:iCs/>
          <w:color w:val="808080" w:themeColor="background1" w:themeShade="80"/>
          <w:sz w:val="22"/>
          <w:szCs w:val="22"/>
          <w:lang w:val="en-GB"/>
        </w:rPr>
        <w:t>a</w:t>
      </w:r>
      <w:r w:rsidR="004435A0" w:rsidRPr="004435A0">
        <w:rPr>
          <w:rFonts w:ascii="Avenir Next" w:hAnsi="Avenir Next" w:cs="Arial"/>
          <w:i/>
          <w:iCs/>
          <w:color w:val="808080" w:themeColor="background1" w:themeShade="80"/>
          <w:sz w:val="22"/>
          <w:szCs w:val="22"/>
          <w:lang w:val="en-GB"/>
        </w:rPr>
        <w:t>na</w:t>
      </w:r>
      <w:proofErr w:type="spellEnd"/>
      <w:r w:rsidR="004435A0" w:rsidRPr="004435A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pro-creditor history is clear. The </w:t>
      </w:r>
      <w:proofErr w:type="spellStart"/>
      <w:r w:rsidRPr="004435A0">
        <w:rPr>
          <w:rFonts w:ascii="Avenir Next" w:hAnsi="Avenir Next" w:cs="Arial"/>
          <w:i/>
          <w:iCs/>
          <w:color w:val="808080" w:themeColor="background1" w:themeShade="80"/>
          <w:sz w:val="22"/>
          <w:szCs w:val="22"/>
          <w:lang w:val="en-GB"/>
        </w:rPr>
        <w:t>actio</w:t>
      </w:r>
      <w:proofErr w:type="spellEnd"/>
      <w:r w:rsidRPr="004435A0">
        <w:rPr>
          <w:rFonts w:ascii="Avenir Next" w:hAnsi="Avenir Next" w:cs="Arial"/>
          <w:i/>
          <w:iCs/>
          <w:color w:val="808080" w:themeColor="background1" w:themeShade="80"/>
          <w:sz w:val="22"/>
          <w:szCs w:val="22"/>
          <w:lang w:val="en-GB"/>
        </w:rPr>
        <w:t xml:space="preserve"> </w:t>
      </w:r>
      <w:proofErr w:type="spellStart"/>
      <w:r w:rsidRPr="004435A0">
        <w:rPr>
          <w:rFonts w:ascii="Avenir Next" w:hAnsi="Avenir Next" w:cs="Arial"/>
          <w:i/>
          <w:iCs/>
          <w:color w:val="808080" w:themeColor="background1" w:themeShade="80"/>
          <w:sz w:val="22"/>
          <w:szCs w:val="22"/>
          <w:lang w:val="en-GB"/>
        </w:rPr>
        <w:t>Pauli</w:t>
      </w:r>
      <w:r>
        <w:rPr>
          <w:rFonts w:ascii="Avenir Next" w:hAnsi="Avenir Next" w:cs="Arial"/>
          <w:i/>
          <w:iCs/>
          <w:color w:val="808080" w:themeColor="background1" w:themeShade="80"/>
          <w:sz w:val="22"/>
          <w:szCs w:val="22"/>
          <w:lang w:val="en-GB"/>
        </w:rPr>
        <w:t>a</w:t>
      </w:r>
      <w:r w:rsidRPr="004435A0">
        <w:rPr>
          <w:rFonts w:ascii="Avenir Next" w:hAnsi="Avenir Next" w:cs="Arial"/>
          <w:i/>
          <w:iCs/>
          <w:color w:val="808080" w:themeColor="background1" w:themeShade="80"/>
          <w:sz w:val="22"/>
          <w:szCs w:val="22"/>
          <w:lang w:val="en-GB"/>
        </w:rPr>
        <w:t>na</w:t>
      </w:r>
      <w:proofErr w:type="spellEnd"/>
      <w:r>
        <w:rPr>
          <w:rFonts w:ascii="Avenir Next" w:hAnsi="Avenir Next" w:cs="Arial"/>
          <w:color w:val="808080" w:themeColor="background1" w:themeShade="80"/>
          <w:sz w:val="22"/>
          <w:szCs w:val="22"/>
          <w:lang w:val="en-GB"/>
        </w:rPr>
        <w:t xml:space="preserve"> presents a process by which a creditor can attack the Debtor’s fraudulent acts which are detrimental to the creditor’s recovery. </w:t>
      </w:r>
      <w:r w:rsidR="00023AE4">
        <w:rPr>
          <w:rFonts w:ascii="Avenir Next" w:hAnsi="Avenir Next" w:cs="Arial"/>
          <w:color w:val="808080" w:themeColor="background1" w:themeShade="80"/>
          <w:sz w:val="22"/>
          <w:szCs w:val="22"/>
          <w:lang w:val="en-GB"/>
        </w:rPr>
        <w:t xml:space="preserve">The act is clearly for the protection of creditors and civil law systems tend to view voidable dispositions as a creditor-protection mechanism today. </w:t>
      </w:r>
    </w:p>
    <w:p w14:paraId="4C94C129" w14:textId="44C6CABB" w:rsidR="004435A0" w:rsidRPr="004435A0" w:rsidRDefault="00023AE4" w:rsidP="000C62E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contrary, </w:t>
      </w:r>
      <w:r w:rsidR="004435A0" w:rsidRPr="004435A0">
        <w:rPr>
          <w:rFonts w:ascii="Avenir Next" w:hAnsi="Avenir Next" w:cs="Arial"/>
          <w:color w:val="808080" w:themeColor="background1" w:themeShade="80"/>
          <w:sz w:val="22"/>
          <w:szCs w:val="22"/>
          <w:lang w:val="en-GB"/>
        </w:rPr>
        <w:t>English law systems draw from the Act of Elizabeth of 1570 as the basis for their voidable disposition laws</w:t>
      </w:r>
      <w:r>
        <w:rPr>
          <w:rFonts w:ascii="Avenir Next" w:hAnsi="Avenir Next" w:cs="Arial"/>
          <w:color w:val="808080" w:themeColor="background1" w:themeShade="80"/>
          <w:sz w:val="22"/>
          <w:szCs w:val="22"/>
          <w:lang w:val="en-GB"/>
        </w:rPr>
        <w:t>, which focuses on recovery by the Debtor</w:t>
      </w:r>
      <w:r w:rsidR="00814577">
        <w:rPr>
          <w:rFonts w:ascii="Avenir Next" w:hAnsi="Avenir Next" w:cs="Arial"/>
          <w:color w:val="808080" w:themeColor="background1" w:themeShade="80"/>
          <w:sz w:val="22"/>
          <w:szCs w:val="22"/>
          <w:lang w:val="en-GB"/>
        </w:rPr>
        <w:t>’s estate</w:t>
      </w:r>
      <w:r>
        <w:rPr>
          <w:rFonts w:ascii="Avenir Next" w:hAnsi="Avenir Next" w:cs="Arial"/>
          <w:color w:val="808080" w:themeColor="background1" w:themeShade="80"/>
          <w:sz w:val="22"/>
          <w:szCs w:val="22"/>
          <w:lang w:val="en-GB"/>
        </w:rPr>
        <w:t xml:space="preserve"> of payments or transfers made to creditors which allowed such creditor to recover more than others</w:t>
      </w:r>
      <w:r w:rsidR="004435A0" w:rsidRPr="004435A0">
        <w:rPr>
          <w:rFonts w:ascii="Avenir Next" w:hAnsi="Avenir Next" w:cs="Arial"/>
          <w:color w:val="808080" w:themeColor="background1" w:themeShade="80"/>
          <w:sz w:val="22"/>
          <w:szCs w:val="22"/>
          <w:lang w:val="en-GB"/>
        </w:rPr>
        <w:t xml:space="preserve">. </w:t>
      </w:r>
      <w:r w:rsidR="007D5BF5">
        <w:rPr>
          <w:rFonts w:ascii="Avenir Next" w:hAnsi="Avenir Next" w:cs="Arial"/>
          <w:color w:val="808080" w:themeColor="background1" w:themeShade="80"/>
          <w:sz w:val="22"/>
          <w:szCs w:val="22"/>
          <w:lang w:val="en-GB"/>
        </w:rPr>
        <w:t xml:space="preserve">While this mechanism is similar in the way it prevents the Debtor from preferring certain creditors over others, it is driven from the Debtor and/or insolvency administrator. </w:t>
      </w:r>
    </w:p>
    <w:p w14:paraId="7E9F61C4" w14:textId="06D8E71A" w:rsidR="00AB63DE"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17BBCE0B" w:rsidR="001E1C34" w:rsidRPr="00AB63DE" w:rsidRDefault="00C96CD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 believes his own definition is limited because it assumes that a national insolvency law system has been adopted</w:t>
      </w:r>
      <w:r w:rsidR="00070CB8">
        <w:rPr>
          <w:rFonts w:ascii="Avenir Next" w:hAnsi="Avenir Next" w:cs="Arial"/>
          <w:color w:val="808080" w:themeColor="background1" w:themeShade="80"/>
          <w:sz w:val="22"/>
          <w:szCs w:val="22"/>
          <w:lang w:val="en-GB"/>
        </w:rPr>
        <w:t>. As globalization continues and businesses and people continue to move freely across national borders, the lack of domestic law which addresses the international facets of modern-day insolvencies highlights the limitation of Wessel’s definition</w:t>
      </w:r>
      <w:r w:rsidR="004924E3">
        <w:rPr>
          <w:rFonts w:ascii="Avenir Next" w:hAnsi="Avenir Next" w:cs="Arial"/>
          <w:color w:val="808080" w:themeColor="background1" w:themeShade="80"/>
          <w:sz w:val="22"/>
          <w:szCs w:val="22"/>
          <w:lang w:val="en-GB"/>
        </w:rPr>
        <w:t xml:space="preserve">. In short, the definition assumes that there is an applicable law which is merely limited in the fact that it cannot be enforced internationally/extraterritorially when in fact, many domestic laws wholly lack such an applicable law.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5F12FBDE" w:rsidR="001E1C34" w:rsidRPr="00AB63DE" w:rsidRDefault="008F48B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Sources of cross-border insolvency law are generally categorized as either “hard” or “soft” laws. Treaties and conventions are considered “hard” laws, as they are directly enforceable in </w:t>
      </w:r>
      <w:r>
        <w:rPr>
          <w:rFonts w:ascii="Avenir Next" w:hAnsi="Avenir Next" w:cs="Arial"/>
          <w:color w:val="808080" w:themeColor="background1" w:themeShade="80"/>
          <w:sz w:val="22"/>
          <w:szCs w:val="22"/>
          <w:lang w:val="en-GB"/>
        </w:rPr>
        <w:lastRenderedPageBreak/>
        <w:t xml:space="preserve">courts and become part of the signatory state’s domestic law. Treaties or conventions may be attractive because they make laws directly enforceable and are binding on the courts of each country. However, because of the restraint they put on each country, treaties and conventions can be incredibly hard to negotiate, especially when the parties seek to impose a multilateral treaty rather than a bilateral treaty. </w:t>
      </w:r>
      <w:r w:rsidR="00E24DB8">
        <w:rPr>
          <w:rFonts w:ascii="Avenir Next" w:hAnsi="Avenir Next" w:cs="Arial"/>
          <w:color w:val="808080" w:themeColor="background1" w:themeShade="80"/>
          <w:sz w:val="22"/>
          <w:szCs w:val="22"/>
          <w:lang w:val="en-GB"/>
        </w:rPr>
        <w:t xml:space="preserve">For example, multiple attempts to propose a multilateral treaty among European countries have failed in the past, and even the attempt to negotiate a cross-border insolvency treaty among the three NAFTA countries failed and the parties opted for soft law guidelines instead. While treaties and conventions bring certainty and predictability to cross-border insolvency in member countries, they have historically been challenging to negotiate and are often abandoned. For this reason, treaties and conventions are not particularly successful in establishing widespread rules for cross-border insolvencies. Rather, soft laws or regulations have been more influential, such as the MLCBI (Soft law) and EIR (regulation).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6B027161" w:rsidR="001E1C34" w:rsidRPr="00AB63DE" w:rsidRDefault="0058171E"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primary differences between formal and informa</w:t>
      </w:r>
      <w:r w:rsidR="00942D74">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 insolvency processes are 1) the ability to bind other creditors, 2) cost, and 3) flexibility. </w:t>
      </w:r>
      <w:r w:rsidR="00942D74">
        <w:rPr>
          <w:rFonts w:ascii="Avenir Next" w:hAnsi="Avenir Next" w:cs="Arial"/>
          <w:color w:val="808080" w:themeColor="background1" w:themeShade="80"/>
          <w:sz w:val="22"/>
          <w:szCs w:val="22"/>
          <w:lang w:val="en-GB"/>
        </w:rPr>
        <w:t xml:space="preserve">Here, Lobo may want to consider whether FPPL has other creditors in </w:t>
      </w:r>
      <w:proofErr w:type="spellStart"/>
      <w:r w:rsidR="00942D74">
        <w:rPr>
          <w:rFonts w:ascii="Avenir Next" w:hAnsi="Avenir Next" w:cs="Arial"/>
          <w:color w:val="808080" w:themeColor="background1" w:themeShade="80"/>
          <w:sz w:val="22"/>
          <w:szCs w:val="22"/>
          <w:lang w:val="en-GB"/>
        </w:rPr>
        <w:t>Asgard</w:t>
      </w:r>
      <w:proofErr w:type="spellEnd"/>
      <w:r w:rsidR="00942D74">
        <w:rPr>
          <w:rFonts w:ascii="Avenir Next" w:hAnsi="Avenir Next" w:cs="Arial"/>
          <w:color w:val="808080" w:themeColor="background1" w:themeShade="80"/>
          <w:sz w:val="22"/>
          <w:szCs w:val="22"/>
          <w:lang w:val="en-GB"/>
        </w:rPr>
        <w:t xml:space="preserve">. Generally, a formal insolvency process will include some type of automatic stay or moratorium on individual creditor action. If FPPL has other creditors in </w:t>
      </w:r>
      <w:proofErr w:type="spellStart"/>
      <w:r w:rsidR="00942D74">
        <w:rPr>
          <w:rFonts w:ascii="Avenir Next" w:hAnsi="Avenir Next" w:cs="Arial"/>
          <w:color w:val="808080" w:themeColor="background1" w:themeShade="80"/>
          <w:sz w:val="22"/>
          <w:szCs w:val="22"/>
          <w:lang w:val="en-GB"/>
        </w:rPr>
        <w:t>Asgard</w:t>
      </w:r>
      <w:proofErr w:type="spellEnd"/>
      <w:r w:rsidR="00942D74">
        <w:rPr>
          <w:rFonts w:ascii="Avenir Next" w:hAnsi="Avenir Next" w:cs="Arial"/>
          <w:color w:val="808080" w:themeColor="background1" w:themeShade="80"/>
          <w:sz w:val="22"/>
          <w:szCs w:val="22"/>
          <w:lang w:val="en-GB"/>
        </w:rPr>
        <w:t xml:space="preserve">, where FPPL is failing to keep up with its debt obligations, and Lobo believes these creditors may not be responsive to joining in informal insolvency proceedings, Lobo may want to take advantage of the automatic stay precipitated by a formal insolvency proceeding. Furthermore, Lobo may want to consider the cost of an insolvency proceedings to both itself and FPPL. Informal insolvency proceedings are less costly, and if the parties can come to a contractual agreement without court involvement, Lobo will likely avoid cost to itself and FPPL will avoid the costs of formal insolvency, which may ultimately diminish Lobo’s recovery. Finally, Lobo may want to consider whether its goal for the insolvency can be accomplished under formal procedures, or if the flexibility of an informal insolvency may be preferred. In a formal insolvency process, Lobo will be bound to any restrictions imposed by the domestic </w:t>
      </w:r>
      <w:r w:rsidR="00942D74">
        <w:rPr>
          <w:rFonts w:ascii="Avenir Next" w:hAnsi="Avenir Next" w:cs="Arial"/>
          <w:color w:val="808080" w:themeColor="background1" w:themeShade="80"/>
          <w:sz w:val="22"/>
          <w:szCs w:val="22"/>
          <w:lang w:val="en-GB"/>
        </w:rPr>
        <w:lastRenderedPageBreak/>
        <w:t xml:space="preserve">insolvency laws regarding access to foreign assets, priority of payments, and recovery of preferential funds paid to Lobo. Conversely, in an informal insolvency process, Lobo and FPPL will have more room for negotiation without regard to the domestic insolvency laws of either </w:t>
      </w:r>
      <w:proofErr w:type="spellStart"/>
      <w:r w:rsidR="00942D74">
        <w:rPr>
          <w:rFonts w:ascii="Avenir Next" w:hAnsi="Avenir Next" w:cs="Arial"/>
          <w:color w:val="808080" w:themeColor="background1" w:themeShade="80"/>
          <w:sz w:val="22"/>
          <w:szCs w:val="22"/>
          <w:lang w:val="en-GB"/>
        </w:rPr>
        <w:t>Asgard</w:t>
      </w:r>
      <w:proofErr w:type="spellEnd"/>
      <w:r w:rsidR="00942D74">
        <w:rPr>
          <w:rFonts w:ascii="Avenir Next" w:hAnsi="Avenir Next" w:cs="Arial"/>
          <w:color w:val="808080" w:themeColor="background1" w:themeShade="80"/>
          <w:sz w:val="22"/>
          <w:szCs w:val="22"/>
          <w:lang w:val="en-GB"/>
        </w:rPr>
        <w:t xml:space="preserve"> or Encanto.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19A88D99" w:rsidR="001E1C34" w:rsidRPr="00AB63DE" w:rsidRDefault="0099600E"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Concurrent insolvency proceedings can cause hardship for both the insolvency representatives and the Debtor which is the subject of these proceedings. For example, it’s likely (if not certain) that there are variations in the domestic insolvency laws of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This may be as minor as a variation in priority of payment or whether certain local contracts may be rejected – for example, one country may be similar to France in that the labour force has much more power in bankruptcy, whereas another country may deem labour contracts as “rejectable” or knock employees down in the priority of payment waterfall. At the very best, this causes inconsistencies between the two cases. At worst, a major variation in law (or even the principles underlying the laws – such as whether each country has a pro-creditor or pro-debtor regime) could lead to major variations, such as whether the Debtor is eligible for discharge or whether certain contracts with cross-border implications may be rejected in one court and must be assumed in another. Ultimately, this makes enforcement and forward progress of one company subject to two insolvency proceedings very challenging. International insolvency instruments, such as the MLCBI and ALI NAFTA guidelines, have been created to foster coordination and communication amongst courts. Under the MLCBI specifically, a Protocol may be developed whereby courts can communicate, coordinate, agree on issues of law, and even hold joint proceedings, which ultimately decreases the cost of insolvency, preserves the estate, and creates uniformity in enforcement, creating a predictable path forward for the Debtor. Because such instruments create a framework for cost savings and uniformity, they are critical to international insolvencies.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5E35AD56" w:rsidR="001E1C34" w:rsidRPr="00AB63DE" w:rsidRDefault="0037286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UK’s exit from the European Union, the EIR Recast would not apply to a 2022 insolvency proceeding commenced in the UK and thus coordination of the two proceedings would be substantially more difficult that if the EIR was application to the UK. For example, the EIR uses </w:t>
      </w:r>
      <w:r>
        <w:rPr>
          <w:rFonts w:ascii="Avenir Next" w:hAnsi="Avenir Next" w:cs="Arial"/>
          <w:color w:val="808080" w:themeColor="background1" w:themeShade="80"/>
          <w:sz w:val="22"/>
          <w:szCs w:val="22"/>
          <w:lang w:val="en-GB"/>
        </w:rPr>
        <w:lastRenderedPageBreak/>
        <w:t xml:space="preserve">the Center of Main Interest (COMI) model for determining which insolvency proceeding will be the primary proceeding. Under this regime, perhaps the state where Lobo, as the primary creditor of FPPL, is incorporated might be considered the COMI. However, under the UK’s insolvency regime, UK courts have broad jurisdiction to wind up companies, even those which are unregistered. Furthermore, because the UK is no longer subject to the EIR Recast, the UK is under no obligation to coordinate, cooperate, or communicate with a foreign court which is subject to the EIR Recast. For this reason, facilitating two proceedings with consistent results would be challenging.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A114" w14:textId="77777777" w:rsidR="00BC49B8" w:rsidRDefault="00BC49B8" w:rsidP="00241B44">
      <w:r>
        <w:separator/>
      </w:r>
    </w:p>
  </w:endnote>
  <w:endnote w:type="continuationSeparator" w:id="0">
    <w:p w14:paraId="2AFBC254" w14:textId="77777777" w:rsidR="00BC49B8" w:rsidRDefault="00BC49B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666E94B" w:rsidR="00B64A85" w:rsidRPr="00297BDF" w:rsidRDefault="00E14A4F" w:rsidP="0052732A">
    <w:pPr>
      <w:pStyle w:val="Footer"/>
      <w:ind w:right="360"/>
      <w:rPr>
        <w:rFonts w:ascii="Avenir Next" w:hAnsi="Avenir Next" w:cs="Arial"/>
        <w:sz w:val="22"/>
        <w:szCs w:val="22"/>
      </w:rPr>
    </w:pPr>
    <w:r>
      <w:rPr>
        <w:rFonts w:ascii="Avenir Next" w:hAnsi="Avenir Next" w:cs="Arial"/>
        <w:sz w:val="22"/>
        <w:szCs w:val="22"/>
      </w:rPr>
      <w:t>948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2594" w14:textId="77777777" w:rsidR="00BC49B8" w:rsidRDefault="00BC49B8" w:rsidP="00241B44">
      <w:r>
        <w:separator/>
      </w:r>
    </w:p>
  </w:footnote>
  <w:footnote w:type="continuationSeparator" w:id="0">
    <w:p w14:paraId="2E05A0EF" w14:textId="77777777" w:rsidR="00BC49B8" w:rsidRDefault="00BC49B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3AE4"/>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0CB8"/>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62E2"/>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294D"/>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864"/>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1E37"/>
    <w:rsid w:val="00434A8C"/>
    <w:rsid w:val="00437297"/>
    <w:rsid w:val="00437ABE"/>
    <w:rsid w:val="00440AC5"/>
    <w:rsid w:val="004435A0"/>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24E3"/>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171E"/>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4F03"/>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6236"/>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5BF5"/>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577"/>
    <w:rsid w:val="00814A55"/>
    <w:rsid w:val="0081547D"/>
    <w:rsid w:val="0082483F"/>
    <w:rsid w:val="00827849"/>
    <w:rsid w:val="008279C0"/>
    <w:rsid w:val="00841E70"/>
    <w:rsid w:val="00843A5B"/>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48B1"/>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2D74"/>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600E"/>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3A69"/>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49B8"/>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07C8"/>
    <w:rsid w:val="00C71F4F"/>
    <w:rsid w:val="00C72848"/>
    <w:rsid w:val="00C750BA"/>
    <w:rsid w:val="00C7736C"/>
    <w:rsid w:val="00C80272"/>
    <w:rsid w:val="00C82D87"/>
    <w:rsid w:val="00C8712A"/>
    <w:rsid w:val="00C92A0D"/>
    <w:rsid w:val="00C952A2"/>
    <w:rsid w:val="00C963D3"/>
    <w:rsid w:val="00C96CD8"/>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29E8"/>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4A4F"/>
    <w:rsid w:val="00E15BA9"/>
    <w:rsid w:val="00E161D2"/>
    <w:rsid w:val="00E177E2"/>
    <w:rsid w:val="00E17BF1"/>
    <w:rsid w:val="00E22DE4"/>
    <w:rsid w:val="00E24D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0E8D"/>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A25"/>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11</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L. Grube</cp:lastModifiedBy>
  <cp:revision>20</cp:revision>
  <cp:lastPrinted>2020-06-12T02:43:00Z</cp:lastPrinted>
  <dcterms:created xsi:type="dcterms:W3CDTF">2022-11-05T18:28:00Z</dcterms:created>
  <dcterms:modified xsi:type="dcterms:W3CDTF">2022-11-06T17:27:00Z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PingId">
    <vt:lpwstr>ff25a665-c15d-4c91-8f38-a61925e8a010</vt:lpwstr>
  </property>
</Properties>
</file>