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6E0C19" w:rsidRDefault="002D2356" w:rsidP="008071D5">
      <w:pPr>
        <w:pStyle w:val="ListParagraph"/>
        <w:numPr>
          <w:ilvl w:val="0"/>
          <w:numId w:val="15"/>
        </w:numPr>
        <w:ind w:left="425" w:hanging="357"/>
        <w:jc w:val="both"/>
        <w:rPr>
          <w:rFonts w:ascii="Avenir Next" w:hAnsi="Avenir Next" w:cs="Arial"/>
          <w:sz w:val="22"/>
          <w:szCs w:val="22"/>
          <w:highlight w:val="yellow"/>
        </w:rPr>
      </w:pPr>
      <w:r w:rsidRPr="006E0C19">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6E0C19">
        <w:rPr>
          <w:rFonts w:ascii="Avenir Next" w:hAnsi="Avenir Next" w:cs="Arial"/>
          <w:sz w:val="22"/>
          <w:szCs w:val="22"/>
          <w:highlight w:val="yellow"/>
          <w:vertAlign w:val="superscript"/>
        </w:rPr>
        <w:t>th</w:t>
      </w:r>
      <w:r w:rsidRPr="006E0C19">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6E0C19" w:rsidRDefault="002D2356" w:rsidP="008071D5">
      <w:pPr>
        <w:pStyle w:val="ListParagraph"/>
        <w:numPr>
          <w:ilvl w:val="0"/>
          <w:numId w:val="16"/>
        </w:numPr>
        <w:ind w:left="426"/>
        <w:jc w:val="both"/>
        <w:rPr>
          <w:rFonts w:ascii="Avenir Next" w:hAnsi="Avenir Next" w:cs="Arial"/>
          <w:sz w:val="22"/>
          <w:szCs w:val="22"/>
          <w:highlight w:val="yellow"/>
        </w:rPr>
      </w:pPr>
      <w:r w:rsidRPr="006E0C19">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64084C" w:rsidRDefault="002D2356" w:rsidP="008071D5">
      <w:pPr>
        <w:pStyle w:val="ListParagraph"/>
        <w:numPr>
          <w:ilvl w:val="0"/>
          <w:numId w:val="17"/>
        </w:numPr>
        <w:ind w:left="426"/>
        <w:jc w:val="both"/>
        <w:rPr>
          <w:rFonts w:ascii="Avenir Next" w:hAnsi="Avenir Next" w:cs="Arial"/>
          <w:sz w:val="22"/>
          <w:szCs w:val="22"/>
          <w:highlight w:val="yellow"/>
        </w:rPr>
      </w:pPr>
      <w:r w:rsidRPr="0064084C">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r w:rsidRPr="00CC5ECB">
        <w:rPr>
          <w:rFonts w:ascii="Avenir Next" w:hAnsi="Avenir Next" w:cs="Arial"/>
          <w:sz w:val="22"/>
          <w:szCs w:val="22"/>
        </w:rPr>
        <w:t>ie</w:t>
      </w:r>
      <w:proofErr w:type="spell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AB63DE" w:rsidRDefault="00466ED6" w:rsidP="008071D5">
      <w:pPr>
        <w:pStyle w:val="ListParagraph"/>
        <w:numPr>
          <w:ilvl w:val="0"/>
          <w:numId w:val="18"/>
        </w:numPr>
        <w:ind w:left="426"/>
        <w:jc w:val="both"/>
        <w:rPr>
          <w:rFonts w:ascii="Avenir Next" w:hAnsi="Avenir Next" w:cs="Arial"/>
          <w:sz w:val="22"/>
          <w:szCs w:val="22"/>
        </w:rPr>
      </w:pPr>
      <w:r w:rsidRPr="0064084C">
        <w:rPr>
          <w:rFonts w:ascii="Avenir Next" w:hAnsi="Avenir Next" w:cs="Arial"/>
          <w:sz w:val="22"/>
          <w:szCs w:val="22"/>
          <w:highlight w:val="yellow"/>
        </w:rPr>
        <w:t>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w:t>
      </w:r>
      <w:r w:rsidRPr="00AB63DE">
        <w:rPr>
          <w:rFonts w:ascii="Avenir Next" w:hAnsi="Avenir Next" w:cs="Arial"/>
          <w:sz w:val="22"/>
          <w:szCs w:val="22"/>
        </w:rPr>
        <w:t xml:space="preserve">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BE0E7D" w:rsidRDefault="002D2356" w:rsidP="008071D5">
      <w:pPr>
        <w:pStyle w:val="ListParagraph"/>
        <w:numPr>
          <w:ilvl w:val="0"/>
          <w:numId w:val="19"/>
        </w:numPr>
        <w:ind w:left="425" w:hanging="357"/>
        <w:jc w:val="both"/>
        <w:rPr>
          <w:rFonts w:ascii="Avenir Next" w:hAnsi="Avenir Next" w:cs="Arial"/>
          <w:sz w:val="22"/>
          <w:szCs w:val="22"/>
          <w:highlight w:val="yellow"/>
        </w:rPr>
      </w:pPr>
      <w:r w:rsidRPr="00BE0E7D">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FB17E7"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FB17E7">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7B0063"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7B0063">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7B0063">
        <w:rPr>
          <w:rFonts w:ascii="Avenir Next" w:eastAsiaTheme="minorHAnsi" w:hAnsi="Avenir Next" w:cs="Arial"/>
          <w:sz w:val="22"/>
          <w:szCs w:val="22"/>
          <w:highlight w:val="yellow"/>
          <w:lang w:val="en-GB"/>
        </w:rPr>
        <w:t xml:space="preserve"> </w:t>
      </w:r>
      <w:r w:rsidRPr="007B0063">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7B0063"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7B0063">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7B0063" w:rsidRDefault="00F5239B" w:rsidP="008071D5">
      <w:pPr>
        <w:pStyle w:val="ListParagraph"/>
        <w:numPr>
          <w:ilvl w:val="0"/>
          <w:numId w:val="23"/>
        </w:numPr>
        <w:ind w:left="426"/>
        <w:jc w:val="both"/>
        <w:rPr>
          <w:rFonts w:ascii="Avenir Next" w:hAnsi="Avenir Next" w:cs="Arial"/>
          <w:sz w:val="22"/>
          <w:szCs w:val="22"/>
          <w:highlight w:val="yellow"/>
        </w:rPr>
      </w:pPr>
      <w:r w:rsidRPr="007B0063">
        <w:rPr>
          <w:rFonts w:ascii="Avenir Next" w:hAnsi="Avenir Next" w:cs="Arial"/>
          <w:sz w:val="22"/>
          <w:szCs w:val="22"/>
          <w:highlight w:val="yellow"/>
        </w:rPr>
        <w:t xml:space="preserve">This statement is true because </w:t>
      </w:r>
      <w:r w:rsidR="007B5180" w:rsidRPr="007B0063">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1222E6" w:rsidRDefault="009355DB" w:rsidP="008071D5">
      <w:pPr>
        <w:pStyle w:val="ListParagraph"/>
        <w:numPr>
          <w:ilvl w:val="0"/>
          <w:numId w:val="24"/>
        </w:numPr>
        <w:ind w:left="426"/>
        <w:jc w:val="both"/>
        <w:rPr>
          <w:rFonts w:ascii="Avenir Next" w:hAnsi="Avenir Next" w:cs="Arial"/>
          <w:sz w:val="22"/>
          <w:szCs w:val="22"/>
          <w:highlight w:val="yellow"/>
        </w:rPr>
      </w:pPr>
      <w:r w:rsidRPr="001222E6">
        <w:rPr>
          <w:rFonts w:ascii="Avenir Next" w:hAnsi="Avenir Next" w:cs="Arial"/>
          <w:sz w:val="22"/>
          <w:szCs w:val="22"/>
          <w:highlight w:val="yellow"/>
        </w:rPr>
        <w:t xml:space="preserve">This statement is true because </w:t>
      </w:r>
      <w:r w:rsidR="005C4FF2" w:rsidRPr="001222E6">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1C8F62D7" w:rsidR="0081547D" w:rsidRPr="00AB63DE" w:rsidRDefault="003D135A" w:rsidP="003D13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African jurisdictions have historical roots to common law and civil law.  Some countries, such as Nigeria, Kenya, Botswana, Zambia and Tanzania, base their insolvency law systems on English law.  Others, such as Angola and Mozambique, base their insolvency law systems on the Portuguese civil law system.  Some countries such as South Africa and Namibia have mixed legal systems since both civil law (Roman-Dutch law) and common law (English law) have influenced their legal systems.</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lastRenderedPageBreak/>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6C76BF70" w14:textId="58EE630B" w:rsidR="000D26C2" w:rsidRDefault="000D26C2" w:rsidP="00120C8A">
      <w:pPr>
        <w:jc w:val="both"/>
        <w:rPr>
          <w:rFonts w:ascii="Avenir Next" w:hAnsi="Avenir Next" w:cs="Arial"/>
          <w:color w:val="808080" w:themeColor="background1" w:themeShade="80"/>
          <w:sz w:val="22"/>
          <w:szCs w:val="22"/>
          <w:lang w:val="en-GB"/>
        </w:rPr>
      </w:pPr>
    </w:p>
    <w:p w14:paraId="00DCF267" w14:textId="5EBBFA1B" w:rsidR="00120C8A" w:rsidRDefault="00120C8A" w:rsidP="00120C8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1998 financial crisis in Eastern Asia gave rise to insolvency law reforms, including in Thailand.  Following the financial crisis, Thailand reformed its bankruptcy laws to be in line with international best practices.</w:t>
      </w:r>
    </w:p>
    <w:p w14:paraId="1E0BD947" w14:textId="77777777" w:rsidR="00120C8A" w:rsidRDefault="00120C8A" w:rsidP="00120C8A">
      <w:pPr>
        <w:jc w:val="both"/>
        <w:rPr>
          <w:rFonts w:ascii="Avenir Next" w:hAnsi="Avenir Next" w:cs="Arial"/>
          <w:color w:val="808080" w:themeColor="background1" w:themeShade="80"/>
          <w:sz w:val="22"/>
          <w:szCs w:val="22"/>
          <w:lang w:val="en-GB"/>
        </w:rPr>
      </w:pPr>
    </w:p>
    <w:p w14:paraId="09F61129" w14:textId="63C07633" w:rsidR="00AB63DE" w:rsidRPr="00120C8A" w:rsidRDefault="00120C8A" w:rsidP="00120C8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Singapore, in 2010, the Singapore Ministry of Law convened the Insolvency Law Review Committee to review Singapore's bankruptcy and corporate insolvency regimes.  This lead to a report which recommended enhancements to existing mechanisms, and the adoption of the UNCITRAL Model Law on Cross-Border Insolvency. Singapore has since updated its insolvency laws and in 2018, passed a new Insolvency, Restructuring and Dissolution Act</w:t>
      </w:r>
      <w:r w:rsidR="005D1D58">
        <w:rPr>
          <w:rFonts w:ascii="Avenir Next" w:hAnsi="Avenir Next" w:cs="Arial"/>
          <w:color w:val="808080" w:themeColor="background1" w:themeShade="80"/>
          <w:sz w:val="22"/>
          <w:szCs w:val="22"/>
          <w:lang w:val="en-GB"/>
        </w:rPr>
        <w:t>.</w:t>
      </w: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5A52F08F" w:rsidR="00AB63DE" w:rsidRDefault="0055505F" w:rsidP="005550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have been various initiatives that have been undertaken to assist with the resolution of international insolvency issues between North America and Canada. </w:t>
      </w:r>
      <w:r w:rsidR="00003C3C">
        <w:rPr>
          <w:rFonts w:ascii="Avenir Next" w:hAnsi="Avenir Next" w:cs="Arial"/>
          <w:color w:val="808080" w:themeColor="background1" w:themeShade="80"/>
          <w:sz w:val="22"/>
          <w:szCs w:val="22"/>
          <w:lang w:val="en-GB"/>
        </w:rPr>
        <w:t xml:space="preserve"> These include</w:t>
      </w:r>
      <w:r>
        <w:rPr>
          <w:rFonts w:ascii="Avenir Next" w:hAnsi="Avenir Next" w:cs="Arial"/>
          <w:color w:val="808080" w:themeColor="background1" w:themeShade="80"/>
          <w:sz w:val="22"/>
          <w:szCs w:val="22"/>
          <w:lang w:val="en-GB"/>
        </w:rPr>
        <w:t>:</w:t>
      </w:r>
    </w:p>
    <w:p w14:paraId="6F847AB3" w14:textId="0288E4BA" w:rsidR="0055505F" w:rsidRDefault="0055505F" w:rsidP="0055505F">
      <w:pPr>
        <w:jc w:val="both"/>
        <w:rPr>
          <w:rFonts w:ascii="Avenir Next" w:hAnsi="Avenir Next" w:cs="Arial"/>
          <w:color w:val="808080" w:themeColor="background1" w:themeShade="80"/>
          <w:sz w:val="22"/>
          <w:szCs w:val="22"/>
          <w:lang w:val="en-GB"/>
        </w:rPr>
      </w:pPr>
    </w:p>
    <w:p w14:paraId="58BB670B" w14:textId="43C0E312" w:rsidR="0055505F" w:rsidRDefault="00003C3C" w:rsidP="0055505F">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bilateral insolvency treaty in the 1970s on which North America and Canada were unable to reach agreement;</w:t>
      </w:r>
    </w:p>
    <w:p w14:paraId="59D3F12B" w14:textId="6839C18D" w:rsidR="00003C3C" w:rsidRDefault="00003C3C" w:rsidP="0055505F">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successful adoption by North America and Canada on the UNCITRAL Model Law; </w:t>
      </w:r>
    </w:p>
    <w:p w14:paraId="12D0380B" w14:textId="5068FF7D" w:rsidR="00003C3C" w:rsidRDefault="00003C3C" w:rsidP="0055505F">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successful adoption of mechanisms such as cross-border insolvency protocols</w:t>
      </w:r>
      <w:r w:rsidR="004138F4">
        <w:rPr>
          <w:rFonts w:ascii="Avenir Next" w:hAnsi="Avenir Next" w:cs="Arial"/>
          <w:color w:val="808080" w:themeColor="background1" w:themeShade="80"/>
          <w:sz w:val="22"/>
          <w:szCs w:val="22"/>
          <w:lang w:val="en-GB"/>
        </w:rPr>
        <w:t>, being co</w:t>
      </w:r>
      <w:r w:rsidR="004138F4">
        <w:rPr>
          <w:rFonts w:ascii="Avenir Next" w:hAnsi="Avenir Next" w:cs="Arial"/>
          <w:color w:val="808080" w:themeColor="background1" w:themeShade="80"/>
          <w:sz w:val="22"/>
          <w:szCs w:val="22"/>
          <w:lang w:val="en-GB"/>
        </w:rPr>
        <w:noBreakHyphen/>
      </w:r>
      <w:r>
        <w:rPr>
          <w:rFonts w:ascii="Avenir Next" w:hAnsi="Avenir Next" w:cs="Arial"/>
          <w:color w:val="808080" w:themeColor="background1" w:themeShade="80"/>
          <w:sz w:val="22"/>
          <w:szCs w:val="22"/>
          <w:lang w:val="en-GB"/>
        </w:rPr>
        <w:t>ordination agreements;</w:t>
      </w:r>
    </w:p>
    <w:p w14:paraId="7FACD2A8" w14:textId="3C627268" w:rsidR="00003C3C" w:rsidRPr="0055505F" w:rsidRDefault="00003C3C" w:rsidP="0055505F">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initiative by the American Law Institute to resolve international insolvency issues between the United States, Canada and Mexico.  This included the ALI Transnational Insolvency Project which hoped to improve co-operation in international insolvencies across countries part of the North American Free Trade Agreement. </w:t>
      </w:r>
      <w:r w:rsidR="004138F4">
        <w:rPr>
          <w:rFonts w:ascii="Avenir Next" w:hAnsi="Avenir Next" w:cs="Arial"/>
          <w:color w:val="808080" w:themeColor="background1" w:themeShade="80"/>
          <w:sz w:val="22"/>
          <w:szCs w:val="22"/>
          <w:lang w:val="en-GB"/>
        </w:rPr>
        <w:t xml:space="preserve"> The project resulted in Principles of Cooperation being prepared and approved by the American Law Institute and members in 2000; the principles cover insolvency of corporations and other legal entities engaged in commercial operations and recommend that each North American Free Trade Agreement country adopt the UNCITRAL Model Law on Cross-border Insolvency.</w:t>
      </w:r>
    </w:p>
    <w:p w14:paraId="22EB343F" w14:textId="566C1A7C"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336894A9" w14:textId="77777777" w:rsidR="00BD5462" w:rsidRDefault="00BD5462" w:rsidP="00BD546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Historically, the </w:t>
      </w:r>
      <w:proofErr w:type="spellStart"/>
      <w:r>
        <w:rPr>
          <w:rFonts w:ascii="Avenir Next" w:hAnsi="Avenir Next" w:cs="Arial"/>
          <w:i/>
          <w:color w:val="808080" w:themeColor="background1" w:themeShade="80"/>
          <w:sz w:val="22"/>
          <w:szCs w:val="22"/>
          <w:lang w:val="en-GB"/>
        </w:rPr>
        <w:t>actio</w:t>
      </w:r>
      <w:proofErr w:type="spellEnd"/>
      <w:r>
        <w:rPr>
          <w:rFonts w:ascii="Avenir Next" w:hAnsi="Avenir Next" w:cs="Arial"/>
          <w:i/>
          <w:color w:val="808080" w:themeColor="background1" w:themeShade="80"/>
          <w:sz w:val="22"/>
          <w:szCs w:val="22"/>
          <w:lang w:val="en-GB"/>
        </w:rPr>
        <w:t xml:space="preserve"> </w:t>
      </w:r>
      <w:proofErr w:type="spellStart"/>
      <w:r>
        <w:rPr>
          <w:rFonts w:ascii="Avenir Next" w:hAnsi="Avenir Next" w:cs="Arial"/>
          <w:i/>
          <w:color w:val="808080" w:themeColor="background1" w:themeShade="80"/>
          <w:sz w:val="22"/>
          <w:szCs w:val="22"/>
          <w:lang w:val="en-GB"/>
        </w:rPr>
        <w:t>Pauliana</w:t>
      </w:r>
      <w:proofErr w:type="spellEnd"/>
      <w:r>
        <w:rPr>
          <w:rFonts w:ascii="Avenir Next" w:hAnsi="Avenir Next" w:cs="Arial"/>
          <w:i/>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formed the basis of fraudulent conveyance law in civil systems while the Act of Elizabeth of 1570 formed the basis for the remedy in English law.  </w:t>
      </w:r>
    </w:p>
    <w:p w14:paraId="4391AD27" w14:textId="77777777" w:rsidR="00BD5462" w:rsidRDefault="00BD5462" w:rsidP="00BD5462">
      <w:pPr>
        <w:jc w:val="both"/>
        <w:rPr>
          <w:rFonts w:ascii="Avenir Next" w:hAnsi="Avenir Next" w:cs="Arial"/>
          <w:color w:val="808080" w:themeColor="background1" w:themeShade="80"/>
          <w:sz w:val="22"/>
          <w:szCs w:val="22"/>
          <w:lang w:val="en-GB"/>
        </w:rPr>
      </w:pPr>
    </w:p>
    <w:p w14:paraId="43768720" w14:textId="6C97ED02" w:rsidR="00AB63DE" w:rsidRDefault="00BD5462" w:rsidP="00BD546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Pr>
          <w:rFonts w:ascii="Avenir Next" w:hAnsi="Avenir Next" w:cs="Arial"/>
          <w:i/>
          <w:color w:val="808080" w:themeColor="background1" w:themeShade="80"/>
          <w:sz w:val="22"/>
          <w:szCs w:val="22"/>
          <w:lang w:val="en-GB"/>
        </w:rPr>
        <w:t xml:space="preserve">action </w:t>
      </w:r>
      <w:proofErr w:type="spellStart"/>
      <w:r>
        <w:rPr>
          <w:rFonts w:ascii="Avenir Next" w:hAnsi="Avenir Next" w:cs="Arial"/>
          <w:i/>
          <w:color w:val="808080" w:themeColor="background1" w:themeShade="80"/>
          <w:sz w:val="22"/>
          <w:szCs w:val="22"/>
          <w:lang w:val="en-GB"/>
        </w:rPr>
        <w:t>pauliana</w:t>
      </w:r>
      <w:proofErr w:type="spellEnd"/>
      <w:r>
        <w:rPr>
          <w:rFonts w:ascii="Avenir Next" w:hAnsi="Avenir Next" w:cs="Arial"/>
          <w:color w:val="808080" w:themeColor="background1" w:themeShade="80"/>
          <w:sz w:val="22"/>
          <w:szCs w:val="22"/>
          <w:lang w:val="en-GB"/>
        </w:rPr>
        <w:t xml:space="preserve"> is an action in Roman legal history which protected creditors from fraudulent le</w:t>
      </w:r>
      <w:r w:rsidR="00B617E8">
        <w:rPr>
          <w:rFonts w:ascii="Avenir Next" w:hAnsi="Avenir Next" w:cs="Arial"/>
          <w:color w:val="808080" w:themeColor="background1" w:themeShade="80"/>
          <w:sz w:val="22"/>
          <w:szCs w:val="22"/>
          <w:lang w:val="en-GB"/>
        </w:rPr>
        <w:t xml:space="preserve">gal transactions (being transactions with </w:t>
      </w:r>
      <w:r>
        <w:rPr>
          <w:rFonts w:ascii="Avenir Next" w:hAnsi="Avenir Next" w:cs="Arial"/>
          <w:color w:val="808080" w:themeColor="background1" w:themeShade="80"/>
          <w:sz w:val="22"/>
          <w:szCs w:val="22"/>
          <w:lang w:val="en-GB"/>
        </w:rPr>
        <w:t>the intention to reduce a debtor's estate by transfers to third parties in bad faith</w:t>
      </w:r>
      <w:r w:rsidR="00B617E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Civil law jurisdictions have adopted a modernised version of the action in the context of insolvency.</w:t>
      </w:r>
    </w:p>
    <w:p w14:paraId="51992215" w14:textId="46178877" w:rsidR="00BD5462" w:rsidRDefault="00BD5462" w:rsidP="00BD5462">
      <w:pPr>
        <w:jc w:val="both"/>
        <w:rPr>
          <w:rFonts w:ascii="Avenir Next" w:hAnsi="Avenir Next" w:cs="Arial"/>
          <w:color w:val="808080" w:themeColor="background1" w:themeShade="80"/>
          <w:sz w:val="22"/>
          <w:szCs w:val="22"/>
          <w:lang w:val="en-GB"/>
        </w:rPr>
      </w:pPr>
    </w:p>
    <w:p w14:paraId="0FDB1EDE" w14:textId="0F5FDBE7" w:rsidR="00BD5462" w:rsidRDefault="00B617E8" w:rsidP="00BD546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t</w:t>
      </w:r>
      <w:r w:rsidR="00BD5462">
        <w:rPr>
          <w:rFonts w:ascii="Avenir Next" w:hAnsi="Avenir Next" w:cs="Arial"/>
          <w:color w:val="808080" w:themeColor="background1" w:themeShade="80"/>
          <w:sz w:val="22"/>
          <w:szCs w:val="22"/>
          <w:lang w:val="en-GB"/>
        </w:rPr>
        <w:t>he Act of Elizabeth of 1570 was designed to address bankruptcy specifically (as opposed to being a fraud-prevention law).</w:t>
      </w:r>
    </w:p>
    <w:p w14:paraId="6B83F8E5" w14:textId="00A7BA61" w:rsidR="00B617E8" w:rsidRDefault="00B617E8" w:rsidP="00BD5462">
      <w:pPr>
        <w:jc w:val="both"/>
        <w:rPr>
          <w:rFonts w:ascii="Avenir Next" w:hAnsi="Avenir Next" w:cs="Arial"/>
          <w:color w:val="808080" w:themeColor="background1" w:themeShade="80"/>
          <w:sz w:val="22"/>
          <w:szCs w:val="22"/>
          <w:lang w:val="en-GB"/>
        </w:rPr>
      </w:pPr>
    </w:p>
    <w:p w14:paraId="3DA5CA12" w14:textId="2806182B" w:rsidR="00B617E8" w:rsidRDefault="00B617E8" w:rsidP="00BD546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differences between the </w:t>
      </w:r>
      <w:r>
        <w:rPr>
          <w:rFonts w:ascii="Avenir Next" w:hAnsi="Avenir Next" w:cs="Arial"/>
          <w:i/>
          <w:color w:val="808080" w:themeColor="background1" w:themeShade="80"/>
          <w:sz w:val="22"/>
          <w:szCs w:val="22"/>
          <w:lang w:val="en-GB"/>
        </w:rPr>
        <w:t xml:space="preserve">action </w:t>
      </w:r>
      <w:proofErr w:type="spellStart"/>
      <w:r>
        <w:rPr>
          <w:rFonts w:ascii="Avenir Next" w:hAnsi="Avenir Next" w:cs="Arial"/>
          <w:i/>
          <w:color w:val="808080" w:themeColor="background1" w:themeShade="80"/>
          <w:sz w:val="22"/>
          <w:szCs w:val="22"/>
          <w:lang w:val="en-GB"/>
        </w:rPr>
        <w:t>Pauliana</w:t>
      </w:r>
      <w:proofErr w:type="spellEnd"/>
      <w:r>
        <w:rPr>
          <w:rFonts w:ascii="Avenir Next" w:hAnsi="Avenir Next" w:cs="Arial"/>
          <w:i/>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and the Act of Elizabeth 1570 may have resulted in a difference in approach in the treatment of voidable dispositions in modern English law and civil law jurisdictions.</w:t>
      </w:r>
    </w:p>
    <w:p w14:paraId="0CD9FF45" w14:textId="1CC41D01" w:rsidR="00B617E8" w:rsidRDefault="00B617E8" w:rsidP="00BD5462">
      <w:pPr>
        <w:jc w:val="both"/>
        <w:rPr>
          <w:rFonts w:ascii="Avenir Next" w:hAnsi="Avenir Next" w:cs="Arial"/>
          <w:color w:val="808080" w:themeColor="background1" w:themeShade="80"/>
          <w:sz w:val="22"/>
          <w:szCs w:val="22"/>
          <w:lang w:val="en-GB"/>
        </w:rPr>
      </w:pPr>
    </w:p>
    <w:p w14:paraId="2A9969CF" w14:textId="5C42095A" w:rsidR="00B617E8" w:rsidRDefault="00B617E8" w:rsidP="00BD546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Rules on voidable dispositions are important as they prevent fraud, ensure that all creditors are treated equitably (by preventing preferential treatment of some creditors at the expense of others), prevent a sudden loss of value in the relevant entity before insolvency proceedings are imposed and create a framework for promoting out-of-court settlements (as creditors are likely to be more willing to work with debtors when they are aware that last minute transactions are likely to be set aside).</w:t>
      </w:r>
    </w:p>
    <w:p w14:paraId="0DCFD5B9" w14:textId="5041624D"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w:t>
      </w:r>
      <w:proofErr w:type="spellStart"/>
      <w:r w:rsidRPr="004216EA">
        <w:rPr>
          <w:rFonts w:ascii="Avenir Next" w:hAnsi="Avenir Next" w:cs="Arial"/>
          <w:sz w:val="22"/>
          <w:szCs w:val="22"/>
        </w:rPr>
        <w:t>i</w:t>
      </w:r>
      <w:proofErr w:type="spellEnd"/>
      <w:r w:rsidRPr="004216EA">
        <w:rPr>
          <w:rFonts w:ascii="Avenir Next" w:hAnsi="Avenir Next" w:cs="Arial"/>
          <w:sz w:val="22"/>
          <w:szCs w:val="22"/>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1E657E11" w14:textId="35C037A9" w:rsidR="000D26C2" w:rsidRDefault="006F0C74" w:rsidP="00126B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definition is perceived</w:t>
      </w:r>
      <w:r w:rsidR="00126B52">
        <w:rPr>
          <w:rFonts w:ascii="Avenir Next" w:hAnsi="Avenir Next" w:cs="Arial"/>
          <w:color w:val="808080" w:themeColor="background1" w:themeShade="80"/>
          <w:sz w:val="22"/>
          <w:szCs w:val="22"/>
          <w:lang w:val="en-GB"/>
        </w:rPr>
        <w:t xml:space="preserve"> to have limitations because </w:t>
      </w:r>
      <w:r w:rsidR="00556894">
        <w:rPr>
          <w:rFonts w:ascii="Avenir Next" w:hAnsi="Avenir Next" w:cs="Arial"/>
          <w:color w:val="808080" w:themeColor="background1" w:themeShade="80"/>
          <w:sz w:val="22"/>
          <w:szCs w:val="22"/>
          <w:lang w:val="en-GB"/>
        </w:rPr>
        <w:t xml:space="preserve">it </w:t>
      </w:r>
      <w:r w:rsidR="00126B52">
        <w:rPr>
          <w:rFonts w:ascii="Avenir Next" w:hAnsi="Avenir Next" w:cs="Arial"/>
          <w:color w:val="808080" w:themeColor="background1" w:themeShade="80"/>
          <w:sz w:val="22"/>
          <w:szCs w:val="22"/>
          <w:lang w:val="en-GB"/>
        </w:rPr>
        <w:t xml:space="preserve">is </w:t>
      </w:r>
      <w:r w:rsidR="007F6C8A">
        <w:rPr>
          <w:rFonts w:ascii="Avenir Next" w:hAnsi="Avenir Next" w:cs="Arial"/>
          <w:color w:val="808080" w:themeColor="background1" w:themeShade="80"/>
          <w:sz w:val="22"/>
          <w:szCs w:val="22"/>
          <w:lang w:val="en-GB"/>
        </w:rPr>
        <w:t xml:space="preserve">connected </w:t>
      </w:r>
      <w:r w:rsidR="00126B52">
        <w:rPr>
          <w:rFonts w:ascii="Avenir Next" w:hAnsi="Avenir Next" w:cs="Arial"/>
          <w:color w:val="808080" w:themeColor="background1" w:themeShade="80"/>
          <w:sz w:val="22"/>
          <w:szCs w:val="22"/>
          <w:lang w:val="en-GB"/>
        </w:rPr>
        <w:t xml:space="preserve">to the existence of a national </w:t>
      </w:r>
      <w:r w:rsidR="000D26C2">
        <w:rPr>
          <w:rFonts w:ascii="Avenir Next" w:hAnsi="Avenir Next" w:cs="Arial"/>
          <w:color w:val="808080" w:themeColor="background1" w:themeShade="80"/>
          <w:sz w:val="22"/>
          <w:szCs w:val="22"/>
          <w:lang w:val="en-GB"/>
        </w:rPr>
        <w:t>framework of insolvency law.</w:t>
      </w:r>
      <w:r w:rsidR="00043038">
        <w:rPr>
          <w:rFonts w:ascii="Avenir Next" w:hAnsi="Avenir Next" w:cs="Arial"/>
          <w:color w:val="808080" w:themeColor="background1" w:themeShade="80"/>
          <w:sz w:val="22"/>
          <w:szCs w:val="22"/>
          <w:lang w:val="en-GB"/>
        </w:rPr>
        <w:t xml:space="preserve">  The definition </w:t>
      </w:r>
      <w:r w:rsidR="00556894">
        <w:rPr>
          <w:rFonts w:ascii="Avenir Next" w:hAnsi="Avenir Next" w:cs="Arial"/>
          <w:color w:val="808080" w:themeColor="background1" w:themeShade="80"/>
          <w:sz w:val="22"/>
          <w:szCs w:val="22"/>
          <w:lang w:val="en-GB"/>
        </w:rPr>
        <w:t xml:space="preserve">itself does not explain insolvency law or what international insolvency law means as opposed to national insolvency law.  </w:t>
      </w:r>
      <w:r w:rsidR="000D26C2">
        <w:rPr>
          <w:rFonts w:ascii="Avenir Next" w:hAnsi="Avenir Next" w:cs="Arial"/>
          <w:color w:val="808080" w:themeColor="background1" w:themeShade="80"/>
          <w:sz w:val="22"/>
          <w:szCs w:val="22"/>
          <w:lang w:val="en-GB"/>
        </w:rPr>
        <w:t>The author himself refers to a definition provided by Fletcher which exposes the limitations in that the definition by Fletcher proposes that:</w:t>
      </w:r>
    </w:p>
    <w:p w14:paraId="124CDEE5" w14:textId="359E6C7B" w:rsidR="000D26C2" w:rsidRDefault="000D26C2" w:rsidP="00126B52">
      <w:pPr>
        <w:jc w:val="both"/>
        <w:rPr>
          <w:rFonts w:ascii="Avenir Next" w:hAnsi="Avenir Next" w:cs="Arial"/>
          <w:color w:val="808080" w:themeColor="background1" w:themeShade="80"/>
          <w:sz w:val="22"/>
          <w:szCs w:val="22"/>
          <w:lang w:val="en-GB"/>
        </w:rPr>
      </w:pPr>
    </w:p>
    <w:p w14:paraId="19B48041" w14:textId="402940E7" w:rsidR="000D26C2" w:rsidRDefault="000D26C2" w:rsidP="000D26C2">
      <w:pPr>
        <w:ind w:left="720"/>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"international insolvency" or "cross-border insolvency" should be considered as a situation "… in which an insolvency occurs in circumstances which in some way transcend the confines of a single legal system, so that a single set of domestic insolvency law provisions cannot be immediately and exclusively applied without regard to the issues raised by the foreign elements of the case."</w:t>
      </w:r>
    </w:p>
    <w:p w14:paraId="62635595" w14:textId="21427F21" w:rsidR="000D26C2" w:rsidRDefault="000D26C2" w:rsidP="000D26C2">
      <w:pPr>
        <w:jc w:val="both"/>
        <w:rPr>
          <w:rFonts w:ascii="Avenir Next" w:hAnsi="Avenir Next" w:cs="Arial"/>
          <w:i/>
          <w:color w:val="808080" w:themeColor="background1" w:themeShade="80"/>
          <w:sz w:val="22"/>
          <w:szCs w:val="22"/>
          <w:lang w:val="en-GB"/>
        </w:rPr>
      </w:pPr>
    </w:p>
    <w:p w14:paraId="4B38DBAD" w14:textId="490827A6" w:rsidR="001E1C34" w:rsidRPr="000D26C2" w:rsidRDefault="000D26C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Fletcher's definition attempts to address the existence of national insolvency law by its reference to the existence of a single legal system and single set of domestic insolvency law provisions.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lastRenderedPageBreak/>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64C7E67A" w:rsidR="001E1C34" w:rsidRDefault="00981D32" w:rsidP="00981D3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and conventions are a source for cross-border insolvency law.  Treaties and conventions become a part of a State's domestic law when the State signs up to the treaty and convention, and bind themselves.   </w:t>
      </w:r>
    </w:p>
    <w:p w14:paraId="63E1C4B0" w14:textId="651E8764" w:rsidR="001719EE" w:rsidRDefault="001719EE" w:rsidP="00981D32">
      <w:pPr>
        <w:jc w:val="both"/>
        <w:rPr>
          <w:rFonts w:ascii="Avenir Next" w:hAnsi="Avenir Next" w:cs="Arial"/>
          <w:color w:val="808080" w:themeColor="background1" w:themeShade="80"/>
          <w:sz w:val="22"/>
          <w:szCs w:val="22"/>
          <w:lang w:val="en-GB"/>
        </w:rPr>
      </w:pPr>
    </w:p>
    <w:p w14:paraId="722001F0" w14:textId="77777777" w:rsidR="0099376F" w:rsidRDefault="001719EE" w:rsidP="00981D3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and conventions have only had mixed levels of success in establishing cross-border insolvency law.  </w:t>
      </w:r>
    </w:p>
    <w:p w14:paraId="102BFD44" w14:textId="77777777" w:rsidR="0099376F" w:rsidRDefault="0099376F" w:rsidP="00981D32">
      <w:pPr>
        <w:jc w:val="both"/>
        <w:rPr>
          <w:rFonts w:ascii="Avenir Next" w:hAnsi="Avenir Next" w:cs="Arial"/>
          <w:color w:val="808080" w:themeColor="background1" w:themeShade="80"/>
          <w:sz w:val="22"/>
          <w:szCs w:val="22"/>
          <w:lang w:val="en-GB"/>
        </w:rPr>
      </w:pPr>
    </w:p>
    <w:p w14:paraId="77B910FC" w14:textId="19B0013B" w:rsidR="001719EE" w:rsidRDefault="001719EE" w:rsidP="00981D3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example, in Europe:</w:t>
      </w:r>
    </w:p>
    <w:p w14:paraId="7295E0A4" w14:textId="77777777" w:rsidR="001719EE" w:rsidRDefault="001719EE" w:rsidP="00981D32">
      <w:pPr>
        <w:jc w:val="both"/>
        <w:rPr>
          <w:rFonts w:ascii="Avenir Next" w:hAnsi="Avenir Next" w:cs="Arial"/>
          <w:color w:val="808080" w:themeColor="background1" w:themeShade="80"/>
          <w:sz w:val="22"/>
          <w:szCs w:val="22"/>
          <w:lang w:val="en-GB"/>
        </w:rPr>
      </w:pPr>
    </w:p>
    <w:p w14:paraId="5F3CE8A9" w14:textId="6902AC04" w:rsidR="001719EE" w:rsidRDefault="001719EE" w:rsidP="001719EE">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Pr="001719EE">
        <w:rPr>
          <w:rFonts w:ascii="Avenir Next" w:hAnsi="Avenir Next" w:cs="Arial"/>
          <w:color w:val="808080" w:themeColor="background1" w:themeShade="80"/>
          <w:sz w:val="22"/>
          <w:szCs w:val="22"/>
          <w:lang w:val="en-GB"/>
        </w:rPr>
        <w:t xml:space="preserve">n 1990, the Council of Europe concluded a Convention on Certain International Aspects of Bankruptcy.  However, while it was signed by 8 member States, it did not enter into force because it was not ratified by a sufficient number of members. </w:t>
      </w:r>
    </w:p>
    <w:p w14:paraId="4B14BB4A" w14:textId="048B508E" w:rsidR="0099376F" w:rsidRPr="0099376F" w:rsidRDefault="001719EE" w:rsidP="0099376F">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the Scandinavian region has successfully entered into the Nordic Convention 1933, which relates to bankruptcy.  Under the Convention, a bankruptcy declared in one Nordic country is recognised in the other Nordic countries as automatically applying to the bankrupt's property in those countries.</w:t>
      </w:r>
    </w:p>
    <w:p w14:paraId="26E1A445" w14:textId="4ED5FB42" w:rsidR="001719EE" w:rsidRDefault="001719EE" w:rsidP="001719EE">
      <w:pPr>
        <w:jc w:val="both"/>
        <w:rPr>
          <w:rFonts w:ascii="Avenir Next" w:hAnsi="Avenir Next" w:cs="Arial"/>
          <w:color w:val="808080" w:themeColor="background1" w:themeShade="80"/>
          <w:sz w:val="22"/>
          <w:szCs w:val="22"/>
          <w:lang w:val="en-GB"/>
        </w:rPr>
      </w:pPr>
    </w:p>
    <w:p w14:paraId="254986E4" w14:textId="77777777" w:rsidR="0099376F" w:rsidRDefault="001719EE" w:rsidP="001719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99376F">
        <w:rPr>
          <w:rFonts w:ascii="Avenir Next" w:hAnsi="Avenir Next" w:cs="Arial"/>
          <w:color w:val="808080" w:themeColor="background1" w:themeShade="80"/>
          <w:sz w:val="22"/>
          <w:szCs w:val="22"/>
          <w:lang w:val="en-GB"/>
        </w:rPr>
        <w:t>n other jurisdictions:</w:t>
      </w:r>
    </w:p>
    <w:p w14:paraId="78C86528" w14:textId="77777777" w:rsidR="0099376F" w:rsidRDefault="0099376F" w:rsidP="001719EE">
      <w:pPr>
        <w:jc w:val="both"/>
        <w:rPr>
          <w:rFonts w:ascii="Avenir Next" w:hAnsi="Avenir Next" w:cs="Arial"/>
          <w:color w:val="808080" w:themeColor="background1" w:themeShade="80"/>
          <w:sz w:val="22"/>
          <w:szCs w:val="22"/>
          <w:lang w:val="en-GB"/>
        </w:rPr>
      </w:pPr>
    </w:p>
    <w:p w14:paraId="0214E63A" w14:textId="5A9ACC78" w:rsidR="001719EE" w:rsidRDefault="001719EE" w:rsidP="0099376F">
      <w:pPr>
        <w:pStyle w:val="ListParagraph"/>
        <w:numPr>
          <w:ilvl w:val="0"/>
          <w:numId w:val="27"/>
        </w:numPr>
        <w:jc w:val="both"/>
        <w:rPr>
          <w:rFonts w:ascii="Avenir Next" w:hAnsi="Avenir Next" w:cs="Arial"/>
          <w:color w:val="808080" w:themeColor="background1" w:themeShade="80"/>
          <w:sz w:val="22"/>
          <w:szCs w:val="22"/>
          <w:lang w:val="en-GB"/>
        </w:rPr>
      </w:pPr>
      <w:r w:rsidRPr="0099376F">
        <w:rPr>
          <w:rFonts w:ascii="Avenir Next" w:hAnsi="Avenir Next" w:cs="Arial"/>
          <w:color w:val="808080" w:themeColor="background1" w:themeShade="80"/>
          <w:sz w:val="22"/>
          <w:szCs w:val="22"/>
          <w:lang w:val="en-GB"/>
        </w:rPr>
        <w:t xml:space="preserve">Latin America, </w:t>
      </w:r>
      <w:r w:rsidR="0099376F" w:rsidRPr="0099376F">
        <w:rPr>
          <w:rFonts w:ascii="Avenir Next" w:hAnsi="Avenir Next" w:cs="Arial"/>
          <w:color w:val="808080" w:themeColor="background1" w:themeShade="80"/>
          <w:sz w:val="22"/>
          <w:szCs w:val="22"/>
          <w:lang w:val="en-GB"/>
        </w:rPr>
        <w:t>Latin American States have achieved long lasting treaties on private international law and commerce, which also addressed bankruptcy or insolvency.  These include the Montevideo Treaties (1889) and (1940) and the Havana Convention on Private International Law (1928).</w:t>
      </w:r>
    </w:p>
    <w:p w14:paraId="7FA2F94C" w14:textId="09820063" w:rsidR="0099376F" w:rsidRPr="0099376F" w:rsidRDefault="0099376F" w:rsidP="0099376F">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Asia on the other hand, there are currently no treaties and conventions that address international insolvency issues. </w:t>
      </w:r>
    </w:p>
    <w:p w14:paraId="337A4250" w14:textId="6AD689B5"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proofErr w:type="spellStart"/>
      <w:r w:rsidR="003E2E7C" w:rsidRPr="004216EA">
        <w:rPr>
          <w:rFonts w:ascii="Avenir Next" w:hAnsi="Avenir Next" w:cs="Arial"/>
          <w:sz w:val="22"/>
          <w:szCs w:val="22"/>
          <w:lang w:val="en-GB"/>
        </w:rPr>
        <w:t>Encanto</w:t>
      </w:r>
      <w:proofErr w:type="spellEnd"/>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w:t>
      </w:r>
      <w:proofErr w:type="spellStart"/>
      <w:r w:rsidRPr="004216EA">
        <w:rPr>
          <w:rFonts w:ascii="Avenir Next" w:hAnsi="Avenir Next" w:cs="Arial"/>
          <w:sz w:val="22"/>
          <w:szCs w:val="22"/>
          <w:lang w:val="en-GB"/>
        </w:rPr>
        <w:t>Encanto</w:t>
      </w:r>
      <w:proofErr w:type="spellEnd"/>
      <w:r w:rsidRPr="004216EA">
        <w:rPr>
          <w:rFonts w:ascii="Avenir Next" w:hAnsi="Avenir Next" w:cs="Arial"/>
          <w:sz w:val="22"/>
          <w:szCs w:val="22"/>
          <w:lang w:val="en-GB"/>
        </w:rPr>
        <w:t xml:space="preserve">.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2858CB4D" w:rsidR="001E1C34" w:rsidRDefault="00A731D3"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"Formal" and "informal" insolvency arrangements are different in that:</w:t>
      </w:r>
    </w:p>
    <w:p w14:paraId="717C1399" w14:textId="131B5CBB" w:rsidR="00A731D3" w:rsidRDefault="00A731D3" w:rsidP="001E1C34">
      <w:pPr>
        <w:ind w:left="720" w:hanging="720"/>
        <w:jc w:val="both"/>
        <w:rPr>
          <w:rFonts w:ascii="Avenir Next" w:hAnsi="Avenir Next" w:cs="Arial"/>
          <w:color w:val="808080" w:themeColor="background1" w:themeShade="80"/>
          <w:sz w:val="22"/>
          <w:szCs w:val="22"/>
          <w:lang w:val="en-GB"/>
        </w:rPr>
      </w:pPr>
    </w:p>
    <w:p w14:paraId="132C1992" w14:textId="77777777" w:rsidR="00A731D3" w:rsidRDefault="00A731D3" w:rsidP="00A731D3">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arrangements are commenced and governed in accordance with insolvency law.  </w:t>
      </w:r>
    </w:p>
    <w:p w14:paraId="1BC133A6" w14:textId="3FEECBEF" w:rsidR="00A731D3" w:rsidRDefault="00A731D3" w:rsidP="00A731D3">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"Informal" insolvency arrangements on the other hand might not be regulated by insolvency law and generally involve voluntary negotiations between the debtor and some or all of its creditors. </w:t>
      </w:r>
    </w:p>
    <w:p w14:paraId="47127042" w14:textId="77777777" w:rsidR="00A731D3" w:rsidRDefault="00A731D3" w:rsidP="00A731D3">
      <w:pPr>
        <w:pStyle w:val="ListParagraph"/>
        <w:jc w:val="both"/>
        <w:rPr>
          <w:rFonts w:ascii="Avenir Next" w:hAnsi="Avenir Next" w:cs="Arial"/>
          <w:color w:val="808080" w:themeColor="background1" w:themeShade="80"/>
          <w:sz w:val="22"/>
          <w:szCs w:val="22"/>
          <w:lang w:val="en-GB"/>
        </w:rPr>
      </w:pPr>
    </w:p>
    <w:p w14:paraId="005084DF" w14:textId="55876577" w:rsidR="00A731D3" w:rsidRDefault="00A731D3" w:rsidP="00A731D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advantages and disadvantages that Lobo should consider regarding any informal arrangement </w:t>
      </w:r>
      <w:r w:rsidR="00706D30">
        <w:rPr>
          <w:rFonts w:ascii="Avenir Next" w:hAnsi="Avenir Next" w:cs="Arial"/>
          <w:color w:val="808080" w:themeColor="background1" w:themeShade="80"/>
          <w:sz w:val="22"/>
          <w:szCs w:val="22"/>
          <w:lang w:val="en-GB"/>
        </w:rPr>
        <w:t xml:space="preserve">compared to its formal debt recovery options include: </w:t>
      </w:r>
    </w:p>
    <w:p w14:paraId="3C4151C9" w14:textId="315DFFC8" w:rsidR="00A731D3" w:rsidRDefault="00A731D3" w:rsidP="00A731D3">
      <w:pPr>
        <w:jc w:val="both"/>
        <w:rPr>
          <w:rFonts w:ascii="Avenir Next" w:hAnsi="Avenir Next" w:cs="Arial"/>
          <w:color w:val="808080" w:themeColor="background1" w:themeShade="80"/>
          <w:sz w:val="22"/>
          <w:szCs w:val="22"/>
          <w:lang w:val="en-GB"/>
        </w:rPr>
      </w:pPr>
    </w:p>
    <w:p w14:paraId="7E2A68C1" w14:textId="3E18C099" w:rsidR="00456EC2" w:rsidRPr="00456EC2" w:rsidRDefault="00456EC2" w:rsidP="00A731D3">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lang w:val="en-GB"/>
        </w:rPr>
        <w:tab/>
      </w:r>
      <w:r>
        <w:rPr>
          <w:rFonts w:ascii="Avenir Next" w:hAnsi="Avenir Next" w:cs="Arial"/>
          <w:color w:val="808080" w:themeColor="background1" w:themeShade="80"/>
          <w:sz w:val="22"/>
          <w:szCs w:val="22"/>
          <w:u w:val="single"/>
          <w:lang w:val="en-GB"/>
        </w:rPr>
        <w:t>Advantages</w:t>
      </w:r>
    </w:p>
    <w:p w14:paraId="6AE8D130" w14:textId="019155FF" w:rsidR="00706D30" w:rsidRDefault="00456EC2" w:rsidP="00706D30">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706D30">
        <w:rPr>
          <w:rFonts w:ascii="Avenir Next" w:hAnsi="Avenir Next" w:cs="Arial"/>
          <w:color w:val="808080" w:themeColor="background1" w:themeShade="80"/>
          <w:sz w:val="22"/>
          <w:szCs w:val="22"/>
          <w:lang w:val="en-GB"/>
        </w:rPr>
        <w:t xml:space="preserve">f Lobo </w:t>
      </w:r>
      <w:r>
        <w:rPr>
          <w:rFonts w:ascii="Avenir Next" w:hAnsi="Avenir Next" w:cs="Arial"/>
          <w:color w:val="808080" w:themeColor="background1" w:themeShade="80"/>
          <w:sz w:val="22"/>
          <w:szCs w:val="22"/>
          <w:lang w:val="en-GB"/>
        </w:rPr>
        <w:t xml:space="preserve">wishes to commence formal recovery arrangements, it is likely to incur legal costs in commencing the proceedings against FPPL (although these </w:t>
      </w:r>
      <w:r w:rsidR="00E51E8D">
        <w:rPr>
          <w:rFonts w:ascii="Avenir Next" w:hAnsi="Avenir Next" w:cs="Arial"/>
          <w:color w:val="808080" w:themeColor="background1" w:themeShade="80"/>
          <w:sz w:val="22"/>
          <w:szCs w:val="22"/>
          <w:lang w:val="en-GB"/>
        </w:rPr>
        <w:t>costs may later be recoverable).  It may be less costly for Lobo to enter into an informal arrangement with FPPL;</w:t>
      </w:r>
    </w:p>
    <w:p w14:paraId="47C79872" w14:textId="41A14F16" w:rsidR="00456EC2" w:rsidRDefault="00456EC2" w:rsidP="00706D30">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Lobo may be able to make full recovery of the outstanding debt under an informal arrangement.  On the other hand, if formal debt recovery is pursued, if creditors are paid back under the </w:t>
      </w:r>
      <w:proofErr w:type="spellStart"/>
      <w:r>
        <w:rPr>
          <w:rFonts w:ascii="Avenir Next" w:hAnsi="Avenir Next" w:cs="Arial"/>
          <w:color w:val="808080" w:themeColor="background1" w:themeShade="80"/>
          <w:sz w:val="22"/>
          <w:szCs w:val="22"/>
          <w:lang w:val="en-GB"/>
        </w:rPr>
        <w:t>pari</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passu</w:t>
      </w:r>
      <w:proofErr w:type="spellEnd"/>
      <w:r>
        <w:rPr>
          <w:rFonts w:ascii="Avenir Next" w:hAnsi="Avenir Next" w:cs="Arial"/>
          <w:color w:val="808080" w:themeColor="background1" w:themeShade="80"/>
          <w:sz w:val="22"/>
          <w:szCs w:val="22"/>
          <w:lang w:val="en-GB"/>
        </w:rPr>
        <w:t xml:space="preserve"> principle, FPPL may not have sufficient assets for Lobo to make full recovery;</w:t>
      </w:r>
    </w:p>
    <w:p w14:paraId="0B76D332" w14:textId="5796F2D7" w:rsidR="00456EC2" w:rsidRPr="00456EC2" w:rsidRDefault="00456EC2" w:rsidP="00456EC2">
      <w:pPr>
        <w:pStyle w:val="ListParagraph"/>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Disadvantages</w:t>
      </w:r>
    </w:p>
    <w:p w14:paraId="63958E25" w14:textId="77777777" w:rsidR="00E51E8D" w:rsidRDefault="00456EC2" w:rsidP="00706D30">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FPPL might not be able to meet its obligations under any informal arrangement entered into with Lobo and so </w:t>
      </w:r>
      <w:r w:rsidR="00E51E8D">
        <w:rPr>
          <w:rFonts w:ascii="Avenir Next" w:hAnsi="Avenir Next" w:cs="Arial"/>
          <w:color w:val="808080" w:themeColor="background1" w:themeShade="80"/>
          <w:sz w:val="22"/>
          <w:szCs w:val="22"/>
          <w:lang w:val="en-GB"/>
        </w:rPr>
        <w:t>the informal arrangement might not result in successful recovery for Lobo.  If the informal arrangement is not successful, Lobo may have to resort to a formal recovery arrangement in any event.</w:t>
      </w:r>
    </w:p>
    <w:p w14:paraId="72C8B46C" w14:textId="7F526478" w:rsidR="00456EC2" w:rsidRPr="00706D30" w:rsidRDefault="00E51E8D" w:rsidP="00706D30">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FPPL pays Lobo under an informal recovery arrangement, the payments might be subject to voidable disposition rules in the event that another creditor commences formal recovery arrangements.</w:t>
      </w: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proofErr w:type="spellStart"/>
      <w:r w:rsidR="003E2E7C" w:rsidRPr="004216EA">
        <w:rPr>
          <w:rFonts w:ascii="Avenir Next" w:hAnsi="Avenir Next" w:cs="Arial"/>
          <w:sz w:val="22"/>
          <w:szCs w:val="22"/>
          <w:lang w:val="en-GB"/>
        </w:rPr>
        <w:t>Encanto</w:t>
      </w:r>
      <w:proofErr w:type="spellEnd"/>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251AA427" w:rsidR="001E1C34" w:rsidRDefault="00330016" w:rsidP="003300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difficulties that may arise for the Asgardian insolvency representative pertaining to co-operation and co-ordination include:</w:t>
      </w:r>
    </w:p>
    <w:p w14:paraId="0A182B09" w14:textId="50CC2689" w:rsidR="001127C9" w:rsidRDefault="001127C9" w:rsidP="00330016">
      <w:pPr>
        <w:jc w:val="both"/>
        <w:rPr>
          <w:rFonts w:ascii="Avenir Next" w:hAnsi="Avenir Next" w:cs="Arial"/>
          <w:color w:val="808080" w:themeColor="background1" w:themeShade="80"/>
          <w:sz w:val="22"/>
          <w:szCs w:val="22"/>
          <w:lang w:val="en-GB"/>
        </w:rPr>
      </w:pPr>
    </w:p>
    <w:p w14:paraId="1B950A71" w14:textId="595D4AB7" w:rsidR="00642056" w:rsidRDefault="00642056" w:rsidP="00642056">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insolvency law in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 xml:space="preserve"> might not contain any scope for co-operation and co</w:t>
      </w:r>
      <w:r>
        <w:rPr>
          <w:rFonts w:ascii="Avenir Next" w:hAnsi="Avenir Next" w:cs="Arial"/>
          <w:color w:val="808080" w:themeColor="background1" w:themeShade="80"/>
          <w:sz w:val="22"/>
          <w:szCs w:val="22"/>
          <w:lang w:val="en-GB"/>
        </w:rPr>
        <w:noBreakHyphen/>
        <w:t xml:space="preserve">ordination with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in which case the Asgardian insolvency representative might not be recognised in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w:t>
      </w:r>
    </w:p>
    <w:p w14:paraId="6B083581" w14:textId="35EBF76F" w:rsidR="000F4FB2" w:rsidRDefault="000F4FB2" w:rsidP="00642056">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lack of recognition of the Asgardian insolvency by the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 xml:space="preserve"> court, in which case the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 xml:space="preserve"> court may appoint an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 xml:space="preserve"> insolvency representative who might not co-operate or co-ordinate with the Asgardian insolvency representative;</w:t>
      </w:r>
    </w:p>
    <w:p w14:paraId="5DEB3FD7" w14:textId="3A3744D1" w:rsidR="001127C9" w:rsidRPr="000F4FB2" w:rsidRDefault="001127C9" w:rsidP="000F4FB2">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differences in the insolvency law in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 xml:space="preserve"> as compared to the insolvency law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w:t>
      </w:r>
      <w:r w:rsidR="00642056">
        <w:rPr>
          <w:rFonts w:ascii="Avenir Next" w:hAnsi="Avenir Next" w:cs="Arial"/>
          <w:color w:val="808080" w:themeColor="background1" w:themeShade="80"/>
          <w:sz w:val="22"/>
          <w:szCs w:val="22"/>
          <w:lang w:val="en-GB"/>
        </w:rPr>
        <w:t xml:space="preserve">Differences in the law of the two jurisdictions might result in different requirements being imposed on FPPL </w:t>
      </w:r>
      <w:r w:rsidR="000F4FB2">
        <w:rPr>
          <w:rFonts w:ascii="Avenir Next" w:hAnsi="Avenir Next" w:cs="Arial"/>
          <w:color w:val="808080" w:themeColor="background1" w:themeShade="80"/>
          <w:sz w:val="22"/>
          <w:szCs w:val="22"/>
          <w:lang w:val="en-GB"/>
        </w:rPr>
        <w:t xml:space="preserve">and as a result in the Asgardian insolvency representative and any representative that might be appointed in </w:t>
      </w:r>
      <w:proofErr w:type="spellStart"/>
      <w:r w:rsidR="000F4FB2">
        <w:rPr>
          <w:rFonts w:ascii="Avenir Next" w:hAnsi="Avenir Next" w:cs="Arial"/>
          <w:color w:val="808080" w:themeColor="background1" w:themeShade="80"/>
          <w:sz w:val="22"/>
          <w:szCs w:val="22"/>
          <w:lang w:val="en-GB"/>
        </w:rPr>
        <w:t>Encanto</w:t>
      </w:r>
      <w:proofErr w:type="spellEnd"/>
      <w:r w:rsidR="000F4FB2">
        <w:rPr>
          <w:rFonts w:ascii="Avenir Next" w:hAnsi="Avenir Next" w:cs="Arial"/>
          <w:color w:val="808080" w:themeColor="background1" w:themeShade="80"/>
          <w:sz w:val="22"/>
          <w:szCs w:val="22"/>
          <w:lang w:val="en-GB"/>
        </w:rPr>
        <w:t>.</w:t>
      </w:r>
    </w:p>
    <w:p w14:paraId="5C786B49" w14:textId="225A7EE0" w:rsidR="00330016" w:rsidRDefault="00330016" w:rsidP="00330016">
      <w:pPr>
        <w:jc w:val="both"/>
        <w:rPr>
          <w:rFonts w:ascii="Avenir Next" w:hAnsi="Avenir Next" w:cs="Arial"/>
          <w:color w:val="808080" w:themeColor="background1" w:themeShade="80"/>
          <w:sz w:val="22"/>
          <w:szCs w:val="22"/>
          <w:lang w:val="en-GB"/>
        </w:rPr>
      </w:pPr>
    </w:p>
    <w:p w14:paraId="04C21A84" w14:textId="6C426576" w:rsidR="00330016" w:rsidRDefault="00330016" w:rsidP="003300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UNCITRAL Model Law on Cross-Border Insolvency has however been an important development in international insolvency law to assist the above difficulties. </w:t>
      </w:r>
      <w:r w:rsidR="001127C9">
        <w:rPr>
          <w:rFonts w:ascii="Avenir Next" w:hAnsi="Avenir Next" w:cs="Arial"/>
          <w:color w:val="808080" w:themeColor="background1" w:themeShade="80"/>
          <w:sz w:val="22"/>
          <w:szCs w:val="22"/>
          <w:lang w:val="en-GB"/>
        </w:rPr>
        <w:t>This is because t</w:t>
      </w:r>
      <w:r>
        <w:rPr>
          <w:rFonts w:ascii="Avenir Next" w:hAnsi="Avenir Next" w:cs="Arial"/>
          <w:color w:val="808080" w:themeColor="background1" w:themeShade="80"/>
          <w:sz w:val="22"/>
          <w:szCs w:val="22"/>
          <w:lang w:val="en-GB"/>
        </w:rPr>
        <w:t>he Model Law contains provisions that facilitate co-operation and co-ordination of concurrent proceedings.</w:t>
      </w:r>
      <w:r w:rsidR="001127C9">
        <w:rPr>
          <w:rFonts w:ascii="Avenir Next" w:hAnsi="Avenir Next" w:cs="Arial"/>
          <w:color w:val="808080" w:themeColor="background1" w:themeShade="80"/>
          <w:sz w:val="22"/>
          <w:szCs w:val="22"/>
          <w:lang w:val="en-GB"/>
        </w:rPr>
        <w:t xml:space="preserve"> For example, the Model Law contains provisions which authorise cooperation and direct communication between local and foreign courts or foreign insolvency representatives. </w:t>
      </w:r>
    </w:p>
    <w:p w14:paraId="4A3B3EBA" w14:textId="0D2FAF67" w:rsidR="00D25B30" w:rsidRDefault="00D25B30" w:rsidP="00330016">
      <w:pPr>
        <w:jc w:val="both"/>
        <w:rPr>
          <w:rFonts w:ascii="Avenir Next" w:hAnsi="Avenir Next" w:cs="Arial"/>
          <w:color w:val="808080" w:themeColor="background1" w:themeShade="80"/>
          <w:sz w:val="22"/>
          <w:szCs w:val="22"/>
          <w:lang w:val="en-GB"/>
        </w:rPr>
      </w:pPr>
    </w:p>
    <w:p w14:paraId="7968CB18" w14:textId="4F3D7B52" w:rsidR="00D25B30" w:rsidRPr="00AB63DE" w:rsidRDefault="00D25B30" w:rsidP="003300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Additional international insolvency instruments that have been developed to assist with the above difficulties include: (a) the American Law Institute NAFTA Guidelines Applicable to Court-to-Court Communications in Cross-Border Cases (2000) which applies to insolvencies in the USA, Canada and Mexico and facilitates co-operation and co-ordination; (b) the EU </w:t>
      </w:r>
      <w:proofErr w:type="spellStart"/>
      <w:r>
        <w:rPr>
          <w:rFonts w:ascii="Avenir Next" w:hAnsi="Avenir Next" w:cs="Arial"/>
          <w:color w:val="808080" w:themeColor="background1" w:themeShade="80"/>
          <w:sz w:val="22"/>
          <w:szCs w:val="22"/>
          <w:lang w:val="en-GB"/>
        </w:rPr>
        <w:t>JudgeCo</w:t>
      </w:r>
      <w:proofErr w:type="spellEnd"/>
      <w:r>
        <w:rPr>
          <w:rFonts w:ascii="Avenir Next" w:hAnsi="Avenir Next" w:cs="Arial"/>
          <w:color w:val="808080" w:themeColor="background1" w:themeShade="80"/>
          <w:sz w:val="22"/>
          <w:szCs w:val="22"/>
          <w:lang w:val="en-GB"/>
        </w:rPr>
        <w:t xml:space="preserve"> Guidelines 2015 which hopes to strengthen communication between courts in EU Member states; and (c) the Judicial Insolvency Network Guidelines which has the objective of improving the efficiency and effectiveness of parallel proceedings in an international insolvency. </w:t>
      </w:r>
      <w:r w:rsidR="00895D07">
        <w:rPr>
          <w:rFonts w:ascii="Avenir Next" w:hAnsi="Avenir Next" w:cs="Arial"/>
          <w:color w:val="808080" w:themeColor="background1" w:themeShade="80"/>
          <w:sz w:val="22"/>
          <w:szCs w:val="22"/>
          <w:lang w:val="en-GB"/>
        </w:rPr>
        <w:t xml:space="preserve"> The development of these instruments has been important in developing and increasing communication and co-operation between States in the context of international insolvency.</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78E1915F" w14:textId="77777777" w:rsidR="00A66BDE" w:rsidRDefault="0049291C" w:rsidP="004929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European Insolvency Regulation Recast would not apply with respect to the UK comme</w:t>
      </w:r>
      <w:r w:rsidR="00541CAC">
        <w:rPr>
          <w:rFonts w:ascii="Avenir Next" w:hAnsi="Avenir Next" w:cs="Arial"/>
          <w:color w:val="808080" w:themeColor="background1" w:themeShade="80"/>
          <w:sz w:val="22"/>
          <w:szCs w:val="22"/>
          <w:lang w:val="en-GB"/>
        </w:rPr>
        <w:t>nced insolvency proceeding as the proceeding</w:t>
      </w:r>
      <w:r>
        <w:rPr>
          <w:rFonts w:ascii="Avenir Next" w:hAnsi="Avenir Next" w:cs="Arial"/>
          <w:color w:val="808080" w:themeColor="background1" w:themeShade="80"/>
          <w:sz w:val="22"/>
          <w:szCs w:val="22"/>
          <w:lang w:val="en-GB"/>
        </w:rPr>
        <w:t xml:space="preserve"> was opened in the UK on 30 June 2022.  As the UK ceased to be a member of the EU on 31 January 2022,</w:t>
      </w:r>
      <w:r w:rsidR="00541CAC">
        <w:rPr>
          <w:rFonts w:ascii="Avenir Next" w:hAnsi="Avenir Next" w:cs="Arial"/>
          <w:color w:val="808080" w:themeColor="background1" w:themeShade="80"/>
          <w:sz w:val="22"/>
          <w:szCs w:val="22"/>
          <w:lang w:val="en-GB"/>
        </w:rPr>
        <w:t xml:space="preserve"> the European Insolvency Regulation Recast no longer applies to post 31 December 2020 proceedings in the UK.  </w:t>
      </w:r>
    </w:p>
    <w:p w14:paraId="45626523" w14:textId="77777777" w:rsidR="00A66BDE" w:rsidRDefault="00A66BDE" w:rsidP="0049291C">
      <w:pPr>
        <w:jc w:val="both"/>
        <w:rPr>
          <w:rFonts w:ascii="Avenir Next" w:hAnsi="Avenir Next" w:cs="Arial"/>
          <w:color w:val="808080" w:themeColor="background1" w:themeShade="80"/>
          <w:sz w:val="22"/>
          <w:szCs w:val="22"/>
          <w:lang w:val="en-GB"/>
        </w:rPr>
      </w:pPr>
    </w:p>
    <w:p w14:paraId="01407601" w14:textId="4BAE53BD" w:rsidR="00541CAC" w:rsidRDefault="00541CAC" w:rsidP="004929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consequence of </w:t>
      </w:r>
      <w:r w:rsidR="006B4AF1">
        <w:rPr>
          <w:rFonts w:ascii="Avenir Next" w:hAnsi="Avenir Next" w:cs="Arial"/>
          <w:color w:val="808080" w:themeColor="background1" w:themeShade="80"/>
          <w:sz w:val="22"/>
          <w:szCs w:val="22"/>
          <w:lang w:val="en-GB"/>
        </w:rPr>
        <w:t>this is that if Lobo opens proceedings in another country in Europe, the Court in that country will not be obliged to apply the terms of the European Insolvency Regulation Recast.  This in turn means that: (a) the European country will not automatically recognise the UK insolvency proceedings; (b) jurisdictional competence will not be allocated to the UK court even if the UK is the "centre of the debtor's main interests"; and (c) Lobo can open proceedings in another country in Europe even if FPPL does not have an "establishment" (as defined in the European Insolvency Regulation Recast) in that country (albeit this would be subject to the country's domestic laws</w:t>
      </w:r>
      <w:r w:rsidR="00A66BDE">
        <w:rPr>
          <w:rFonts w:ascii="Avenir Next" w:hAnsi="Avenir Next" w:cs="Arial"/>
          <w:color w:val="808080" w:themeColor="background1" w:themeShade="80"/>
          <w:sz w:val="22"/>
          <w:szCs w:val="22"/>
          <w:lang w:val="en-GB"/>
        </w:rPr>
        <w:t xml:space="preserve"> as to whether it has jurisdiction over FPPL</w:t>
      </w:r>
      <w:r w:rsidR="006B4AF1">
        <w:rPr>
          <w:rFonts w:ascii="Avenir Next" w:hAnsi="Avenir Next" w:cs="Arial"/>
          <w:color w:val="808080" w:themeColor="background1" w:themeShade="80"/>
          <w:sz w:val="22"/>
          <w:szCs w:val="22"/>
          <w:lang w:val="en-GB"/>
        </w:rPr>
        <w:t>).</w:t>
      </w:r>
      <w:r w:rsidR="00A66BDE">
        <w:rPr>
          <w:rFonts w:ascii="Avenir Next" w:hAnsi="Avenir Next" w:cs="Arial"/>
          <w:color w:val="808080" w:themeColor="background1" w:themeShade="80"/>
          <w:sz w:val="22"/>
          <w:szCs w:val="22"/>
          <w:lang w:val="en-GB"/>
        </w:rPr>
        <w:t xml:space="preserve"> </w:t>
      </w:r>
      <w:bookmarkStart w:id="0" w:name="_GoBack"/>
      <w:bookmarkEnd w:id="0"/>
      <w:r w:rsidR="0005316E">
        <w:rPr>
          <w:rFonts w:ascii="Avenir Next" w:hAnsi="Avenir Next" w:cs="Arial"/>
          <w:color w:val="808080" w:themeColor="background1" w:themeShade="80"/>
          <w:sz w:val="22"/>
          <w:szCs w:val="22"/>
          <w:lang w:val="en-GB"/>
        </w:rPr>
        <w:t xml:space="preserve"> </w:t>
      </w:r>
    </w:p>
    <w:p w14:paraId="5C55463F" w14:textId="2728DD2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BD0F" w14:textId="77777777" w:rsidR="007D03E9" w:rsidRDefault="007D03E9" w:rsidP="00241B44">
      <w:r>
        <w:separator/>
      </w:r>
    </w:p>
  </w:endnote>
  <w:endnote w:type="continuationSeparator" w:id="0">
    <w:p w14:paraId="7967B051" w14:textId="77777777" w:rsidR="007D03E9" w:rsidRDefault="007D03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4996F622"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05316E">
          <w:rPr>
            <w:rStyle w:val="PageNumber"/>
            <w:rFonts w:ascii="Avenir Next" w:hAnsi="Avenir Next" w:cs="Arial"/>
            <w:noProof/>
            <w:sz w:val="22"/>
            <w:szCs w:val="22"/>
          </w:rPr>
          <w:t>11</w:t>
        </w:r>
        <w:r w:rsidRPr="00297BDF">
          <w:rPr>
            <w:rStyle w:val="PageNumber"/>
            <w:rFonts w:ascii="Avenir Next" w:hAnsi="Avenir Next" w:cs="Arial"/>
            <w:sz w:val="22"/>
            <w:szCs w:val="22"/>
          </w:rPr>
          <w:fldChar w:fldCharType="end"/>
        </w:r>
      </w:p>
    </w:sdtContent>
  </w:sdt>
  <w:p w14:paraId="12ABA5E1" w14:textId="24BF3F64" w:rsidR="00B64A85" w:rsidRPr="00297BDF" w:rsidRDefault="00AF3F96" w:rsidP="0052732A">
    <w:pPr>
      <w:pStyle w:val="Footer"/>
      <w:ind w:right="360"/>
      <w:rPr>
        <w:rFonts w:ascii="Avenir Next" w:hAnsi="Avenir Next" w:cs="Arial"/>
        <w:sz w:val="22"/>
        <w:szCs w:val="22"/>
      </w:rPr>
    </w:pPr>
    <w:r w:rsidRPr="00AF3F96">
      <w:rPr>
        <w:rFonts w:ascii="Avenir Next" w:hAnsi="Avenir Next" w:cs="Arial"/>
        <w:sz w:val="22"/>
        <w:szCs w:val="22"/>
      </w:rPr>
      <w:t>202223-915</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8584E" w14:textId="77777777" w:rsidR="007D03E9" w:rsidRDefault="007D03E9" w:rsidP="00241B44">
      <w:r>
        <w:separator/>
      </w:r>
    </w:p>
  </w:footnote>
  <w:footnote w:type="continuationSeparator" w:id="0">
    <w:p w14:paraId="06AAAAEE" w14:textId="77777777" w:rsidR="007D03E9" w:rsidRDefault="007D03E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752"/>
    <w:multiLevelType w:val="hybridMultilevel"/>
    <w:tmpl w:val="18D04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A9C2618"/>
    <w:multiLevelType w:val="hybridMultilevel"/>
    <w:tmpl w:val="A75AC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F1A4D39"/>
    <w:multiLevelType w:val="hybridMultilevel"/>
    <w:tmpl w:val="C6623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66F54"/>
    <w:multiLevelType w:val="hybridMultilevel"/>
    <w:tmpl w:val="25382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75856"/>
    <w:multiLevelType w:val="hybridMultilevel"/>
    <w:tmpl w:val="86D65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5603E60"/>
    <w:multiLevelType w:val="hybridMultilevel"/>
    <w:tmpl w:val="DCD69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8"/>
  </w:num>
  <w:num w:numId="3">
    <w:abstractNumId w:val="4"/>
  </w:num>
  <w:num w:numId="4">
    <w:abstractNumId w:val="5"/>
  </w:num>
  <w:num w:numId="5">
    <w:abstractNumId w:val="20"/>
  </w:num>
  <w:num w:numId="6">
    <w:abstractNumId w:val="25"/>
  </w:num>
  <w:num w:numId="7">
    <w:abstractNumId w:val="12"/>
  </w:num>
  <w:num w:numId="8">
    <w:abstractNumId w:val="29"/>
  </w:num>
  <w:num w:numId="9">
    <w:abstractNumId w:val="11"/>
  </w:num>
  <w:num w:numId="10">
    <w:abstractNumId w:val="26"/>
  </w:num>
  <w:num w:numId="11">
    <w:abstractNumId w:val="10"/>
  </w:num>
  <w:num w:numId="12">
    <w:abstractNumId w:val="27"/>
  </w:num>
  <w:num w:numId="13">
    <w:abstractNumId w:val="19"/>
  </w:num>
  <w:num w:numId="14">
    <w:abstractNumId w:val="18"/>
  </w:num>
  <w:num w:numId="15">
    <w:abstractNumId w:val="8"/>
  </w:num>
  <w:num w:numId="16">
    <w:abstractNumId w:val="21"/>
  </w:num>
  <w:num w:numId="17">
    <w:abstractNumId w:val="16"/>
  </w:num>
  <w:num w:numId="18">
    <w:abstractNumId w:val="17"/>
  </w:num>
  <w:num w:numId="19">
    <w:abstractNumId w:val="23"/>
  </w:num>
  <w:num w:numId="20">
    <w:abstractNumId w:val="9"/>
  </w:num>
  <w:num w:numId="21">
    <w:abstractNumId w:val="14"/>
  </w:num>
  <w:num w:numId="22">
    <w:abstractNumId w:val="1"/>
  </w:num>
  <w:num w:numId="23">
    <w:abstractNumId w:val="22"/>
  </w:num>
  <w:num w:numId="24">
    <w:abstractNumId w:val="3"/>
  </w:num>
  <w:num w:numId="25">
    <w:abstractNumId w:val="2"/>
  </w:num>
  <w:num w:numId="26">
    <w:abstractNumId w:val="15"/>
  </w:num>
  <w:num w:numId="27">
    <w:abstractNumId w:val="0"/>
  </w:num>
  <w:num w:numId="28">
    <w:abstractNumId w:val="6"/>
  </w:num>
  <w:num w:numId="29">
    <w:abstractNumId w:val="7"/>
  </w:num>
  <w:num w:numId="3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C3C"/>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038"/>
    <w:rsid w:val="00043365"/>
    <w:rsid w:val="000436F0"/>
    <w:rsid w:val="00043960"/>
    <w:rsid w:val="00044D46"/>
    <w:rsid w:val="00045088"/>
    <w:rsid w:val="00045904"/>
    <w:rsid w:val="00045DC7"/>
    <w:rsid w:val="00046789"/>
    <w:rsid w:val="000521C4"/>
    <w:rsid w:val="00052A5E"/>
    <w:rsid w:val="0005310B"/>
    <w:rsid w:val="0005316E"/>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26C2"/>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4FB2"/>
    <w:rsid w:val="000F58B0"/>
    <w:rsid w:val="00100A77"/>
    <w:rsid w:val="00101707"/>
    <w:rsid w:val="00102F47"/>
    <w:rsid w:val="00105CBD"/>
    <w:rsid w:val="001107F2"/>
    <w:rsid w:val="00110E0C"/>
    <w:rsid w:val="001127C9"/>
    <w:rsid w:val="001131C6"/>
    <w:rsid w:val="0011473D"/>
    <w:rsid w:val="00115C85"/>
    <w:rsid w:val="001174E6"/>
    <w:rsid w:val="00120B4D"/>
    <w:rsid w:val="00120C8A"/>
    <w:rsid w:val="001222E6"/>
    <w:rsid w:val="0012303D"/>
    <w:rsid w:val="00123855"/>
    <w:rsid w:val="00124B70"/>
    <w:rsid w:val="00125A7C"/>
    <w:rsid w:val="00126A4D"/>
    <w:rsid w:val="00126B52"/>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19EE"/>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016"/>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48"/>
    <w:rsid w:val="003A60FF"/>
    <w:rsid w:val="003A696A"/>
    <w:rsid w:val="003B170F"/>
    <w:rsid w:val="003B3C5F"/>
    <w:rsid w:val="003C1451"/>
    <w:rsid w:val="003C2017"/>
    <w:rsid w:val="003C4471"/>
    <w:rsid w:val="003D0A6D"/>
    <w:rsid w:val="003D100A"/>
    <w:rsid w:val="003D135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38F4"/>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56EC2"/>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291C"/>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1CAC"/>
    <w:rsid w:val="00542E08"/>
    <w:rsid w:val="005433D7"/>
    <w:rsid w:val="00543941"/>
    <w:rsid w:val="00544127"/>
    <w:rsid w:val="005508BB"/>
    <w:rsid w:val="00553EB2"/>
    <w:rsid w:val="0055505F"/>
    <w:rsid w:val="00555C4D"/>
    <w:rsid w:val="00556894"/>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1D58"/>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084C"/>
    <w:rsid w:val="00641515"/>
    <w:rsid w:val="0064169B"/>
    <w:rsid w:val="00642056"/>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AF1"/>
    <w:rsid w:val="006B4C64"/>
    <w:rsid w:val="006B5AE8"/>
    <w:rsid w:val="006C5CE2"/>
    <w:rsid w:val="006D0529"/>
    <w:rsid w:val="006D0605"/>
    <w:rsid w:val="006D176A"/>
    <w:rsid w:val="006D564C"/>
    <w:rsid w:val="006D6BD5"/>
    <w:rsid w:val="006E0C19"/>
    <w:rsid w:val="006E1CB0"/>
    <w:rsid w:val="006E254C"/>
    <w:rsid w:val="006E2974"/>
    <w:rsid w:val="006E481A"/>
    <w:rsid w:val="006E5298"/>
    <w:rsid w:val="006E6A1F"/>
    <w:rsid w:val="006E6A6A"/>
    <w:rsid w:val="006E77B0"/>
    <w:rsid w:val="006F0C74"/>
    <w:rsid w:val="006F6B2E"/>
    <w:rsid w:val="006F734A"/>
    <w:rsid w:val="00700D83"/>
    <w:rsid w:val="00704852"/>
    <w:rsid w:val="00704C24"/>
    <w:rsid w:val="00705A77"/>
    <w:rsid w:val="00706D30"/>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A4271"/>
    <w:rsid w:val="007B0063"/>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7F6C8A"/>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5D07"/>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1D32"/>
    <w:rsid w:val="00984680"/>
    <w:rsid w:val="00990F04"/>
    <w:rsid w:val="00991272"/>
    <w:rsid w:val="00991428"/>
    <w:rsid w:val="00992676"/>
    <w:rsid w:val="0099376F"/>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66BDE"/>
    <w:rsid w:val="00A71019"/>
    <w:rsid w:val="00A731D3"/>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3F96"/>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17E8"/>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5462"/>
    <w:rsid w:val="00BD64FB"/>
    <w:rsid w:val="00BD71D7"/>
    <w:rsid w:val="00BD7D49"/>
    <w:rsid w:val="00BE0E7D"/>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D7EE2"/>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B30"/>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1E8D"/>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17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d0ad2d52-4869-465d-a93a-001fa21a593d"/>
    <ds:schemaRef ds:uri="http://schemas.microsoft.com/office/infopath/2007/PartnerControls"/>
    <ds:schemaRef ds:uri="http://purl.org/dc/dcmitype/"/>
    <ds:schemaRef ds:uri="http://purl.org/dc/terms/"/>
    <ds:schemaRef ds:uri="http://www.w3.org/XML/1998/namespace"/>
    <ds:schemaRef ds:uri="a21de7b9-cad9-43f2-8459-9b1b4f9894e2"/>
  </ds:schemaRefs>
</ds:datastoreItem>
</file>

<file path=customXml/itemProps4.xml><?xml version="1.0" encoding="utf-8"?>
<ds:datastoreItem xmlns:ds="http://schemas.openxmlformats.org/officeDocument/2006/customXml" ds:itemID="{E68D4EB0-DC9E-4921-A3AD-D5849F43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11</Pages>
  <Words>4073</Words>
  <Characters>23220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On</cp:lastModifiedBy>
  <cp:revision>7</cp:revision>
  <cp:lastPrinted>2020-06-12T02:43:00Z</cp:lastPrinted>
  <dcterms:created xsi:type="dcterms:W3CDTF">2022-09-05T10:47:00Z</dcterms:created>
  <dcterms:modified xsi:type="dcterms:W3CDTF">2022-09-07T09:25:00Z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