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6A1AF9">
        <w:rPr>
          <w:rFonts w:ascii="Avenir Next" w:hAnsi="Avenir Next"/>
          <w:highlight w:val="yellow"/>
        </w:rPr>
        <w:t>All of</w:t>
      </w:r>
      <w:proofErr w:type="gramEnd"/>
      <w:r w:rsidRPr="006A1AF9">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6A1AF9">
        <w:rPr>
          <w:rFonts w:ascii="Avenir Next" w:hAnsi="Avenir Next"/>
          <w:highlight w:val="yellow"/>
        </w:rPr>
        <w:t>(b)</w:t>
      </w:r>
      <w:r w:rsidRPr="006A1AF9">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6A1AF9" w:rsidRDefault="00CE0ECD" w:rsidP="00097D56">
      <w:pPr>
        <w:pStyle w:val="AODocTxt"/>
        <w:numPr>
          <w:ilvl w:val="0"/>
          <w:numId w:val="16"/>
        </w:numPr>
        <w:spacing w:before="0" w:line="240" w:lineRule="auto"/>
        <w:ind w:left="426"/>
        <w:rPr>
          <w:rFonts w:ascii="Avenir Next" w:hAnsi="Avenir Next"/>
          <w:highlight w:val="yellow"/>
        </w:rPr>
      </w:pPr>
      <w:r w:rsidRPr="006A1AF9">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6A1AF9" w:rsidRDefault="00CE0ECD" w:rsidP="00A82B32">
      <w:pPr>
        <w:pStyle w:val="AODocTxt"/>
        <w:numPr>
          <w:ilvl w:val="0"/>
          <w:numId w:val="18"/>
        </w:numPr>
        <w:spacing w:before="0" w:line="240" w:lineRule="auto"/>
        <w:ind w:left="426"/>
        <w:rPr>
          <w:rFonts w:ascii="Avenir Next" w:hAnsi="Avenir Next"/>
          <w:highlight w:val="yellow"/>
        </w:rPr>
      </w:pPr>
      <w:r w:rsidRPr="006A1AF9">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6A1AF9" w:rsidRDefault="00CE0ECD" w:rsidP="00E421C6">
      <w:pPr>
        <w:pStyle w:val="AODocTxt"/>
        <w:numPr>
          <w:ilvl w:val="0"/>
          <w:numId w:val="20"/>
        </w:numPr>
        <w:spacing w:before="0" w:line="240" w:lineRule="auto"/>
        <w:ind w:left="426"/>
        <w:rPr>
          <w:rFonts w:ascii="Avenir Next" w:hAnsi="Avenir Next"/>
          <w:highlight w:val="yellow"/>
        </w:rPr>
      </w:pPr>
      <w:r w:rsidRPr="006A1AF9">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6A1AF9">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DC34BD" w:rsidRDefault="00CE0ECD" w:rsidP="000346E7">
      <w:pPr>
        <w:pStyle w:val="AODocTxt"/>
        <w:numPr>
          <w:ilvl w:val="0"/>
          <w:numId w:val="24"/>
        </w:numPr>
        <w:spacing w:before="0" w:line="240" w:lineRule="auto"/>
        <w:ind w:left="426"/>
        <w:rPr>
          <w:rFonts w:ascii="Avenir Next" w:hAnsi="Avenir Next"/>
          <w:highlight w:val="yellow"/>
        </w:rPr>
      </w:pPr>
      <w:r w:rsidRPr="00DC34BD">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DC34BD">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2B524D5E"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0F6ECC85" w14:textId="77777777" w:rsidR="00DC34BD" w:rsidRDefault="00DC34BD" w:rsidP="00DC34BD">
      <w:pPr>
        <w:pStyle w:val="AODocTxt"/>
        <w:spacing w:before="0" w:line="240" w:lineRule="auto"/>
        <w:rPr>
          <w:rFonts w:ascii="Avenir Next" w:hAnsi="Avenir Next"/>
        </w:rPr>
      </w:pP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DC34BD" w:rsidRDefault="00CE0ECD" w:rsidP="004830F8">
      <w:pPr>
        <w:pStyle w:val="AODocTxt"/>
        <w:numPr>
          <w:ilvl w:val="0"/>
          <w:numId w:val="28"/>
        </w:numPr>
        <w:spacing w:before="0" w:line="240" w:lineRule="auto"/>
        <w:ind w:left="426"/>
        <w:rPr>
          <w:rFonts w:ascii="Avenir Next" w:hAnsi="Avenir Next"/>
          <w:highlight w:val="yellow"/>
        </w:rPr>
      </w:pPr>
      <w:r w:rsidRPr="00DC34BD">
        <w:rPr>
          <w:rFonts w:ascii="Avenir Next" w:hAnsi="Avenir Next"/>
          <w:highlight w:val="yellow"/>
        </w:rPr>
        <w:t xml:space="preserve">If a creditor can show it extended credit </w:t>
      </w:r>
      <w:proofErr w:type="gramStart"/>
      <w:r w:rsidRPr="00DC34BD">
        <w:rPr>
          <w:rFonts w:ascii="Avenir Next" w:hAnsi="Avenir Next"/>
          <w:highlight w:val="yellow"/>
        </w:rPr>
        <w:t>on the basis of</w:t>
      </w:r>
      <w:proofErr w:type="gramEnd"/>
      <w:r w:rsidRPr="00DC34BD">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DC34BD" w:rsidRDefault="00CE0ECD" w:rsidP="00AA0280">
      <w:pPr>
        <w:pStyle w:val="AODocTxt"/>
        <w:numPr>
          <w:ilvl w:val="0"/>
          <w:numId w:val="30"/>
        </w:numPr>
        <w:spacing w:before="0" w:line="240" w:lineRule="auto"/>
        <w:ind w:left="426"/>
        <w:rPr>
          <w:rFonts w:ascii="Avenir Next" w:hAnsi="Avenir Next"/>
          <w:highlight w:val="yellow"/>
        </w:rPr>
      </w:pPr>
      <w:proofErr w:type="gramStart"/>
      <w:r w:rsidRPr="00DC34BD">
        <w:rPr>
          <w:rFonts w:ascii="Avenir Next" w:hAnsi="Avenir Next"/>
          <w:highlight w:val="yellow"/>
        </w:rPr>
        <w:t>All of</w:t>
      </w:r>
      <w:proofErr w:type="gramEnd"/>
      <w:r w:rsidRPr="00DC34BD">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1E53D31F" w14:textId="54A8268D" w:rsidR="00FF49F7" w:rsidRDefault="00FF49F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means the compensation of credits and debts between</w:t>
      </w:r>
      <w:r w:rsidR="00ED58CD">
        <w:rPr>
          <w:rFonts w:ascii="Avenir Next" w:hAnsi="Avenir Next" w:cs="Arial"/>
          <w:color w:val="7B7B7B" w:themeColor="accent3" w:themeShade="BF"/>
          <w:sz w:val="22"/>
          <w:szCs w:val="22"/>
          <w:lang w:val="en-GB"/>
        </w:rPr>
        <w:t xml:space="preserve"> a</w:t>
      </w:r>
      <w:r>
        <w:rPr>
          <w:rFonts w:ascii="Avenir Next" w:hAnsi="Avenir Next" w:cs="Arial"/>
          <w:color w:val="7B7B7B" w:themeColor="accent3" w:themeShade="BF"/>
          <w:sz w:val="22"/>
          <w:szCs w:val="22"/>
          <w:lang w:val="en-GB"/>
        </w:rPr>
        <w:t xml:space="preserve"> creditor and</w:t>
      </w:r>
      <w:r w:rsidR="00ED58CD">
        <w:rPr>
          <w:rFonts w:ascii="Avenir Next" w:hAnsi="Avenir Next" w:cs="Arial"/>
          <w:color w:val="7B7B7B" w:themeColor="accent3" w:themeShade="BF"/>
          <w:sz w:val="22"/>
          <w:szCs w:val="22"/>
          <w:lang w:val="en-GB"/>
        </w:rPr>
        <w:t xml:space="preserve"> a</w:t>
      </w:r>
      <w:r>
        <w:rPr>
          <w:rFonts w:ascii="Avenir Next" w:hAnsi="Avenir Next" w:cs="Arial"/>
          <w:color w:val="7B7B7B" w:themeColor="accent3" w:themeShade="BF"/>
          <w:sz w:val="22"/>
          <w:szCs w:val="22"/>
          <w:lang w:val="en-GB"/>
        </w:rPr>
        <w:t xml:space="preserve"> debtor. It permits a creditor holding a claim against the debtor and, at the same time, owing money to the </w:t>
      </w:r>
      <w:r w:rsidR="00ED58CD">
        <w:rPr>
          <w:rFonts w:ascii="Avenir Next" w:hAnsi="Avenir Next" w:cs="Arial"/>
          <w:color w:val="7B7B7B" w:themeColor="accent3" w:themeShade="BF"/>
          <w:sz w:val="22"/>
          <w:szCs w:val="22"/>
          <w:lang w:val="en-GB"/>
        </w:rPr>
        <w:t xml:space="preserve">same </w:t>
      </w:r>
      <w:r>
        <w:rPr>
          <w:rFonts w:ascii="Avenir Next" w:hAnsi="Avenir Next" w:cs="Arial"/>
          <w:color w:val="7B7B7B" w:themeColor="accent3" w:themeShade="BF"/>
          <w:sz w:val="22"/>
          <w:szCs w:val="22"/>
          <w:lang w:val="en-GB"/>
        </w:rPr>
        <w:t>debtor to net the two or more obligations. In other words, the debtor also has a claim against the creditor and, thus, these different claims must be setoff and only t</w:t>
      </w:r>
      <w:r w:rsidR="00ED58CD">
        <w:rPr>
          <w:rFonts w:ascii="Avenir Next" w:hAnsi="Avenir Next" w:cs="Arial"/>
          <w:color w:val="7B7B7B" w:themeColor="accent3" w:themeShade="BF"/>
          <w:sz w:val="22"/>
          <w:szCs w:val="22"/>
          <w:lang w:val="en-GB"/>
        </w:rPr>
        <w:t>he</w:t>
      </w:r>
      <w:r>
        <w:rPr>
          <w:rFonts w:ascii="Avenir Next" w:hAnsi="Avenir Next" w:cs="Arial"/>
          <w:color w:val="7B7B7B" w:themeColor="accent3" w:themeShade="BF"/>
          <w:sz w:val="22"/>
          <w:szCs w:val="22"/>
          <w:lang w:val="en-GB"/>
        </w:rPr>
        <w:t xml:space="preserve"> difference arising of th</w:t>
      </w:r>
      <w:r w:rsidR="00ED58CD">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setoff will be paid.</w:t>
      </w:r>
    </w:p>
    <w:p w14:paraId="371340CD" w14:textId="78A9CCFD" w:rsidR="00FF49F7" w:rsidRDefault="00FF49F7" w:rsidP="00E41578">
      <w:pPr>
        <w:jc w:val="both"/>
        <w:rPr>
          <w:rFonts w:ascii="Avenir Next" w:hAnsi="Avenir Next" w:cs="Arial"/>
          <w:color w:val="7B7B7B" w:themeColor="accent3" w:themeShade="BF"/>
          <w:sz w:val="22"/>
          <w:szCs w:val="22"/>
          <w:lang w:val="en-GB"/>
        </w:rPr>
      </w:pPr>
    </w:p>
    <w:p w14:paraId="252A01EB" w14:textId="697DB9A0" w:rsidR="00FF49F7" w:rsidRDefault="00FF49F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ED58CD">
        <w:rPr>
          <w:rFonts w:ascii="Avenir Next" w:hAnsi="Avenir Next" w:cs="Arial"/>
          <w:color w:val="7B7B7B" w:themeColor="accent3" w:themeShade="BF"/>
          <w:sz w:val="22"/>
          <w:szCs w:val="22"/>
          <w:lang w:val="en-GB"/>
        </w:rPr>
        <w:t>an</w:t>
      </w:r>
      <w:r>
        <w:rPr>
          <w:rFonts w:ascii="Avenir Next" w:hAnsi="Avenir Next" w:cs="Arial"/>
          <w:color w:val="7B7B7B" w:themeColor="accent3" w:themeShade="BF"/>
          <w:sz w:val="22"/>
          <w:szCs w:val="22"/>
          <w:lang w:val="en-GB"/>
        </w:rPr>
        <w:t xml:space="preserve"> insolvency proceeding, setoff is not permitted in </w:t>
      </w:r>
      <w:r w:rsidR="001F3C1D">
        <w:rPr>
          <w:rFonts w:ascii="Avenir Next" w:hAnsi="Avenir Next" w:cs="Arial"/>
          <w:color w:val="7B7B7B" w:themeColor="accent3" w:themeShade="BF"/>
          <w:sz w:val="22"/>
          <w:szCs w:val="22"/>
          <w:lang w:val="en-GB"/>
        </w:rPr>
        <w:t>several</w:t>
      </w:r>
      <w:r>
        <w:rPr>
          <w:rFonts w:ascii="Avenir Next" w:hAnsi="Avenir Next" w:cs="Arial"/>
          <w:color w:val="7B7B7B" w:themeColor="accent3" w:themeShade="BF"/>
          <w:sz w:val="22"/>
          <w:szCs w:val="22"/>
          <w:lang w:val="en-GB"/>
        </w:rPr>
        <w:t xml:space="preserve"> circumstances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fulfil equal treatment among the creditors. Otherwise, creditors that also ow</w:t>
      </w:r>
      <w:r w:rsidR="00ED58CD">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money to the debtor would have those claims satisfied, which would not occur </w:t>
      </w:r>
      <w:r w:rsidR="001F3C1D">
        <w:rPr>
          <w:rFonts w:ascii="Avenir Next" w:hAnsi="Avenir Next" w:cs="Arial"/>
          <w:color w:val="7B7B7B" w:themeColor="accent3" w:themeShade="BF"/>
          <w:sz w:val="22"/>
          <w:szCs w:val="22"/>
          <w:lang w:val="en-GB"/>
        </w:rPr>
        <w:t>with</w:t>
      </w:r>
      <w:r>
        <w:rPr>
          <w:rFonts w:ascii="Avenir Next" w:hAnsi="Avenir Next" w:cs="Arial"/>
          <w:color w:val="7B7B7B" w:themeColor="accent3" w:themeShade="BF"/>
          <w:sz w:val="22"/>
          <w:szCs w:val="22"/>
          <w:lang w:val="en-GB"/>
        </w:rPr>
        <w:t xml:space="preserve"> all the other creditors.</w:t>
      </w:r>
    </w:p>
    <w:p w14:paraId="6DEEF599" w14:textId="0350F023" w:rsidR="00ED58CD" w:rsidRDefault="00ED58CD" w:rsidP="00E41578">
      <w:pPr>
        <w:jc w:val="both"/>
        <w:rPr>
          <w:rFonts w:ascii="Avenir Next" w:hAnsi="Avenir Next" w:cs="Arial"/>
          <w:color w:val="7B7B7B" w:themeColor="accent3" w:themeShade="BF"/>
          <w:sz w:val="22"/>
          <w:szCs w:val="22"/>
          <w:lang w:val="en-GB"/>
        </w:rPr>
      </w:pPr>
    </w:p>
    <w:p w14:paraId="53192470" w14:textId="1E3ABA5B" w:rsidR="00ED58CD" w:rsidRDefault="00ED58CD" w:rsidP="00ED58C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several circumstances in which the setoff is not allowed, such as: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w:t>
      </w:r>
      <w:r w:rsidRPr="00ED58CD">
        <w:rPr>
          <w:rFonts w:ascii="Avenir Next" w:hAnsi="Avenir Next" w:cs="Arial"/>
          <w:color w:val="7B7B7B" w:themeColor="accent3" w:themeShade="BF"/>
          <w:sz w:val="22"/>
          <w:szCs w:val="22"/>
          <w:lang w:val="en-GB"/>
        </w:rPr>
        <w:t>the creditor’s claim against the estate was acquired post-petition or in the 90 days prior to the petition at a time when the debtor was insolvent</w:t>
      </w:r>
      <w:r>
        <w:rPr>
          <w:rFonts w:ascii="Avenir Next" w:hAnsi="Avenir Next" w:cs="Arial"/>
          <w:color w:val="7B7B7B" w:themeColor="accent3" w:themeShade="BF"/>
          <w:sz w:val="22"/>
          <w:szCs w:val="22"/>
          <w:lang w:val="en-GB"/>
        </w:rPr>
        <w:t xml:space="preserve"> and (ii) “</w:t>
      </w:r>
      <w:r w:rsidRPr="00ED58CD">
        <w:rPr>
          <w:rFonts w:ascii="Avenir Next" w:hAnsi="Avenir Next" w:cs="Arial"/>
          <w:color w:val="7B7B7B" w:themeColor="accent3" w:themeShade="BF"/>
          <w:sz w:val="22"/>
          <w:szCs w:val="22"/>
          <w:lang w:val="en-GB"/>
        </w:rPr>
        <w:t>the creditor’s obligation to the debtor was incurred in the 90 days prior to the petition at a time when the debtor was insolvent for the purposes of exercising setoff rights</w:t>
      </w:r>
      <w:r>
        <w:rPr>
          <w:rFonts w:ascii="Avenir Next" w:hAnsi="Avenir Next" w:cs="Arial"/>
          <w:color w:val="7B7B7B" w:themeColor="accent3" w:themeShade="BF"/>
          <w:sz w:val="22"/>
          <w:szCs w:val="22"/>
          <w:lang w:val="en-GB"/>
        </w:rPr>
        <w:t>”</w:t>
      </w:r>
      <w:r w:rsidR="001F3C1D">
        <w:rPr>
          <w:rFonts w:ascii="Avenir Next" w:hAnsi="Avenir Next" w:cs="Arial"/>
          <w:color w:val="7B7B7B" w:themeColor="accent3" w:themeShade="BF"/>
          <w:sz w:val="22"/>
          <w:szCs w:val="22"/>
          <w:lang w:val="en-GB"/>
        </w:rPr>
        <w:t>.</w:t>
      </w:r>
    </w:p>
    <w:p w14:paraId="72BB668D" w14:textId="77777777" w:rsidR="00FF49F7" w:rsidRDefault="00FF49F7" w:rsidP="00E41578">
      <w:pPr>
        <w:jc w:val="both"/>
        <w:rPr>
          <w:rFonts w:ascii="Avenir Next" w:hAnsi="Avenir Next" w:cs="Arial"/>
          <w:color w:val="7B7B7B" w:themeColor="accent3" w:themeShade="BF"/>
          <w:sz w:val="22"/>
          <w:szCs w:val="22"/>
          <w:lang w:val="en-GB"/>
        </w:rPr>
      </w:pP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79D178E" w14:textId="54A175F5" w:rsidR="00183BCF" w:rsidRDefault="00183BCF" w:rsidP="00183BC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preparing a filing for a bankruptcy court you should have in mind that </w:t>
      </w:r>
      <w:r w:rsidR="00657D1B">
        <w:rPr>
          <w:rFonts w:ascii="Avenir Next" w:hAnsi="Avenir Next" w:cs="Arial"/>
          <w:color w:val="7B7B7B" w:themeColor="accent3" w:themeShade="BF"/>
          <w:sz w:val="22"/>
          <w:szCs w:val="22"/>
          <w:lang w:val="en-GB"/>
        </w:rPr>
        <w:t>p</w:t>
      </w:r>
      <w:r w:rsidRPr="00183BCF">
        <w:rPr>
          <w:rFonts w:ascii="Avenir Next" w:hAnsi="Avenir Next" w:cs="Arial"/>
          <w:color w:val="7B7B7B" w:themeColor="accent3" w:themeShade="BF"/>
          <w:sz w:val="22"/>
          <w:szCs w:val="22"/>
          <w:lang w:val="en-GB"/>
        </w:rPr>
        <w:t>rocedures in bankruptcy proceedings are governed by the Federal Rules of Bankruptcy Procedure</w:t>
      </w:r>
      <w:r>
        <w:rPr>
          <w:rFonts w:ascii="Avenir Next" w:hAnsi="Avenir Next" w:cs="Arial"/>
          <w:color w:val="7B7B7B" w:themeColor="accent3" w:themeShade="BF"/>
          <w:sz w:val="22"/>
          <w:szCs w:val="22"/>
          <w:lang w:val="en-GB"/>
        </w:rPr>
        <w:t xml:space="preserve">. These rules </w:t>
      </w:r>
      <w:r w:rsidRPr="00183BCF">
        <w:rPr>
          <w:rFonts w:ascii="Avenir Next" w:hAnsi="Avenir Next" w:cs="Arial"/>
          <w:color w:val="7B7B7B" w:themeColor="accent3" w:themeShade="BF"/>
          <w:sz w:val="22"/>
          <w:szCs w:val="22"/>
          <w:lang w:val="en-GB"/>
        </w:rPr>
        <w:t>frequently incorporate by reference the Federal Rules of Civil Procedure</w:t>
      </w:r>
      <w:r>
        <w:rPr>
          <w:rFonts w:ascii="Avenir Next" w:hAnsi="Avenir Next" w:cs="Arial"/>
          <w:color w:val="7B7B7B" w:themeColor="accent3" w:themeShade="BF"/>
          <w:sz w:val="22"/>
          <w:szCs w:val="22"/>
          <w:lang w:val="en-GB"/>
        </w:rPr>
        <w:t>. Also, forms for common bankruptcy filings are required to be used. Also, each bankruptcy court will have local rules of procedure.</w:t>
      </w:r>
    </w:p>
    <w:p w14:paraId="4E18313E" w14:textId="1125EDB2" w:rsidR="00183BCF" w:rsidRDefault="00183BCF" w:rsidP="00183BCF">
      <w:pPr>
        <w:jc w:val="both"/>
        <w:rPr>
          <w:rFonts w:ascii="Avenir Next" w:hAnsi="Avenir Next" w:cs="Arial"/>
          <w:color w:val="7B7B7B" w:themeColor="accent3" w:themeShade="BF"/>
          <w:sz w:val="22"/>
          <w:szCs w:val="22"/>
          <w:lang w:val="en-GB"/>
        </w:rPr>
      </w:pPr>
    </w:p>
    <w:p w14:paraId="3D8ED499" w14:textId="32B5F996" w:rsidR="00183BCF" w:rsidRDefault="00183BCF" w:rsidP="00657D1B">
      <w:pPr>
        <w:jc w:val="both"/>
        <w:rPr>
          <w:rFonts w:ascii="Avenir Next" w:hAnsi="Avenir Next"/>
        </w:rPr>
      </w:pPr>
      <w:r>
        <w:rPr>
          <w:rFonts w:ascii="Avenir Next" w:hAnsi="Avenir Next" w:cs="Arial"/>
          <w:color w:val="7B7B7B" w:themeColor="accent3" w:themeShade="BF"/>
          <w:sz w:val="22"/>
          <w:szCs w:val="22"/>
          <w:lang w:val="en-GB"/>
        </w:rPr>
        <w:t xml:space="preserve">Finally, case law is very </w:t>
      </w:r>
      <w:r w:rsidR="00657D1B">
        <w:rPr>
          <w:rFonts w:ascii="Avenir Next" w:hAnsi="Avenir Next" w:cs="Arial"/>
          <w:color w:val="7B7B7B" w:themeColor="accent3" w:themeShade="BF"/>
          <w:sz w:val="22"/>
          <w:szCs w:val="22"/>
          <w:lang w:val="en-GB"/>
        </w:rPr>
        <w:t>important,</w:t>
      </w:r>
      <w:r>
        <w:rPr>
          <w:rFonts w:ascii="Avenir Next" w:hAnsi="Avenir Next" w:cs="Arial"/>
          <w:color w:val="7B7B7B" w:themeColor="accent3" w:themeShade="BF"/>
          <w:sz w:val="22"/>
          <w:szCs w:val="22"/>
          <w:lang w:val="en-GB"/>
        </w:rPr>
        <w:t xml:space="preserve"> and practitioners should be aware of the case law of that region / circuit, as well as the decisions of the US Supreme Court on the matter. Due to the differences between the circuits, you should consider</w:t>
      </w:r>
      <w:r w:rsidR="00657D1B">
        <w:rPr>
          <w:rFonts w:ascii="Avenir Next" w:hAnsi="Avenir Next" w:cs="Arial"/>
          <w:color w:val="7B7B7B" w:themeColor="accent3" w:themeShade="BF"/>
          <w:sz w:val="22"/>
          <w:szCs w:val="22"/>
          <w:lang w:val="en-GB"/>
        </w:rPr>
        <w:t xml:space="preserve"> consulting</w:t>
      </w:r>
      <w:r>
        <w:rPr>
          <w:rFonts w:ascii="Avenir Next" w:hAnsi="Avenir Next" w:cs="Arial"/>
          <w:color w:val="7B7B7B" w:themeColor="accent3" w:themeShade="BF"/>
          <w:sz w:val="22"/>
          <w:szCs w:val="22"/>
          <w:lang w:val="en-GB"/>
        </w:rPr>
        <w:t xml:space="preserve"> a local practitioner</w:t>
      </w:r>
      <w:r w:rsidR="00657D1B">
        <w:rPr>
          <w:rFonts w:ascii="Avenir Next" w:hAnsi="Avenir Next" w:cs="Arial"/>
          <w:color w:val="7B7B7B" w:themeColor="accent3" w:themeShade="BF"/>
          <w:sz w:val="22"/>
          <w:szCs w:val="22"/>
          <w:lang w:val="en-GB"/>
        </w:rPr>
        <w:t xml:space="preserve"> for advice if you are practicing in a jurisdiction different from the one you are used to.</w:t>
      </w:r>
    </w:p>
    <w:p w14:paraId="674E8B82" w14:textId="4B4AF64F" w:rsidR="00183BCF" w:rsidRDefault="00183BCF" w:rsidP="00622C36">
      <w:pPr>
        <w:pStyle w:val="AODocTxt"/>
        <w:spacing w:before="0" w:line="240" w:lineRule="auto"/>
        <w:rPr>
          <w:rFonts w:ascii="Avenir Next" w:hAnsi="Avenir Next"/>
        </w:rPr>
      </w:pPr>
    </w:p>
    <w:p w14:paraId="15D806C0" w14:textId="77777777" w:rsidR="00183BCF" w:rsidRDefault="00183BCF"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5B38518" w14:textId="1DBEFC6F" w:rsidR="00EB69E2" w:rsidRDefault="00EB69E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establishes an order of payment of the creditors. It means that the claims of a dissenting party shall be paid in full and before </w:t>
      </w:r>
      <w:r w:rsidRPr="00EB69E2">
        <w:rPr>
          <w:rFonts w:ascii="Avenir Next" w:hAnsi="Avenir Next" w:cs="Arial"/>
          <w:color w:val="7B7B7B" w:themeColor="accent3" w:themeShade="BF"/>
          <w:sz w:val="22"/>
          <w:szCs w:val="22"/>
          <w:lang w:val="en-GB"/>
        </w:rPr>
        <w:t>any class of creditors junior to such dissenting class</w:t>
      </w:r>
      <w:r>
        <w:rPr>
          <w:rFonts w:ascii="Avenir Next" w:hAnsi="Avenir Next" w:cs="Arial"/>
          <w:color w:val="7B7B7B" w:themeColor="accent3" w:themeShade="BF"/>
          <w:sz w:val="22"/>
          <w:szCs w:val="22"/>
          <w:lang w:val="en-GB"/>
        </w:rPr>
        <w:t xml:space="preserve">. Also, the absolute priority rule sets that </w:t>
      </w:r>
      <w:r w:rsidR="00287C5D">
        <w:rPr>
          <w:rFonts w:ascii="Avenir Next" w:hAnsi="Avenir Next" w:cs="Arial"/>
          <w:color w:val="7B7B7B" w:themeColor="accent3" w:themeShade="BF"/>
          <w:sz w:val="22"/>
          <w:szCs w:val="22"/>
          <w:lang w:val="en-GB"/>
        </w:rPr>
        <w:t xml:space="preserve">creditors shall receive payment in full before </w:t>
      </w:r>
      <w:r w:rsidR="001F1CC7">
        <w:rPr>
          <w:rFonts w:ascii="Avenir Next" w:hAnsi="Avenir Next" w:cs="Arial"/>
          <w:color w:val="7B7B7B" w:themeColor="accent3" w:themeShade="BF"/>
          <w:sz w:val="22"/>
          <w:szCs w:val="22"/>
          <w:lang w:val="en-GB"/>
        </w:rPr>
        <w:t xml:space="preserve">a junior class of creditors and the </w:t>
      </w:r>
      <w:r w:rsidR="00287C5D">
        <w:rPr>
          <w:rFonts w:ascii="Avenir Next" w:hAnsi="Avenir Next" w:cs="Arial"/>
          <w:color w:val="7B7B7B" w:themeColor="accent3" w:themeShade="BF"/>
          <w:sz w:val="22"/>
          <w:szCs w:val="22"/>
          <w:lang w:val="en-GB"/>
        </w:rPr>
        <w:t>holders of equity can receive or retain assets under a plan of reorganization</w:t>
      </w:r>
      <w:r w:rsidR="001F1CC7">
        <w:rPr>
          <w:rFonts w:ascii="Avenir Next" w:hAnsi="Avenir Next" w:cs="Arial"/>
          <w:color w:val="7B7B7B" w:themeColor="accent3" w:themeShade="BF"/>
          <w:sz w:val="22"/>
          <w:szCs w:val="22"/>
          <w:lang w:val="en-GB"/>
        </w:rPr>
        <w:t xml:space="preserve"> only after the payment of such creditors</w:t>
      </w:r>
      <w:r w:rsidR="00287C5D">
        <w:rPr>
          <w:rFonts w:ascii="Avenir Next" w:hAnsi="Avenir Next" w:cs="Arial"/>
          <w:color w:val="7B7B7B" w:themeColor="accent3" w:themeShade="BF"/>
          <w:sz w:val="22"/>
          <w:szCs w:val="22"/>
          <w:lang w:val="en-GB"/>
        </w:rPr>
        <w:t xml:space="preserve"> </w:t>
      </w:r>
      <w:r w:rsidRPr="00EB69E2">
        <w:rPr>
          <w:rFonts w:ascii="Avenir Next" w:hAnsi="Avenir Next" w:cs="Arial"/>
          <w:color w:val="7B7B7B" w:themeColor="accent3" w:themeShade="BF"/>
          <w:sz w:val="22"/>
          <w:szCs w:val="22"/>
          <w:lang w:val="en-GB"/>
        </w:rPr>
        <w:t>(§ 1129(b)(2), Bankruptcy Code).</w:t>
      </w:r>
    </w:p>
    <w:p w14:paraId="49A300C8" w14:textId="0D61D259" w:rsidR="00287C5D" w:rsidRDefault="00287C5D" w:rsidP="00E41578">
      <w:pPr>
        <w:jc w:val="both"/>
        <w:rPr>
          <w:rFonts w:ascii="Avenir Next" w:hAnsi="Avenir Next" w:cs="Arial"/>
          <w:color w:val="7B7B7B" w:themeColor="accent3" w:themeShade="BF"/>
          <w:sz w:val="22"/>
          <w:szCs w:val="22"/>
          <w:lang w:val="en-GB"/>
        </w:rPr>
      </w:pPr>
    </w:p>
    <w:p w14:paraId="7CCF6410" w14:textId="5BB10393" w:rsidR="00287C5D" w:rsidRDefault="00287C5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Also, no creditor or class of creditors may receive less according to a plan of reorganization that it would receive under a liquidation based on chapter 7. Under chapter 7 the claims are not paid according to a plan of reorganization, but according to statutorily required priorities. On the other hand, it must be said that in a chapter 11 plan, a more senior creditor may agree to receive less than the absolute priority rule would require to pay a lower priority claimant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obtain their approval of the plan. </w:t>
      </w:r>
      <w:r w:rsidR="00DB1D5B" w:rsidRPr="00DB1D5B">
        <w:rPr>
          <w:rFonts w:ascii="Avenir Next" w:hAnsi="Avenir Next" w:cs="Arial"/>
          <w:color w:val="7B7B7B" w:themeColor="accent3" w:themeShade="BF"/>
          <w:sz w:val="22"/>
          <w:szCs w:val="22"/>
          <w:lang w:val="en-GB"/>
        </w:rPr>
        <w:t xml:space="preserve">In other words, the senior creditors may give up the absolute priority rule </w:t>
      </w:r>
      <w:proofErr w:type="gramStart"/>
      <w:r w:rsidR="00DB1D5B" w:rsidRPr="00DB1D5B">
        <w:rPr>
          <w:rFonts w:ascii="Avenir Next" w:hAnsi="Avenir Next" w:cs="Arial"/>
          <w:color w:val="7B7B7B" w:themeColor="accent3" w:themeShade="BF"/>
          <w:sz w:val="22"/>
          <w:szCs w:val="22"/>
          <w:lang w:val="en-GB"/>
        </w:rPr>
        <w:t>in order to</w:t>
      </w:r>
      <w:proofErr w:type="gramEnd"/>
      <w:r w:rsidR="00DB1D5B" w:rsidRPr="00DB1D5B">
        <w:rPr>
          <w:rFonts w:ascii="Avenir Next" w:hAnsi="Avenir Next" w:cs="Arial"/>
          <w:color w:val="7B7B7B" w:themeColor="accent3" w:themeShade="BF"/>
          <w:sz w:val="22"/>
          <w:szCs w:val="22"/>
          <w:lang w:val="en-GB"/>
        </w:rPr>
        <w:t xml:space="preserve"> get support for the approval of the plan of reorganization</w:t>
      </w:r>
      <w:r w:rsidR="00852C1C">
        <w:rPr>
          <w:rFonts w:ascii="Avenir Next" w:hAnsi="Avenir Next" w:cs="Arial"/>
          <w:color w:val="7B7B7B" w:themeColor="accent3" w:themeShade="BF"/>
          <w:sz w:val="22"/>
          <w:szCs w:val="22"/>
          <w:lang w:val="en-GB"/>
        </w:rPr>
        <w:t>. It must be clear that deviation form the absolute priority rule is only applicable in chapter 11 proceedings, but not in chapter 7 cases</w:t>
      </w:r>
      <w:r w:rsidR="00C54D58">
        <w:rPr>
          <w:rFonts w:ascii="Avenir Next" w:hAnsi="Avenir Next" w:cs="Arial"/>
          <w:color w:val="7B7B7B" w:themeColor="accent3" w:themeShade="BF"/>
          <w:sz w:val="22"/>
          <w:szCs w:val="22"/>
          <w:lang w:val="en-GB"/>
        </w:rPr>
        <w:t>, because in chapter 7 the statutory priorities must be followed.</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4C634829" w14:textId="504EA9B2" w:rsidR="00F074C7" w:rsidRDefault="00F074C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is a senior guarantee under the assets of the debtor. This guarantee is senior or equal to pre-petition lien on the debtor’s assets and its aims to secure post-petition financing.</w:t>
      </w:r>
    </w:p>
    <w:p w14:paraId="74D0DF70" w14:textId="0C18BA5C" w:rsidR="00F074C7" w:rsidRDefault="00F074C7" w:rsidP="00E41578">
      <w:pPr>
        <w:jc w:val="both"/>
        <w:rPr>
          <w:rFonts w:ascii="Avenir Next" w:hAnsi="Avenir Next" w:cs="Arial"/>
          <w:color w:val="7B7B7B" w:themeColor="accent3" w:themeShade="BF"/>
          <w:sz w:val="22"/>
          <w:szCs w:val="22"/>
          <w:lang w:val="en-GB"/>
        </w:rPr>
      </w:pPr>
    </w:p>
    <w:p w14:paraId="2BB219D7" w14:textId="1858F624" w:rsidR="00F074C7" w:rsidRDefault="00F074C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very common problem in a restructuring proceeding is the financing of the debtor. The problem is that the debtor is passing through financial difficulties (which is the very reason of its restructuring proceeding) and, thus, need “new money” to pay the fees of the proceeding (which are expensive) and to keep operating its business</w:t>
      </w:r>
      <w:r w:rsidR="007F7B63">
        <w:rPr>
          <w:rFonts w:ascii="Avenir Next" w:hAnsi="Avenir Next" w:cs="Arial"/>
          <w:color w:val="7B7B7B" w:themeColor="accent3" w:themeShade="BF"/>
          <w:sz w:val="22"/>
          <w:szCs w:val="22"/>
          <w:lang w:val="en-GB"/>
        </w:rPr>
        <w:t xml:space="preserve">. However, creditors, normally, don’t want to lend more money to the debtor, mainly because the financial distress of the debtor. Hence, to increase the chances of a successful reorganization, the Bankruptcy Code has rules to incentive lenders and third parties to extend credit to the debtor. This is the debtor in possession (DIP) financing.   </w:t>
      </w:r>
    </w:p>
    <w:p w14:paraId="27E78D2F" w14:textId="79201033" w:rsidR="00C1723B" w:rsidRDefault="00C1723B" w:rsidP="00E41578">
      <w:pPr>
        <w:jc w:val="both"/>
        <w:rPr>
          <w:rFonts w:ascii="Avenir Next" w:hAnsi="Avenir Next" w:cs="Arial"/>
          <w:color w:val="7B7B7B" w:themeColor="accent3" w:themeShade="BF"/>
          <w:sz w:val="22"/>
          <w:szCs w:val="22"/>
          <w:lang w:val="en-GB"/>
        </w:rPr>
      </w:pPr>
    </w:p>
    <w:p w14:paraId="5E1A6358" w14:textId="6699C0F1" w:rsidR="00C1723B" w:rsidRDefault="00C1723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C1723B">
        <w:rPr>
          <w:rFonts w:ascii="Avenir Next" w:hAnsi="Avenir Next" w:cs="Arial"/>
          <w:color w:val="7B7B7B" w:themeColor="accent3" w:themeShade="BF"/>
          <w:sz w:val="22"/>
          <w:szCs w:val="22"/>
          <w:lang w:val="en-GB"/>
        </w:rPr>
        <w:t>11 U.S. Code § 364</w:t>
      </w:r>
      <w:r>
        <w:rPr>
          <w:rFonts w:ascii="Avenir Next" w:hAnsi="Avenir Next" w:cs="Arial"/>
          <w:color w:val="7B7B7B" w:themeColor="accent3" w:themeShade="BF"/>
          <w:sz w:val="22"/>
          <w:szCs w:val="22"/>
          <w:lang w:val="en-GB"/>
        </w:rPr>
        <w:t xml:space="preserve"> provide rules on o</w:t>
      </w:r>
      <w:r w:rsidRPr="00C1723B">
        <w:rPr>
          <w:rFonts w:ascii="Avenir Next" w:hAnsi="Avenir Next" w:cs="Arial"/>
          <w:color w:val="7B7B7B" w:themeColor="accent3" w:themeShade="BF"/>
          <w:sz w:val="22"/>
          <w:szCs w:val="22"/>
          <w:lang w:val="en-GB"/>
        </w:rPr>
        <w:t>btaining credit</w:t>
      </w:r>
      <w:r>
        <w:rPr>
          <w:rFonts w:ascii="Avenir Next" w:hAnsi="Avenir Next" w:cs="Arial"/>
          <w:color w:val="7B7B7B" w:themeColor="accent3" w:themeShade="BF"/>
          <w:sz w:val="22"/>
          <w:szCs w:val="22"/>
          <w:lang w:val="en-GB"/>
        </w:rPr>
        <w:t xml:space="preserve"> of the debtor in possession. There are four alternatives that the estate may obtain credit</w:t>
      </w:r>
      <w:r w:rsidR="00C84BF5">
        <w:rPr>
          <w:rFonts w:ascii="Avenir Next" w:hAnsi="Avenir Next" w:cs="Arial"/>
          <w:color w:val="7B7B7B" w:themeColor="accent3" w:themeShade="BF"/>
          <w:sz w:val="22"/>
          <w:szCs w:val="22"/>
          <w:lang w:val="en-GB"/>
        </w:rPr>
        <w:t>. There is an order of escalating protections to the counterparty and, at the same time, an increase in the burden of the debtor demonstrate that such protections are necessary to obtain enough money.</w:t>
      </w:r>
    </w:p>
    <w:p w14:paraId="36EC4C07" w14:textId="222D8B9A" w:rsidR="00C84BF5" w:rsidRDefault="00C84BF5" w:rsidP="00E41578">
      <w:pPr>
        <w:jc w:val="both"/>
        <w:rPr>
          <w:rFonts w:ascii="Avenir Next" w:hAnsi="Avenir Next" w:cs="Arial"/>
          <w:color w:val="7B7B7B" w:themeColor="accent3" w:themeShade="BF"/>
          <w:sz w:val="22"/>
          <w:szCs w:val="22"/>
          <w:lang w:val="en-GB"/>
        </w:rPr>
      </w:pPr>
    </w:p>
    <w:p w14:paraId="48514B5E" w14:textId="5CB4BC53" w:rsidR="00C84BF5" w:rsidRDefault="00C84BF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last option (which applies only </w:t>
      </w:r>
      <w:r w:rsidR="00E9519F">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f the first three options were not successful) is the court may grant a priming lien – to secure the DIP financing – that is senior or equal to pre-petition lien on the assets of the debtor.</w:t>
      </w:r>
      <w:r w:rsidR="008A6325">
        <w:rPr>
          <w:rFonts w:ascii="Avenir Next" w:hAnsi="Avenir Next" w:cs="Arial"/>
          <w:color w:val="7B7B7B" w:themeColor="accent3" w:themeShade="BF"/>
          <w:sz w:val="22"/>
          <w:szCs w:val="22"/>
          <w:lang w:val="en-GB"/>
        </w:rPr>
        <w:t xml:space="preserve"> To be valid this priming lien, the debtor must demonstrate that the interest of the secured creditor being primed is adequately protected.</w:t>
      </w:r>
    </w:p>
    <w:p w14:paraId="0AFDBDC0" w14:textId="43652A05" w:rsidR="009E15E3" w:rsidRDefault="009E15E3" w:rsidP="00E41578">
      <w:pPr>
        <w:jc w:val="both"/>
        <w:rPr>
          <w:rFonts w:ascii="Avenir Next" w:hAnsi="Avenir Next" w:cs="Arial"/>
          <w:color w:val="7B7B7B" w:themeColor="accent3" w:themeShade="BF"/>
          <w:sz w:val="22"/>
          <w:szCs w:val="22"/>
          <w:lang w:val="en-GB"/>
        </w:rPr>
      </w:pPr>
    </w:p>
    <w:p w14:paraId="1B09CF4B" w14:textId="3B350026" w:rsidR="009E15E3" w:rsidRDefault="009E15E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it must be highlighted that a good faith DIP lender is protected from the effects of a reversal of a DIP financing order on appeal.</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2DA6A9D2" w14:textId="19E85EB9" w:rsidR="000D5765" w:rsidRDefault="000D576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Preference is a transfer of an assets of the debtor in a suspect period that must be returned to the estate if this transfer exceeds the value the recipient would have received in a liquidation proceeding if the transfer have not been made (</w:t>
      </w:r>
      <w:r w:rsidRPr="000D5765">
        <w:rPr>
          <w:rFonts w:ascii="Avenir Next" w:hAnsi="Avenir Next" w:cs="Arial"/>
          <w:color w:val="7B7B7B" w:themeColor="accent3" w:themeShade="BF"/>
          <w:sz w:val="22"/>
          <w:szCs w:val="22"/>
          <w:lang w:val="en-GB"/>
        </w:rPr>
        <w:t>11 U.S. Code § 547</w:t>
      </w:r>
      <w:r>
        <w:rPr>
          <w:rFonts w:ascii="Avenir Next" w:hAnsi="Avenir Next" w:cs="Arial"/>
          <w:color w:val="7B7B7B" w:themeColor="accent3" w:themeShade="BF"/>
          <w:sz w:val="22"/>
          <w:szCs w:val="22"/>
          <w:lang w:val="en-GB"/>
        </w:rPr>
        <w:t xml:space="preserve">). The range of suspect period depends on certain factors, like the fact the recipient is (or it is not) an insider of the debtor (like a manager of the debtor). </w:t>
      </w:r>
    </w:p>
    <w:p w14:paraId="02869E4D" w14:textId="0173A134" w:rsidR="000D5765" w:rsidRDefault="000D5765" w:rsidP="00E41578">
      <w:pPr>
        <w:jc w:val="both"/>
        <w:rPr>
          <w:rFonts w:ascii="Avenir Next" w:hAnsi="Avenir Next" w:cs="Arial"/>
          <w:color w:val="7B7B7B" w:themeColor="accent3" w:themeShade="BF"/>
          <w:sz w:val="22"/>
          <w:szCs w:val="22"/>
          <w:lang w:val="en-GB"/>
        </w:rPr>
      </w:pPr>
    </w:p>
    <w:p w14:paraId="4BFC0855" w14:textId="04D9C6AB" w:rsidR="000D5765" w:rsidRDefault="000D576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must be point out that there is no need to show any fault of either the recipient or the debtor in connection to the payment made. Hence, once a preference is </w:t>
      </w:r>
      <w:r w:rsidR="00683884">
        <w:rPr>
          <w:rFonts w:ascii="Avenir Next" w:hAnsi="Avenir Next" w:cs="Arial"/>
          <w:color w:val="7B7B7B" w:themeColor="accent3" w:themeShade="BF"/>
          <w:sz w:val="22"/>
          <w:szCs w:val="22"/>
          <w:lang w:val="en-GB"/>
        </w:rPr>
        <w:t>found</w:t>
      </w:r>
      <w:r>
        <w:rPr>
          <w:rFonts w:ascii="Avenir Next" w:hAnsi="Avenir Next" w:cs="Arial"/>
          <w:color w:val="7B7B7B" w:themeColor="accent3" w:themeShade="BF"/>
          <w:sz w:val="22"/>
          <w:szCs w:val="22"/>
          <w:lang w:val="en-GB"/>
        </w:rPr>
        <w:t xml:space="preserve"> out, the asset/payment is returned to the estate to equalize the treatment of the creditors</w:t>
      </w:r>
      <w:r w:rsidR="00683884">
        <w:rPr>
          <w:rFonts w:ascii="Avenir Next" w:hAnsi="Avenir Next" w:cs="Arial"/>
          <w:color w:val="7B7B7B" w:themeColor="accent3" w:themeShade="BF"/>
          <w:sz w:val="22"/>
          <w:szCs w:val="22"/>
          <w:lang w:val="en-GB"/>
        </w:rPr>
        <w:t>. The parties involved in that transaction suffer no penalty other than return the transfer to the estate.</w:t>
      </w:r>
      <w:r>
        <w:rPr>
          <w:rFonts w:ascii="Avenir Next" w:hAnsi="Avenir Next" w:cs="Arial"/>
          <w:color w:val="7B7B7B" w:themeColor="accent3" w:themeShade="BF"/>
          <w:sz w:val="22"/>
          <w:szCs w:val="22"/>
          <w:lang w:val="en-GB"/>
        </w:rPr>
        <w:t xml:space="preserve"> </w:t>
      </w:r>
    </w:p>
    <w:p w14:paraId="31A742CC" w14:textId="78BA5A2E" w:rsidR="00683884" w:rsidRDefault="00683884" w:rsidP="00E41578">
      <w:pPr>
        <w:jc w:val="both"/>
        <w:rPr>
          <w:rFonts w:ascii="Avenir Next" w:hAnsi="Avenir Next" w:cs="Arial"/>
          <w:color w:val="7B7B7B" w:themeColor="accent3" w:themeShade="BF"/>
          <w:sz w:val="22"/>
          <w:szCs w:val="22"/>
          <w:lang w:val="en-GB"/>
        </w:rPr>
      </w:pPr>
    </w:p>
    <w:p w14:paraId="2022A141" w14:textId="63C68A97" w:rsidR="00683884" w:rsidRDefault="0068388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w:t>
      </w:r>
      <w:r w:rsidRPr="00683884">
        <w:rPr>
          <w:rFonts w:ascii="Avenir Next" w:hAnsi="Avenir Next" w:cs="Arial"/>
          <w:color w:val="7B7B7B" w:themeColor="accent3" w:themeShade="BF"/>
          <w:sz w:val="22"/>
          <w:szCs w:val="22"/>
          <w:lang w:val="en-GB"/>
        </w:rPr>
        <w:t>of a preference claim that need to be proved</w:t>
      </w:r>
      <w:r>
        <w:rPr>
          <w:rFonts w:ascii="Avenir Next" w:hAnsi="Avenir Next" w:cs="Arial"/>
          <w:color w:val="7B7B7B" w:themeColor="accent3" w:themeShade="BF"/>
          <w:sz w:val="22"/>
          <w:szCs w:val="22"/>
          <w:lang w:val="en-GB"/>
        </w:rPr>
        <w:t xml:space="preserve"> are foreseen in (</w:t>
      </w:r>
      <w:r w:rsidRPr="000D5765">
        <w:rPr>
          <w:rFonts w:ascii="Avenir Next" w:hAnsi="Avenir Next" w:cs="Arial"/>
          <w:color w:val="7B7B7B" w:themeColor="accent3" w:themeShade="BF"/>
          <w:sz w:val="22"/>
          <w:szCs w:val="22"/>
          <w:lang w:val="en-GB"/>
        </w:rPr>
        <w:t>11 U.S. Code § 547</w:t>
      </w:r>
      <w:r>
        <w:rPr>
          <w:rFonts w:ascii="Avenir Next" w:hAnsi="Avenir Next" w:cs="Arial"/>
          <w:color w:val="7B7B7B" w:themeColor="accent3" w:themeShade="BF"/>
          <w:sz w:val="22"/>
          <w:szCs w:val="22"/>
          <w:lang w:val="en-GB"/>
        </w:rPr>
        <w:t xml:space="preserve"> (b)), which are a transfer of and interest of the debtor in property: </w:t>
      </w:r>
    </w:p>
    <w:p w14:paraId="52BFB412" w14:textId="1F6C01FD" w:rsidR="00847F80" w:rsidRDefault="00847F80" w:rsidP="00E41578">
      <w:pPr>
        <w:jc w:val="both"/>
        <w:rPr>
          <w:rFonts w:ascii="Avenir Next" w:hAnsi="Avenir Next" w:cs="Arial"/>
          <w:color w:val="7B7B7B" w:themeColor="accent3" w:themeShade="BF"/>
          <w:sz w:val="22"/>
          <w:szCs w:val="22"/>
          <w:lang w:val="en-GB"/>
        </w:rPr>
      </w:pPr>
    </w:p>
    <w:p w14:paraId="7DDE192D" w14:textId="0776B668" w:rsidR="00847F80" w:rsidRDefault="00847F80" w:rsidP="00847F8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847F80">
        <w:rPr>
          <w:rFonts w:ascii="Avenir Next" w:hAnsi="Avenir Next" w:cs="Arial"/>
          <w:color w:val="7B7B7B" w:themeColor="accent3" w:themeShade="BF"/>
          <w:sz w:val="22"/>
          <w:szCs w:val="22"/>
          <w:lang w:val="en-GB"/>
        </w:rPr>
        <w:t xml:space="preserve">(1) to or for the benefit of a </w:t>
      </w:r>
      <w:proofErr w:type="gramStart"/>
      <w:r w:rsidRPr="00847F80">
        <w:rPr>
          <w:rFonts w:ascii="Avenir Next" w:hAnsi="Avenir Next" w:cs="Arial"/>
          <w:color w:val="7B7B7B" w:themeColor="accent3" w:themeShade="BF"/>
          <w:sz w:val="22"/>
          <w:szCs w:val="22"/>
          <w:lang w:val="en-GB"/>
        </w:rPr>
        <w:t>creditor;</w:t>
      </w:r>
      <w:proofErr w:type="gramEnd"/>
    </w:p>
    <w:p w14:paraId="70406AED" w14:textId="77777777" w:rsidR="00847F80" w:rsidRPr="00847F80" w:rsidRDefault="00847F80" w:rsidP="00847F80">
      <w:pPr>
        <w:jc w:val="both"/>
        <w:rPr>
          <w:rFonts w:ascii="Avenir Next" w:hAnsi="Avenir Next" w:cs="Arial"/>
          <w:color w:val="7B7B7B" w:themeColor="accent3" w:themeShade="BF"/>
          <w:sz w:val="22"/>
          <w:szCs w:val="22"/>
          <w:lang w:val="en-GB"/>
        </w:rPr>
      </w:pPr>
    </w:p>
    <w:p w14:paraId="4C78D6EC" w14:textId="7252FA4F" w:rsid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 xml:space="preserve">(2) for or on account of an antecedent debt owed by the debtor before such transfer was </w:t>
      </w:r>
      <w:proofErr w:type="gramStart"/>
      <w:r w:rsidRPr="00847F80">
        <w:rPr>
          <w:rFonts w:ascii="Avenir Next" w:hAnsi="Avenir Next" w:cs="Arial"/>
          <w:color w:val="7B7B7B" w:themeColor="accent3" w:themeShade="BF"/>
          <w:sz w:val="22"/>
          <w:szCs w:val="22"/>
          <w:lang w:val="en-GB"/>
        </w:rPr>
        <w:t>made;</w:t>
      </w:r>
      <w:proofErr w:type="gramEnd"/>
    </w:p>
    <w:p w14:paraId="74599E69" w14:textId="77777777" w:rsidR="00847F80" w:rsidRPr="00847F80" w:rsidRDefault="00847F80" w:rsidP="00847F80">
      <w:pPr>
        <w:jc w:val="both"/>
        <w:rPr>
          <w:rFonts w:ascii="Avenir Next" w:hAnsi="Avenir Next" w:cs="Arial"/>
          <w:color w:val="7B7B7B" w:themeColor="accent3" w:themeShade="BF"/>
          <w:sz w:val="22"/>
          <w:szCs w:val="22"/>
          <w:lang w:val="en-GB"/>
        </w:rPr>
      </w:pPr>
    </w:p>
    <w:p w14:paraId="52D9F413" w14:textId="2D1F09C6" w:rsid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 xml:space="preserve">(3) made while the debtor was </w:t>
      </w:r>
      <w:proofErr w:type="gramStart"/>
      <w:r w:rsidRPr="00847F80">
        <w:rPr>
          <w:rFonts w:ascii="Avenir Next" w:hAnsi="Avenir Next" w:cs="Arial"/>
          <w:color w:val="7B7B7B" w:themeColor="accent3" w:themeShade="BF"/>
          <w:sz w:val="22"/>
          <w:szCs w:val="22"/>
          <w:lang w:val="en-GB"/>
        </w:rPr>
        <w:t>insolvent;</w:t>
      </w:r>
      <w:proofErr w:type="gramEnd"/>
    </w:p>
    <w:p w14:paraId="1AC6AC80" w14:textId="77777777" w:rsidR="00847F80" w:rsidRPr="00847F80" w:rsidRDefault="00847F80" w:rsidP="00847F80">
      <w:pPr>
        <w:jc w:val="both"/>
        <w:rPr>
          <w:rFonts w:ascii="Avenir Next" w:hAnsi="Avenir Next" w:cs="Arial"/>
          <w:color w:val="7B7B7B" w:themeColor="accent3" w:themeShade="BF"/>
          <w:sz w:val="22"/>
          <w:szCs w:val="22"/>
          <w:lang w:val="en-GB"/>
        </w:rPr>
      </w:pPr>
    </w:p>
    <w:p w14:paraId="0E755CAA" w14:textId="10689903" w:rsidR="00847F80" w:rsidRP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(4)</w:t>
      </w:r>
      <w:r>
        <w:rPr>
          <w:rFonts w:ascii="Avenir Next" w:hAnsi="Avenir Next" w:cs="Arial"/>
          <w:color w:val="7B7B7B" w:themeColor="accent3" w:themeShade="BF"/>
          <w:sz w:val="22"/>
          <w:szCs w:val="22"/>
          <w:lang w:val="en-GB"/>
        </w:rPr>
        <w:t xml:space="preserve"> </w:t>
      </w:r>
      <w:r w:rsidRPr="00847F80">
        <w:rPr>
          <w:rFonts w:ascii="Avenir Next" w:hAnsi="Avenir Next" w:cs="Arial"/>
          <w:color w:val="7B7B7B" w:themeColor="accent3" w:themeShade="BF"/>
          <w:sz w:val="22"/>
          <w:szCs w:val="22"/>
          <w:lang w:val="en-GB"/>
        </w:rPr>
        <w:t>made—</w:t>
      </w:r>
    </w:p>
    <w:p w14:paraId="47709E7A" w14:textId="77777777" w:rsidR="00847F80" w:rsidRP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(A) on or within 90 days before the date of the filing of the petition; or</w:t>
      </w:r>
    </w:p>
    <w:p w14:paraId="467C9B6A" w14:textId="52D46D7C" w:rsid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 xml:space="preserve">(B) between ninety days and one year before the date of the filing of the petition, if such creditor at the time of such transfer was an </w:t>
      </w:r>
      <w:proofErr w:type="gramStart"/>
      <w:r w:rsidRPr="00847F80">
        <w:rPr>
          <w:rFonts w:ascii="Avenir Next" w:hAnsi="Avenir Next" w:cs="Arial"/>
          <w:color w:val="7B7B7B" w:themeColor="accent3" w:themeShade="BF"/>
          <w:sz w:val="22"/>
          <w:szCs w:val="22"/>
          <w:lang w:val="en-GB"/>
        </w:rPr>
        <w:t>insider;</w:t>
      </w:r>
      <w:proofErr w:type="gramEnd"/>
      <w:r w:rsidRPr="00847F80">
        <w:rPr>
          <w:rFonts w:ascii="Avenir Next" w:hAnsi="Avenir Next" w:cs="Arial"/>
          <w:color w:val="7B7B7B" w:themeColor="accent3" w:themeShade="BF"/>
          <w:sz w:val="22"/>
          <w:szCs w:val="22"/>
          <w:lang w:val="en-GB"/>
        </w:rPr>
        <w:t xml:space="preserve"> and</w:t>
      </w:r>
    </w:p>
    <w:p w14:paraId="3A7916B9" w14:textId="77777777" w:rsidR="00847F80" w:rsidRPr="00847F80" w:rsidRDefault="00847F80" w:rsidP="00847F80">
      <w:pPr>
        <w:jc w:val="both"/>
        <w:rPr>
          <w:rFonts w:ascii="Avenir Next" w:hAnsi="Avenir Next" w:cs="Arial"/>
          <w:color w:val="7B7B7B" w:themeColor="accent3" w:themeShade="BF"/>
          <w:sz w:val="22"/>
          <w:szCs w:val="22"/>
          <w:lang w:val="en-GB"/>
        </w:rPr>
      </w:pPr>
    </w:p>
    <w:p w14:paraId="35631D55" w14:textId="35BF8BF2" w:rsidR="00847F80" w:rsidRP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(5)</w:t>
      </w:r>
      <w:r>
        <w:rPr>
          <w:rFonts w:ascii="Avenir Next" w:hAnsi="Avenir Next" w:cs="Arial"/>
          <w:color w:val="7B7B7B" w:themeColor="accent3" w:themeShade="BF"/>
          <w:sz w:val="22"/>
          <w:szCs w:val="22"/>
          <w:lang w:val="en-GB"/>
        </w:rPr>
        <w:t xml:space="preserve"> </w:t>
      </w:r>
      <w:r w:rsidRPr="00847F80">
        <w:rPr>
          <w:rFonts w:ascii="Avenir Next" w:hAnsi="Avenir Next" w:cs="Arial"/>
          <w:color w:val="7B7B7B" w:themeColor="accent3" w:themeShade="BF"/>
          <w:sz w:val="22"/>
          <w:szCs w:val="22"/>
          <w:lang w:val="en-GB"/>
        </w:rPr>
        <w:t>that enables such creditor to receive more than such creditor would receive if—</w:t>
      </w:r>
    </w:p>
    <w:p w14:paraId="366907F7" w14:textId="77777777" w:rsidR="00847F80" w:rsidRP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 xml:space="preserve">(A) the case </w:t>
      </w:r>
      <w:proofErr w:type="gramStart"/>
      <w:r w:rsidRPr="00847F80">
        <w:rPr>
          <w:rFonts w:ascii="Avenir Next" w:hAnsi="Avenir Next" w:cs="Arial"/>
          <w:color w:val="7B7B7B" w:themeColor="accent3" w:themeShade="BF"/>
          <w:sz w:val="22"/>
          <w:szCs w:val="22"/>
          <w:lang w:val="en-GB"/>
        </w:rPr>
        <w:t>were</w:t>
      </w:r>
      <w:proofErr w:type="gramEnd"/>
      <w:r w:rsidRPr="00847F80">
        <w:rPr>
          <w:rFonts w:ascii="Avenir Next" w:hAnsi="Avenir Next" w:cs="Arial"/>
          <w:color w:val="7B7B7B" w:themeColor="accent3" w:themeShade="BF"/>
          <w:sz w:val="22"/>
          <w:szCs w:val="22"/>
          <w:lang w:val="en-GB"/>
        </w:rPr>
        <w:t xml:space="preserve"> a case under chapter 7 of this title;</w:t>
      </w:r>
    </w:p>
    <w:p w14:paraId="76637082" w14:textId="77777777" w:rsidR="00847F80" w:rsidRP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(B) the transfer had not been made; and</w:t>
      </w:r>
    </w:p>
    <w:p w14:paraId="0D950C86" w14:textId="7CDA693A" w:rsidR="00847F80" w:rsidRDefault="00847F80" w:rsidP="00847F80">
      <w:pPr>
        <w:jc w:val="both"/>
        <w:rPr>
          <w:rFonts w:ascii="Avenir Next" w:hAnsi="Avenir Next" w:cs="Arial"/>
          <w:color w:val="7B7B7B" w:themeColor="accent3" w:themeShade="BF"/>
          <w:sz w:val="22"/>
          <w:szCs w:val="22"/>
          <w:lang w:val="en-GB"/>
        </w:rPr>
      </w:pPr>
      <w:r w:rsidRPr="00847F80">
        <w:rPr>
          <w:rFonts w:ascii="Avenir Next" w:hAnsi="Avenir Next" w:cs="Arial"/>
          <w:color w:val="7B7B7B" w:themeColor="accent3" w:themeShade="BF"/>
          <w:sz w:val="22"/>
          <w:szCs w:val="22"/>
          <w:lang w:val="en-GB"/>
        </w:rPr>
        <w:t>(C) such creditor received payment of such debt to the extent provided by the provisions of this title</w:t>
      </w:r>
      <w:r>
        <w:rPr>
          <w:rFonts w:ascii="Avenir Next" w:hAnsi="Avenir Next" w:cs="Arial"/>
          <w:color w:val="7B7B7B" w:themeColor="accent3" w:themeShade="BF"/>
          <w:sz w:val="22"/>
          <w:szCs w:val="22"/>
          <w:lang w:val="en-GB"/>
        </w:rPr>
        <w:t>”.</w:t>
      </w:r>
    </w:p>
    <w:p w14:paraId="44DFCC76" w14:textId="58B3AAA0" w:rsidR="00683884" w:rsidRDefault="00683884"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7B4DE3A" w14:textId="512A980F" w:rsidR="00E01803" w:rsidRDefault="009E13EE" w:rsidP="009E13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judicial system is set forth in article III of the US constitution, which explains which courts exists in the USA and what powers they have, including their jurisdiction. The bankruptcy courts, on the other hand, were created by federal legislation, specifically the 1978 Bankruptcy Code. Hence, federal courts are created by Article III of the US Constitution, whereas bankruptcy courts are created by federal law.</w:t>
      </w:r>
    </w:p>
    <w:p w14:paraId="6A186943" w14:textId="458B2C2C" w:rsidR="00783C2D" w:rsidRDefault="00783C2D" w:rsidP="009E13EE">
      <w:pPr>
        <w:jc w:val="both"/>
        <w:rPr>
          <w:rFonts w:ascii="Avenir Next" w:hAnsi="Avenir Next" w:cs="Arial"/>
          <w:color w:val="7B7B7B" w:themeColor="accent3" w:themeShade="BF"/>
          <w:sz w:val="22"/>
          <w:szCs w:val="22"/>
          <w:lang w:val="en-GB"/>
        </w:rPr>
      </w:pPr>
    </w:p>
    <w:p w14:paraId="072A5EFE" w14:textId="5698745C" w:rsidR="00783C2D" w:rsidRDefault="00783C2D" w:rsidP="009E13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Because the bankruptcy courts were not created by the Article III of the US Constitution, Bankruptcy Courts’ authority is different, according to the US Supreme Court.</w:t>
      </w:r>
      <w:r w:rsidR="000F0D1D">
        <w:rPr>
          <w:rFonts w:ascii="Avenir Next" w:hAnsi="Avenir Next" w:cs="Arial"/>
          <w:color w:val="7B7B7B" w:themeColor="accent3" w:themeShade="BF"/>
          <w:sz w:val="22"/>
          <w:szCs w:val="22"/>
          <w:lang w:val="en-GB"/>
        </w:rPr>
        <w:t xml:space="preserve"> Initially, the Bankruptcy Code </w:t>
      </w:r>
      <w:r w:rsidR="000F0D1D">
        <w:rPr>
          <w:rFonts w:ascii="Avenir Next" w:hAnsi="Avenir Next" w:cs="Arial"/>
          <w:color w:val="7B7B7B" w:themeColor="accent3" w:themeShade="BF"/>
          <w:sz w:val="22"/>
          <w:szCs w:val="22"/>
          <w:lang w:val="en-GB"/>
        </w:rPr>
        <w:lastRenderedPageBreak/>
        <w:t>create</w:t>
      </w:r>
      <w:r w:rsidR="009656D8">
        <w:rPr>
          <w:rFonts w:ascii="Avenir Next" w:hAnsi="Avenir Next" w:cs="Arial"/>
          <w:color w:val="7B7B7B" w:themeColor="accent3" w:themeShade="BF"/>
          <w:sz w:val="22"/>
          <w:szCs w:val="22"/>
          <w:lang w:val="en-GB"/>
        </w:rPr>
        <w:t>d</w:t>
      </w:r>
      <w:r w:rsidR="000F0D1D">
        <w:rPr>
          <w:rFonts w:ascii="Avenir Next" w:hAnsi="Avenir Next" w:cs="Arial"/>
          <w:color w:val="7B7B7B" w:themeColor="accent3" w:themeShade="BF"/>
          <w:sz w:val="22"/>
          <w:szCs w:val="22"/>
          <w:lang w:val="en-GB"/>
        </w:rPr>
        <w:t xml:space="preserve"> a distinction between “core” and “non-core” matters and permits bankruptcy judges to hear and decide only core proceedings.</w:t>
      </w:r>
      <w:r>
        <w:rPr>
          <w:rFonts w:ascii="Avenir Next" w:hAnsi="Avenir Next" w:cs="Arial"/>
          <w:color w:val="7B7B7B" w:themeColor="accent3" w:themeShade="BF"/>
          <w:sz w:val="22"/>
          <w:szCs w:val="22"/>
          <w:lang w:val="en-GB"/>
        </w:rPr>
        <w:t xml:space="preserve"> </w:t>
      </w:r>
      <w:r w:rsidR="000F0D1D">
        <w:rPr>
          <w:rFonts w:ascii="Avenir Next" w:hAnsi="Avenir Next" w:cs="Arial"/>
          <w:color w:val="7B7B7B" w:themeColor="accent3" w:themeShade="BF"/>
          <w:sz w:val="22"/>
          <w:szCs w:val="22"/>
          <w:lang w:val="en-GB"/>
        </w:rPr>
        <w:t>Besides, bankruptcy court may hear non-core proceedings if they are sufficiently related to a bankruptcy proceeding. However, in this situation, the bankruptcy court cannot make a final decision, instead, should send its conclusion to the district court to decide the matter.</w:t>
      </w:r>
      <w:r w:rsidR="00662190">
        <w:rPr>
          <w:rFonts w:ascii="Avenir Next" w:hAnsi="Avenir Next" w:cs="Arial"/>
          <w:color w:val="7B7B7B" w:themeColor="accent3" w:themeShade="BF"/>
          <w:sz w:val="22"/>
          <w:szCs w:val="22"/>
          <w:lang w:val="en-GB"/>
        </w:rPr>
        <w:t xml:space="preserve"> So, the bankruptcy court was created by adjuncts to the district court and had its jurisdiction for final decision just over the core-proceedings.</w:t>
      </w:r>
    </w:p>
    <w:p w14:paraId="49024034" w14:textId="7665ED0B" w:rsidR="00662190" w:rsidRDefault="00662190" w:rsidP="009E13EE">
      <w:pPr>
        <w:jc w:val="both"/>
        <w:rPr>
          <w:rFonts w:ascii="Avenir Next" w:hAnsi="Avenir Next" w:cs="Arial"/>
          <w:color w:val="7B7B7B" w:themeColor="accent3" w:themeShade="BF"/>
          <w:sz w:val="22"/>
          <w:szCs w:val="22"/>
          <w:lang w:val="en-GB"/>
        </w:rPr>
      </w:pPr>
    </w:p>
    <w:p w14:paraId="3F43BD40" w14:textId="73BFD2DC" w:rsidR="00662190" w:rsidRPr="00662190" w:rsidRDefault="00662190" w:rsidP="009E13E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This situation changed in 2011, when the US Supreme court decided the Stern v. Marshal Case, in which the Supreme Court ruled that </w:t>
      </w:r>
      <w:r w:rsidRPr="00662190">
        <w:rPr>
          <w:rFonts w:ascii="Avenir Next" w:hAnsi="Avenir Next" w:cs="Arial"/>
          <w:color w:val="7B7B7B" w:themeColor="accent3" w:themeShade="BF"/>
          <w:sz w:val="22"/>
          <w:szCs w:val="22"/>
        </w:rPr>
        <w:t>B</w:t>
      </w:r>
      <w:r>
        <w:rPr>
          <w:rFonts w:ascii="Avenir Next" w:hAnsi="Avenir Next" w:cs="Arial"/>
          <w:color w:val="7B7B7B" w:themeColor="accent3" w:themeShade="BF"/>
          <w:sz w:val="22"/>
          <w:szCs w:val="22"/>
        </w:rPr>
        <w:t>ankruptcy Courts did not have jurisdiction to make final decisions, even about core proceeding, because this was unconstitutional, because bankruptcy court cannot make final decisions about matters subject to Article III of the US Constitution.</w:t>
      </w:r>
      <w:r w:rsidR="00492845">
        <w:rPr>
          <w:rFonts w:ascii="Avenir Next" w:hAnsi="Avenir Next" w:cs="Arial"/>
          <w:color w:val="7B7B7B" w:themeColor="accent3" w:themeShade="BF"/>
          <w:sz w:val="22"/>
          <w:szCs w:val="22"/>
        </w:rPr>
        <w:t xml:space="preserve"> The US Supreme Court decided that (</w:t>
      </w:r>
      <w:proofErr w:type="spellStart"/>
      <w:r w:rsidR="00492845">
        <w:rPr>
          <w:rFonts w:ascii="Avenir Next" w:hAnsi="Avenir Next" w:cs="Arial"/>
          <w:color w:val="7B7B7B" w:themeColor="accent3" w:themeShade="BF"/>
          <w:sz w:val="22"/>
          <w:szCs w:val="22"/>
        </w:rPr>
        <w:t>i</w:t>
      </w:r>
      <w:proofErr w:type="spellEnd"/>
      <w:r w:rsidR="00492845">
        <w:rPr>
          <w:rFonts w:ascii="Avenir Next" w:hAnsi="Avenir Next" w:cs="Arial"/>
          <w:color w:val="7B7B7B" w:themeColor="accent3" w:themeShade="BF"/>
          <w:sz w:val="22"/>
          <w:szCs w:val="22"/>
        </w:rPr>
        <w:t xml:space="preserve">) bankruptcy court may analyze core and non-core proceedings, but its decision must be revied by the district court related to that bankruptcy court and (ii) bankruptcy court may have authority to decided about those proceedings if </w:t>
      </w:r>
      <w:proofErr w:type="gramStart"/>
      <w:r w:rsidR="00492845">
        <w:rPr>
          <w:rFonts w:ascii="Avenir Next" w:hAnsi="Avenir Next" w:cs="Arial"/>
          <w:color w:val="7B7B7B" w:themeColor="accent3" w:themeShade="BF"/>
          <w:sz w:val="22"/>
          <w:szCs w:val="22"/>
        </w:rPr>
        <w:t>parties</w:t>
      </w:r>
      <w:proofErr w:type="gramEnd"/>
      <w:r w:rsidR="00492845">
        <w:rPr>
          <w:rFonts w:ascii="Avenir Next" w:hAnsi="Avenir Next" w:cs="Arial"/>
          <w:color w:val="7B7B7B" w:themeColor="accent3" w:themeShade="BF"/>
          <w:sz w:val="22"/>
          <w:szCs w:val="22"/>
        </w:rPr>
        <w:t xml:space="preserve"> consent to it. Besides, bankruptcy court has jurisdiction to adjudicate a challenge to a petition.</w:t>
      </w:r>
    </w:p>
    <w:p w14:paraId="2454FFC0" w14:textId="77777777" w:rsidR="00662190" w:rsidRDefault="00662190" w:rsidP="009E13EE">
      <w:pPr>
        <w:jc w:val="both"/>
        <w:rPr>
          <w:rFonts w:ascii="Avenir Next" w:hAnsi="Avenir Next" w:cs="Arial"/>
          <w:color w:val="7B7B7B" w:themeColor="accent3" w:themeShade="BF"/>
          <w:sz w:val="22"/>
          <w:szCs w:val="22"/>
          <w:lang w:val="en-GB"/>
        </w:rPr>
      </w:pPr>
    </w:p>
    <w:p w14:paraId="4365D48D" w14:textId="7E2F7BC5" w:rsidR="0007705E" w:rsidRDefault="0007705E" w:rsidP="009E13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appeals from the bankruptcy court decisions are decided by the district court for the district in which they sit. However, in some circuits, the appeals are decided by a Bankruptcy Appellate Panel (BAP). In this last case, a party has the option to request the appeal should be decided by the district court. After that there is a further appeal of right to the circuit court of </w:t>
      </w:r>
      <w:r w:rsidR="00841635">
        <w:rPr>
          <w:rFonts w:ascii="Avenir Next" w:hAnsi="Avenir Next" w:cs="Arial"/>
          <w:color w:val="7B7B7B" w:themeColor="accent3" w:themeShade="BF"/>
          <w:sz w:val="22"/>
          <w:szCs w:val="22"/>
          <w:lang w:val="en-GB"/>
        </w:rPr>
        <w:t>Appels</w:t>
      </w:r>
      <w:r>
        <w:rPr>
          <w:rFonts w:ascii="Avenir Next" w:hAnsi="Avenir Next" w:cs="Arial"/>
          <w:color w:val="7B7B7B" w:themeColor="accent3" w:themeShade="BF"/>
          <w:sz w:val="22"/>
          <w:szCs w:val="22"/>
          <w:lang w:val="en-GB"/>
        </w:rPr>
        <w:t>. After that, in rare occasions, there might be another appeal to the Supreme Court</w:t>
      </w:r>
      <w:r w:rsidR="009656D8">
        <w:rPr>
          <w:rFonts w:ascii="Avenir Next" w:hAnsi="Avenir Next" w:cs="Arial"/>
          <w:color w:val="7B7B7B" w:themeColor="accent3" w:themeShade="BF"/>
          <w:sz w:val="22"/>
          <w:szCs w:val="22"/>
          <w:lang w:val="en-GB"/>
        </w:rPr>
        <w:t xml:space="preserve"> of the USA</w:t>
      </w:r>
      <w:r>
        <w:rPr>
          <w:rFonts w:ascii="Avenir Next" w:hAnsi="Avenir Next" w:cs="Arial"/>
          <w:color w:val="7B7B7B" w:themeColor="accent3" w:themeShade="BF"/>
          <w:sz w:val="22"/>
          <w:szCs w:val="22"/>
          <w:lang w:val="en-GB"/>
        </w:rPr>
        <w:t xml:space="preserve">.   </w:t>
      </w:r>
    </w:p>
    <w:p w14:paraId="0F61FE51" w14:textId="0F34F6C2" w:rsidR="009E13EE" w:rsidRDefault="009E13EE" w:rsidP="009E13EE">
      <w:pPr>
        <w:jc w:val="both"/>
        <w:rPr>
          <w:rFonts w:ascii="Avenir Next" w:hAnsi="Avenir Next" w:cs="Arial"/>
          <w:color w:val="7B7B7B" w:themeColor="accent3" w:themeShade="BF"/>
          <w:sz w:val="22"/>
          <w:szCs w:val="22"/>
          <w:lang w:val="en-GB"/>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 xml:space="preserve">What provisions of the Bankruptcy Code </w:t>
      </w:r>
      <w:r w:rsidRPr="0029482C">
        <w:rPr>
          <w:rFonts w:ascii="Avenir Next" w:hAnsi="Avenir Next"/>
        </w:rPr>
        <w:t>automatically apply to the debtor’s property within the territorial jurisdiction of the United States upon recognition of a foreign main proceeding? What relief may be granted on a discretionary basis for either foreign main or non-main proceedings</w:t>
      </w:r>
      <w:r w:rsidRPr="00E01803">
        <w:rPr>
          <w:rFonts w:ascii="Avenir Next" w:hAnsi="Avenir Next"/>
        </w:rPr>
        <w:t>?</w:t>
      </w:r>
    </w:p>
    <w:p w14:paraId="1E59F471" w14:textId="77777777" w:rsidR="00F84270" w:rsidRPr="00E01803" w:rsidRDefault="00F84270" w:rsidP="000778B1">
      <w:pPr>
        <w:pStyle w:val="AODocTxt"/>
        <w:spacing w:before="0" w:line="240" w:lineRule="auto"/>
        <w:rPr>
          <w:rFonts w:ascii="Avenir Next" w:hAnsi="Avenir Next"/>
        </w:rPr>
      </w:pPr>
    </w:p>
    <w:p w14:paraId="524268DD" w14:textId="77777777" w:rsidR="00556A78" w:rsidRDefault="00556A78" w:rsidP="00E41578">
      <w:pPr>
        <w:jc w:val="both"/>
        <w:rPr>
          <w:rFonts w:ascii="Avenir Next" w:hAnsi="Avenir Next" w:cs="Arial"/>
          <w:color w:val="7B7B7B" w:themeColor="accent3" w:themeShade="BF"/>
          <w:sz w:val="22"/>
          <w:szCs w:val="22"/>
          <w:lang w:val="en-GB"/>
        </w:rPr>
      </w:pPr>
    </w:p>
    <w:p w14:paraId="035513BB" w14:textId="0FFADC7E" w:rsidR="00556A78" w:rsidRPr="00556A78" w:rsidRDefault="00556A78"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According to the </w:t>
      </w:r>
      <w:r w:rsidRPr="00556A78">
        <w:rPr>
          <w:rFonts w:ascii="Avenir Next" w:hAnsi="Avenir Next" w:cs="Arial"/>
          <w:color w:val="7B7B7B" w:themeColor="accent3" w:themeShade="BF"/>
          <w:sz w:val="22"/>
          <w:szCs w:val="22"/>
          <w:lang w:val="en-GB"/>
        </w:rPr>
        <w:t>11 U.S. Code § 1520</w:t>
      </w:r>
      <w:r>
        <w:rPr>
          <w:rFonts w:ascii="Avenir Next" w:hAnsi="Avenir Next" w:cs="Arial"/>
          <w:color w:val="7B7B7B" w:themeColor="accent3" w:themeShade="BF"/>
          <w:sz w:val="22"/>
          <w:szCs w:val="22"/>
          <w:lang w:val="en-GB"/>
        </w:rPr>
        <w:t xml:space="preserve">, the </w:t>
      </w:r>
      <w:r w:rsidR="003650A5">
        <w:rPr>
          <w:rFonts w:ascii="Avenir Next" w:hAnsi="Avenir Next" w:cs="Arial"/>
          <w:color w:val="7B7B7B" w:themeColor="accent3" w:themeShade="BF"/>
          <w:sz w:val="22"/>
          <w:szCs w:val="22"/>
          <w:lang w:val="en-GB"/>
        </w:rPr>
        <w:t xml:space="preserve">automatic </w:t>
      </w:r>
      <w:r>
        <w:rPr>
          <w:rFonts w:ascii="Avenir Next" w:hAnsi="Avenir Next" w:cs="Arial"/>
          <w:color w:val="7B7B7B" w:themeColor="accent3" w:themeShade="BF"/>
          <w:sz w:val="22"/>
          <w:szCs w:val="22"/>
          <w:lang w:val="en-GB"/>
        </w:rPr>
        <w:t>e</w:t>
      </w:r>
      <w:r w:rsidRPr="00556A78">
        <w:rPr>
          <w:rFonts w:ascii="Avenir Next" w:hAnsi="Avenir Next" w:cs="Arial"/>
          <w:color w:val="7B7B7B" w:themeColor="accent3" w:themeShade="BF"/>
          <w:sz w:val="22"/>
          <w:szCs w:val="22"/>
          <w:lang w:val="en-GB"/>
        </w:rPr>
        <w:t>ffects of recognition of a foreign main proceeding</w:t>
      </w:r>
      <w:r>
        <w:rPr>
          <w:rFonts w:ascii="Avenir Next" w:hAnsi="Avenir Next" w:cs="Arial"/>
          <w:color w:val="7B7B7B" w:themeColor="accent3" w:themeShade="BF"/>
          <w:sz w:val="22"/>
          <w:szCs w:val="22"/>
          <w:lang w:val="en-GB"/>
        </w:rPr>
        <w:t xml:space="preserve"> are:</w:t>
      </w:r>
    </w:p>
    <w:p w14:paraId="1E6A2B3C" w14:textId="77777777" w:rsidR="00556A78" w:rsidRPr="00556A78" w:rsidRDefault="00556A78" w:rsidP="00E41578">
      <w:pPr>
        <w:jc w:val="both"/>
        <w:rPr>
          <w:rFonts w:ascii="Avenir Next" w:hAnsi="Avenir Next" w:cs="Arial"/>
          <w:color w:val="7B7B7B" w:themeColor="accent3" w:themeShade="BF"/>
          <w:sz w:val="22"/>
          <w:szCs w:val="22"/>
        </w:rPr>
      </w:pPr>
    </w:p>
    <w:p w14:paraId="4085DA68" w14:textId="2AF9091C" w:rsidR="00556A78" w:rsidRPr="00556A78" w:rsidRDefault="00556A78" w:rsidP="00556A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w:t>
      </w:r>
      <w:r w:rsidRPr="00556A78">
        <w:rPr>
          <w:rFonts w:ascii="Avenir Next" w:hAnsi="Avenir Next" w:cs="Arial"/>
          <w:color w:val="7B7B7B" w:themeColor="accent3" w:themeShade="BF"/>
          <w:sz w:val="22"/>
          <w:szCs w:val="22"/>
        </w:rPr>
        <w:t>(1)</w:t>
      </w:r>
      <w:r w:rsidR="0029482C">
        <w:rPr>
          <w:rFonts w:ascii="Avenir Next" w:hAnsi="Avenir Next" w:cs="Arial"/>
          <w:color w:val="7B7B7B" w:themeColor="accent3" w:themeShade="BF"/>
          <w:sz w:val="22"/>
          <w:szCs w:val="22"/>
        </w:rPr>
        <w:t xml:space="preserve"> </w:t>
      </w:r>
      <w:r w:rsidRPr="00556A78">
        <w:rPr>
          <w:rFonts w:ascii="Avenir Next" w:hAnsi="Avenir Next" w:cs="Arial"/>
          <w:color w:val="7B7B7B" w:themeColor="accent3" w:themeShade="BF"/>
          <w:sz w:val="22"/>
          <w:szCs w:val="22"/>
        </w:rPr>
        <w:t>sections 361 and 362 apply with respect to the debtor and the property of the debtor that is within the territorial jurisdiction of the United States;</w:t>
      </w:r>
      <w:r w:rsidR="00635EA6">
        <w:rPr>
          <w:rFonts w:ascii="Avenir Next" w:hAnsi="Avenir Next" w:cs="Arial"/>
          <w:color w:val="7B7B7B" w:themeColor="accent3" w:themeShade="BF"/>
          <w:sz w:val="22"/>
          <w:szCs w:val="22"/>
        </w:rPr>
        <w:t xml:space="preserve"> [automatic stay]</w:t>
      </w:r>
    </w:p>
    <w:p w14:paraId="6A1893C2" w14:textId="2EDF366A" w:rsidR="00556A78" w:rsidRPr="00556A78" w:rsidRDefault="00556A78" w:rsidP="00556A78">
      <w:pPr>
        <w:jc w:val="both"/>
        <w:rPr>
          <w:rFonts w:ascii="Avenir Next" w:hAnsi="Avenir Next" w:cs="Arial"/>
          <w:color w:val="7B7B7B" w:themeColor="accent3" w:themeShade="BF"/>
          <w:sz w:val="22"/>
          <w:szCs w:val="22"/>
        </w:rPr>
      </w:pPr>
      <w:r w:rsidRPr="00556A78">
        <w:rPr>
          <w:rFonts w:ascii="Avenir Next" w:hAnsi="Avenir Next" w:cs="Arial"/>
          <w:color w:val="7B7B7B" w:themeColor="accent3" w:themeShade="BF"/>
          <w:sz w:val="22"/>
          <w:szCs w:val="22"/>
        </w:rPr>
        <w:t>(2)</w:t>
      </w:r>
      <w:r w:rsidR="0029482C">
        <w:rPr>
          <w:rFonts w:ascii="Avenir Next" w:hAnsi="Avenir Next" w:cs="Arial"/>
          <w:color w:val="7B7B7B" w:themeColor="accent3" w:themeShade="BF"/>
          <w:sz w:val="22"/>
          <w:szCs w:val="22"/>
        </w:rPr>
        <w:t xml:space="preserve"> </w:t>
      </w:r>
      <w:r w:rsidRPr="00556A78">
        <w:rPr>
          <w:rFonts w:ascii="Avenir Next" w:hAnsi="Avenir Next" w:cs="Arial"/>
          <w:color w:val="7B7B7B" w:themeColor="accent3" w:themeShade="BF"/>
          <w:sz w:val="22"/>
          <w:szCs w:val="22"/>
        </w:rPr>
        <w:t>sections 363, 549, and 552 apply to a transfer of an interest of the debtor in property that is within the territorial jurisdiction of the United States to the same extent that the sections would apply to property of an estate;</w:t>
      </w:r>
      <w:r w:rsidR="00635EA6">
        <w:rPr>
          <w:rFonts w:ascii="Avenir Next" w:hAnsi="Avenir Next" w:cs="Arial"/>
          <w:color w:val="7B7B7B" w:themeColor="accent3" w:themeShade="BF"/>
          <w:sz w:val="22"/>
          <w:szCs w:val="22"/>
        </w:rPr>
        <w:t xml:space="preserve"> [operation of the debtor’s business in the ordinary course by the foreign representative]</w:t>
      </w:r>
    </w:p>
    <w:p w14:paraId="4BE95A5C" w14:textId="44373FAC" w:rsidR="00556A78" w:rsidRPr="00556A78" w:rsidRDefault="00556A78" w:rsidP="00556A78">
      <w:pPr>
        <w:jc w:val="both"/>
        <w:rPr>
          <w:rFonts w:ascii="Avenir Next" w:hAnsi="Avenir Next" w:cs="Arial"/>
          <w:color w:val="7B7B7B" w:themeColor="accent3" w:themeShade="BF"/>
          <w:sz w:val="22"/>
          <w:szCs w:val="22"/>
        </w:rPr>
      </w:pPr>
      <w:r w:rsidRPr="00556A78">
        <w:rPr>
          <w:rFonts w:ascii="Avenir Next" w:hAnsi="Avenir Next" w:cs="Arial"/>
          <w:color w:val="7B7B7B" w:themeColor="accent3" w:themeShade="BF"/>
          <w:sz w:val="22"/>
          <w:szCs w:val="22"/>
        </w:rPr>
        <w:t>(3)</w:t>
      </w:r>
      <w:r w:rsidR="0029482C">
        <w:rPr>
          <w:rFonts w:ascii="Avenir Next" w:hAnsi="Avenir Next" w:cs="Arial"/>
          <w:color w:val="7B7B7B" w:themeColor="accent3" w:themeShade="BF"/>
          <w:sz w:val="22"/>
          <w:szCs w:val="22"/>
        </w:rPr>
        <w:t xml:space="preserve"> </w:t>
      </w:r>
      <w:r w:rsidRPr="00556A78">
        <w:rPr>
          <w:rFonts w:ascii="Avenir Next" w:hAnsi="Avenir Next" w:cs="Arial"/>
          <w:color w:val="7B7B7B" w:themeColor="accent3" w:themeShade="BF"/>
          <w:sz w:val="22"/>
          <w:szCs w:val="22"/>
        </w:rPr>
        <w:t xml:space="preserve">unless the court orders otherwise, the foreign representative may operate the debtor’s business and may exercise the rights and powers of a trustee under and to the extent provided by sections 363 and 552; </w:t>
      </w:r>
      <w:r w:rsidR="00635EA6">
        <w:rPr>
          <w:rFonts w:ascii="Avenir Next" w:hAnsi="Avenir Next" w:cs="Arial"/>
          <w:color w:val="7B7B7B" w:themeColor="accent3" w:themeShade="BF"/>
          <w:sz w:val="22"/>
          <w:szCs w:val="22"/>
        </w:rPr>
        <w:t xml:space="preserve">[sale transfer or use of property outside the ordinary course] </w:t>
      </w:r>
      <w:r w:rsidRPr="00556A78">
        <w:rPr>
          <w:rFonts w:ascii="Avenir Next" w:hAnsi="Avenir Next" w:cs="Arial"/>
          <w:color w:val="7B7B7B" w:themeColor="accent3" w:themeShade="BF"/>
          <w:sz w:val="22"/>
          <w:szCs w:val="22"/>
        </w:rPr>
        <w:t>and</w:t>
      </w:r>
    </w:p>
    <w:p w14:paraId="523C4FF1" w14:textId="1692880C" w:rsidR="00556A78" w:rsidRDefault="00556A78" w:rsidP="00556A78">
      <w:pPr>
        <w:jc w:val="both"/>
        <w:rPr>
          <w:rFonts w:ascii="Avenir Next" w:hAnsi="Avenir Next" w:cs="Arial"/>
          <w:color w:val="7B7B7B" w:themeColor="accent3" w:themeShade="BF"/>
          <w:sz w:val="22"/>
          <w:szCs w:val="22"/>
        </w:rPr>
      </w:pPr>
      <w:r w:rsidRPr="00556A78">
        <w:rPr>
          <w:rFonts w:ascii="Avenir Next" w:hAnsi="Avenir Next" w:cs="Arial"/>
          <w:color w:val="7B7B7B" w:themeColor="accent3" w:themeShade="BF"/>
          <w:sz w:val="22"/>
          <w:szCs w:val="22"/>
        </w:rPr>
        <w:t>(4)</w:t>
      </w:r>
      <w:r w:rsidR="0029482C">
        <w:rPr>
          <w:rFonts w:ascii="Avenir Next" w:hAnsi="Avenir Next" w:cs="Arial"/>
          <w:color w:val="7B7B7B" w:themeColor="accent3" w:themeShade="BF"/>
          <w:sz w:val="22"/>
          <w:szCs w:val="22"/>
        </w:rPr>
        <w:t xml:space="preserve"> </w:t>
      </w:r>
      <w:r w:rsidRPr="00556A78">
        <w:rPr>
          <w:rFonts w:ascii="Avenir Next" w:hAnsi="Avenir Next" w:cs="Arial"/>
          <w:color w:val="7B7B7B" w:themeColor="accent3" w:themeShade="BF"/>
          <w:sz w:val="22"/>
          <w:szCs w:val="22"/>
        </w:rPr>
        <w:t>section 552 applies to property of the debtor that is within the territorial jurisdiction of the United States</w:t>
      </w:r>
      <w:r w:rsidR="00635EA6">
        <w:rPr>
          <w:rFonts w:ascii="Avenir Next" w:hAnsi="Avenir Next" w:cs="Arial"/>
          <w:color w:val="7B7B7B" w:themeColor="accent3" w:themeShade="BF"/>
          <w:sz w:val="22"/>
          <w:szCs w:val="22"/>
        </w:rPr>
        <w:t>” [avoidance of post-petition transfers and post-petition perfection of security interests]</w:t>
      </w:r>
      <w:r w:rsidRPr="00556A78">
        <w:rPr>
          <w:rFonts w:ascii="Avenir Next" w:hAnsi="Avenir Next" w:cs="Arial"/>
          <w:color w:val="7B7B7B" w:themeColor="accent3" w:themeShade="BF"/>
          <w:sz w:val="22"/>
          <w:szCs w:val="22"/>
        </w:rPr>
        <w:t>.</w:t>
      </w:r>
    </w:p>
    <w:p w14:paraId="36540D6B" w14:textId="4C1AC52F" w:rsidR="00556A78" w:rsidRDefault="00556A78" w:rsidP="00556A78">
      <w:pPr>
        <w:jc w:val="both"/>
        <w:rPr>
          <w:rFonts w:ascii="Avenir Next" w:hAnsi="Avenir Next" w:cs="Arial"/>
          <w:color w:val="7B7B7B" w:themeColor="accent3" w:themeShade="BF"/>
          <w:sz w:val="22"/>
          <w:szCs w:val="22"/>
        </w:rPr>
      </w:pPr>
    </w:p>
    <w:p w14:paraId="1EC9BEAB" w14:textId="69E573A0" w:rsidR="00556A78" w:rsidRDefault="00635EA6" w:rsidP="00635EA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However, these effects don’t affect (</w:t>
      </w:r>
      <w:proofErr w:type="spellStart"/>
      <w:r>
        <w:rPr>
          <w:rFonts w:ascii="Avenir Next" w:hAnsi="Avenir Next" w:cs="Arial"/>
          <w:color w:val="7B7B7B" w:themeColor="accent3" w:themeShade="BF"/>
          <w:sz w:val="22"/>
          <w:szCs w:val="22"/>
        </w:rPr>
        <w:t>i</w:t>
      </w:r>
      <w:proofErr w:type="spellEnd"/>
      <w:r>
        <w:rPr>
          <w:rFonts w:ascii="Avenir Next" w:hAnsi="Avenir Next" w:cs="Arial"/>
          <w:color w:val="7B7B7B" w:themeColor="accent3" w:themeShade="BF"/>
          <w:sz w:val="22"/>
          <w:szCs w:val="22"/>
        </w:rPr>
        <w:t xml:space="preserve">) </w:t>
      </w:r>
      <w:r w:rsidR="00556A78" w:rsidRPr="00556A78">
        <w:rPr>
          <w:rFonts w:ascii="Avenir Next" w:hAnsi="Avenir Next" w:cs="Arial"/>
          <w:color w:val="7B7B7B" w:themeColor="accent3" w:themeShade="BF"/>
          <w:sz w:val="22"/>
          <w:szCs w:val="22"/>
        </w:rPr>
        <w:t>the right to commence an individual action or proceeding in a foreign country to the extent necessary to preserve a claim against the debtor</w:t>
      </w:r>
      <w:r>
        <w:rPr>
          <w:rFonts w:ascii="Avenir Next" w:hAnsi="Avenir Next" w:cs="Arial"/>
          <w:color w:val="7B7B7B" w:themeColor="accent3" w:themeShade="BF"/>
          <w:sz w:val="22"/>
          <w:szCs w:val="22"/>
        </w:rPr>
        <w:t xml:space="preserve"> and (ii) </w:t>
      </w:r>
      <w:r w:rsidR="00556A78" w:rsidRPr="00556A78">
        <w:rPr>
          <w:rFonts w:ascii="Avenir Next" w:hAnsi="Avenir Next" w:cs="Arial"/>
          <w:color w:val="7B7B7B" w:themeColor="accent3" w:themeShade="BF"/>
          <w:sz w:val="22"/>
          <w:szCs w:val="22"/>
        </w:rPr>
        <w:t>the right of a foreign representative or an entity to file a petition commencing a case under this title or the right of any party to file claims or take other proper actions in such a case.</w:t>
      </w:r>
    </w:p>
    <w:p w14:paraId="2291B784" w14:textId="4B39F621" w:rsidR="003650A5" w:rsidRDefault="003650A5" w:rsidP="00635EA6">
      <w:pPr>
        <w:jc w:val="both"/>
        <w:rPr>
          <w:rFonts w:ascii="Avenir Next" w:hAnsi="Avenir Next" w:cs="Arial"/>
          <w:color w:val="7B7B7B" w:themeColor="accent3" w:themeShade="BF"/>
          <w:sz w:val="22"/>
          <w:szCs w:val="22"/>
        </w:rPr>
      </w:pPr>
    </w:p>
    <w:p w14:paraId="09A42C27" w14:textId="76F08DCB" w:rsidR="003650A5" w:rsidRDefault="003650A5" w:rsidP="00635E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lastRenderedPageBreak/>
        <w:t>Besides, following recognition</w:t>
      </w:r>
      <w:r w:rsidR="0029482C">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as either foreign main or foreign non-main proceeding, there are some reliefs that also may be granted on a discretionary basis, according to </w:t>
      </w:r>
      <w:r w:rsidRPr="00556A78">
        <w:rPr>
          <w:rFonts w:ascii="Avenir Next" w:hAnsi="Avenir Next" w:cs="Arial"/>
          <w:color w:val="7B7B7B" w:themeColor="accent3" w:themeShade="BF"/>
          <w:sz w:val="22"/>
          <w:szCs w:val="22"/>
          <w:lang w:val="en-GB"/>
        </w:rPr>
        <w:t>11 U.S. Code § 152</w:t>
      </w:r>
      <w:r>
        <w:rPr>
          <w:rFonts w:ascii="Avenir Next" w:hAnsi="Avenir Next" w:cs="Arial"/>
          <w:color w:val="7B7B7B" w:themeColor="accent3" w:themeShade="BF"/>
          <w:sz w:val="22"/>
          <w:szCs w:val="22"/>
          <w:lang w:val="en-GB"/>
        </w:rPr>
        <w:t>1, such as:</w:t>
      </w:r>
    </w:p>
    <w:p w14:paraId="4B2D29D7" w14:textId="51929BCF" w:rsidR="003650A5" w:rsidRDefault="003650A5" w:rsidP="003650A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proofErr w:type="spellStart"/>
      <w:r>
        <w:rPr>
          <w:rFonts w:ascii="Avenir Next" w:hAnsi="Avenir Next" w:cs="Arial"/>
          <w:color w:val="7B7B7B" w:themeColor="accent3" w:themeShade="BF"/>
          <w:sz w:val="22"/>
          <w:szCs w:val="22"/>
        </w:rPr>
        <w:t>i</w:t>
      </w:r>
      <w:proofErr w:type="spellEnd"/>
      <w:r>
        <w:rPr>
          <w:rFonts w:ascii="Avenir Next" w:hAnsi="Avenir Next" w:cs="Arial"/>
          <w:color w:val="7B7B7B" w:themeColor="accent3" w:themeShade="BF"/>
          <w:sz w:val="22"/>
          <w:szCs w:val="22"/>
        </w:rPr>
        <w:t xml:space="preserve">) authorization of discovery regarding the debtor’s assets and </w:t>
      </w:r>
      <w:proofErr w:type="gramStart"/>
      <w:r>
        <w:rPr>
          <w:rFonts w:ascii="Avenir Next" w:hAnsi="Avenir Next" w:cs="Arial"/>
          <w:color w:val="7B7B7B" w:themeColor="accent3" w:themeShade="BF"/>
          <w:sz w:val="22"/>
          <w:szCs w:val="22"/>
        </w:rPr>
        <w:t>affairs;</w:t>
      </w:r>
      <w:proofErr w:type="gramEnd"/>
    </w:p>
    <w:p w14:paraId="007024E7" w14:textId="7FDD2AA8" w:rsidR="003650A5" w:rsidRDefault="003650A5" w:rsidP="003650A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(ii) entrusting administration of the debtor’s US assets to a foreign representative or other </w:t>
      </w:r>
      <w:proofErr w:type="gramStart"/>
      <w:r>
        <w:rPr>
          <w:rFonts w:ascii="Avenir Next" w:hAnsi="Avenir Next" w:cs="Arial"/>
          <w:color w:val="7B7B7B" w:themeColor="accent3" w:themeShade="BF"/>
          <w:sz w:val="22"/>
          <w:szCs w:val="22"/>
        </w:rPr>
        <w:t>person;</w:t>
      </w:r>
      <w:proofErr w:type="gramEnd"/>
    </w:p>
    <w:p w14:paraId="62BA796C" w14:textId="422F4864" w:rsidR="003650A5" w:rsidRDefault="003650A5" w:rsidP="003650A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(iii) extension o</w:t>
      </w:r>
      <w:r w:rsidR="0029482C">
        <w:rPr>
          <w:rFonts w:ascii="Avenir Next" w:hAnsi="Avenir Next" w:cs="Arial"/>
          <w:color w:val="7B7B7B" w:themeColor="accent3" w:themeShade="BF"/>
          <w:sz w:val="22"/>
          <w:szCs w:val="22"/>
        </w:rPr>
        <w:t>f</w:t>
      </w:r>
      <w:r>
        <w:rPr>
          <w:rFonts w:ascii="Avenir Next" w:hAnsi="Avenir Next" w:cs="Arial"/>
          <w:color w:val="7B7B7B" w:themeColor="accent3" w:themeShade="BF"/>
          <w:sz w:val="22"/>
          <w:szCs w:val="22"/>
        </w:rPr>
        <w:t xml:space="preserve"> provisional </w:t>
      </w:r>
      <w:proofErr w:type="gramStart"/>
      <w:r>
        <w:rPr>
          <w:rFonts w:ascii="Avenir Next" w:hAnsi="Avenir Next" w:cs="Arial"/>
          <w:color w:val="7B7B7B" w:themeColor="accent3" w:themeShade="BF"/>
          <w:sz w:val="22"/>
          <w:szCs w:val="22"/>
        </w:rPr>
        <w:t>relief;</w:t>
      </w:r>
      <w:proofErr w:type="gramEnd"/>
    </w:p>
    <w:p w14:paraId="39BB29DE" w14:textId="1D437E3B" w:rsidR="003650A5" w:rsidRPr="003650A5" w:rsidRDefault="003650A5" w:rsidP="003650A5">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(iv) any other relief necessary to effectuate the purpose of chapter 15 and to protect the assets of the debtor on the interests of creditors”.</w:t>
      </w:r>
    </w:p>
    <w:p w14:paraId="095005C6" w14:textId="77777777" w:rsidR="00556A78" w:rsidRDefault="00556A78" w:rsidP="00E41578">
      <w:pPr>
        <w:jc w:val="both"/>
        <w:rPr>
          <w:rFonts w:ascii="Avenir Next" w:hAnsi="Avenir Next" w:cs="Arial"/>
          <w:color w:val="7B7B7B" w:themeColor="accent3" w:themeShade="BF"/>
          <w:sz w:val="22"/>
          <w:szCs w:val="22"/>
          <w:lang w:val="en-GB"/>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0F519EF7" w14:textId="59B4FB94" w:rsidR="00C21200" w:rsidRDefault="00C2120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in a Delaware corporation, owe a fiduciary duty of loyalty and due care to the corporation’s best interest on the decision-making process. These duties are owed to the corporation and its shareholders, not to </w:t>
      </w:r>
      <w:r w:rsidR="00A96BDB">
        <w:rPr>
          <w:rFonts w:ascii="Avenir Next" w:hAnsi="Avenir Next" w:cs="Arial"/>
          <w:color w:val="7B7B7B" w:themeColor="accent3" w:themeShade="BF"/>
          <w:sz w:val="22"/>
          <w:szCs w:val="22"/>
          <w:lang w:val="en-GB"/>
        </w:rPr>
        <w:t xml:space="preserve">its </w:t>
      </w:r>
      <w:r>
        <w:rPr>
          <w:rFonts w:ascii="Avenir Next" w:hAnsi="Avenir Next" w:cs="Arial"/>
          <w:color w:val="7B7B7B" w:themeColor="accent3" w:themeShade="BF"/>
          <w:sz w:val="22"/>
          <w:szCs w:val="22"/>
          <w:lang w:val="en-GB"/>
        </w:rPr>
        <w:t xml:space="preserve">creditors, even if the corporation is potentially or </w:t>
      </w:r>
      <w:proofErr w:type="gramStart"/>
      <w:r>
        <w:rPr>
          <w:rFonts w:ascii="Avenir Next" w:hAnsi="Avenir Next" w:cs="Arial"/>
          <w:color w:val="7B7B7B" w:themeColor="accent3" w:themeShade="BF"/>
          <w:sz w:val="22"/>
          <w:szCs w:val="22"/>
          <w:lang w:val="en-GB"/>
        </w:rPr>
        <w:t>actually insolvent</w:t>
      </w:r>
      <w:proofErr w:type="gramEnd"/>
      <w:r>
        <w:rPr>
          <w:rFonts w:ascii="Avenir Next" w:hAnsi="Avenir Next" w:cs="Arial"/>
          <w:color w:val="7B7B7B" w:themeColor="accent3" w:themeShade="BF"/>
          <w:sz w:val="22"/>
          <w:szCs w:val="22"/>
          <w:lang w:val="en-GB"/>
        </w:rPr>
        <w:t xml:space="preserve">. </w:t>
      </w:r>
    </w:p>
    <w:p w14:paraId="68811405" w14:textId="3AE9E5E6" w:rsidR="00C21200" w:rsidRDefault="00C21200" w:rsidP="00E41578">
      <w:pPr>
        <w:jc w:val="both"/>
        <w:rPr>
          <w:rFonts w:ascii="Avenir Next" w:hAnsi="Avenir Next" w:cs="Arial"/>
          <w:color w:val="7B7B7B" w:themeColor="accent3" w:themeShade="BF"/>
          <w:sz w:val="22"/>
          <w:szCs w:val="22"/>
          <w:lang w:val="en-GB"/>
        </w:rPr>
      </w:pPr>
    </w:p>
    <w:p w14:paraId="3A25797A" w14:textId="284106BD" w:rsidR="00C21200" w:rsidRDefault="00C21200" w:rsidP="00C727F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directors are protect</w:t>
      </w:r>
      <w:r w:rsidR="00C727F9">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from liability for error</w:t>
      </w:r>
      <w:r w:rsidR="00C727F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of judgments if they comply with the business judgment rule. According to this rule, the board of directors is presumed to have acted in good faith </w:t>
      </w:r>
      <w:r w:rsidR="00C727F9">
        <w:rPr>
          <w:rFonts w:ascii="Avenir Next" w:hAnsi="Avenir Next" w:cs="Arial"/>
          <w:color w:val="7B7B7B" w:themeColor="accent3" w:themeShade="BF"/>
          <w:sz w:val="22"/>
          <w:szCs w:val="22"/>
          <w:lang w:val="en-GB"/>
        </w:rPr>
        <w:t>based on</w:t>
      </w:r>
      <w:r>
        <w:rPr>
          <w:rFonts w:ascii="Avenir Next" w:hAnsi="Avenir Next" w:cs="Arial"/>
          <w:color w:val="7B7B7B" w:themeColor="accent3" w:themeShade="BF"/>
          <w:sz w:val="22"/>
          <w:szCs w:val="22"/>
          <w:lang w:val="en-GB"/>
        </w:rPr>
        <w:t xml:space="preserve"> reasonable information. However, this presumption can be rebutted if it is demonstrated that the board were not reasonably </w:t>
      </w:r>
      <w:r w:rsidR="00C727F9">
        <w:rPr>
          <w:rFonts w:ascii="Avenir Next" w:hAnsi="Avenir Next" w:cs="Arial"/>
          <w:color w:val="7B7B7B" w:themeColor="accent3" w:themeShade="BF"/>
          <w:sz w:val="22"/>
          <w:szCs w:val="22"/>
          <w:lang w:val="en-GB"/>
        </w:rPr>
        <w:t>informed, did not honestly believe that their decision was in the corporation’s best interest, or the directors was found not be acting in good faith. In other words, unless the director is negligent or is acting in bad faith, he is not liable for the acts taken on behalf of the corporation.</w:t>
      </w:r>
    </w:p>
    <w:p w14:paraId="57C2241A" w14:textId="4DEFDA67" w:rsidR="00C727F9" w:rsidRDefault="00C727F9" w:rsidP="00E41578">
      <w:pPr>
        <w:jc w:val="both"/>
        <w:rPr>
          <w:rFonts w:ascii="Avenir Next" w:hAnsi="Avenir Next" w:cs="Arial"/>
          <w:color w:val="7B7B7B" w:themeColor="accent3" w:themeShade="BF"/>
          <w:sz w:val="22"/>
          <w:szCs w:val="22"/>
          <w:lang w:val="en-GB"/>
        </w:rPr>
      </w:pPr>
    </w:p>
    <w:p w14:paraId="417344D2" w14:textId="6560ED38" w:rsidR="00E41578" w:rsidRPr="00E41578" w:rsidRDefault="005A1802" w:rsidP="005A1802">
      <w:pPr>
        <w:jc w:val="both"/>
        <w:rPr>
          <w:rFonts w:ascii="Avenir Next" w:hAnsi="Avenir Next" w:cs="Arial"/>
          <w:color w:val="7B7B7B" w:themeColor="accent3" w:themeShade="BF"/>
          <w:sz w:val="22"/>
          <w:szCs w:val="22"/>
          <w:lang w:val="en-GB"/>
        </w:rPr>
      </w:pPr>
      <w:r w:rsidRPr="005A1802">
        <w:rPr>
          <w:rFonts w:ascii="Avenir Next" w:hAnsi="Avenir Next" w:cs="Arial"/>
          <w:color w:val="7B7B7B" w:themeColor="accent3" w:themeShade="BF"/>
          <w:sz w:val="22"/>
          <w:szCs w:val="22"/>
          <w:lang w:val="en-GB"/>
        </w:rPr>
        <w:t>In addition, if there is an interested party involved in the transaction (like the controlling shareholder), the director is supposed to prove, the entire fairness of the transaction between related parties.</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w:t>
      </w:r>
      <w:r w:rsidRPr="00A108C7">
        <w:rPr>
          <w:rFonts w:ascii="Avenir Next" w:hAnsi="Avenir Next"/>
        </w:rPr>
        <w:t xml:space="preserve">requirements that a creditor’s claim </w:t>
      </w:r>
      <w:r w:rsidR="0038411A" w:rsidRPr="00A108C7">
        <w:rPr>
          <w:rFonts w:ascii="Avenir Next" w:hAnsi="Avenir Next"/>
        </w:rPr>
        <w:t xml:space="preserve">must </w:t>
      </w:r>
      <w:r w:rsidRPr="00A108C7">
        <w:rPr>
          <w:rFonts w:ascii="Avenir Next" w:hAnsi="Avenir Next"/>
        </w:rPr>
        <w:t xml:space="preserve">fulfill </w:t>
      </w:r>
      <w:proofErr w:type="gramStart"/>
      <w:r w:rsidRPr="00A108C7">
        <w:rPr>
          <w:rFonts w:ascii="Avenir Next" w:hAnsi="Avenir Next"/>
        </w:rPr>
        <w:t>in order to</w:t>
      </w:r>
      <w:proofErr w:type="gramEnd"/>
      <w:r w:rsidRPr="00A108C7">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6940C695" w14:textId="360408D4" w:rsidR="001E4809" w:rsidRDefault="001E480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Creditors may initiate an involuntary insolvency proceeding against a debtor either based on chapter 7 or chapter 11 of the Bankruptcy Code. The number of petitioner creditors depends on how many non-contingent, non-insider creditors the debtor has.</w:t>
      </w:r>
      <w:r w:rsidR="00E35C60">
        <w:rPr>
          <w:rFonts w:ascii="Avenir Next" w:hAnsi="Avenir Next" w:cs="Arial"/>
          <w:color w:val="7B7B7B" w:themeColor="accent3" w:themeShade="BF"/>
          <w:sz w:val="22"/>
          <w:szCs w:val="22"/>
          <w:lang w:val="en-GB"/>
        </w:rPr>
        <w:t xml:space="preserve"> The </w:t>
      </w:r>
      <w:r w:rsidR="00E35C60" w:rsidRPr="00E35C60">
        <w:rPr>
          <w:rFonts w:ascii="Avenir Next" w:hAnsi="Avenir Next" w:cs="Arial"/>
          <w:color w:val="7B7B7B" w:themeColor="accent3" w:themeShade="BF"/>
          <w:sz w:val="22"/>
          <w:szCs w:val="22"/>
          <w:lang w:val="en-GB"/>
        </w:rPr>
        <w:t xml:space="preserve">11 U.S. Code § 303 </w:t>
      </w:r>
      <w:r w:rsidR="00E35C60">
        <w:rPr>
          <w:rFonts w:ascii="Avenir Next" w:hAnsi="Avenir Next" w:cs="Arial"/>
          <w:color w:val="7B7B7B" w:themeColor="accent3" w:themeShade="BF"/>
          <w:sz w:val="22"/>
          <w:szCs w:val="22"/>
          <w:lang w:val="en-GB"/>
        </w:rPr>
        <w:t>provide rules on i</w:t>
      </w:r>
      <w:r w:rsidR="00E35C60" w:rsidRPr="00E35C60">
        <w:rPr>
          <w:rFonts w:ascii="Avenir Next" w:hAnsi="Avenir Next" w:cs="Arial"/>
          <w:color w:val="7B7B7B" w:themeColor="accent3" w:themeShade="BF"/>
          <w:sz w:val="22"/>
          <w:szCs w:val="22"/>
          <w:lang w:val="en-GB"/>
        </w:rPr>
        <w:t>nvoluntary cases</w:t>
      </w:r>
      <w:r w:rsidR="00E35C60">
        <w:rPr>
          <w:rFonts w:ascii="Avenir Next" w:hAnsi="Avenir Next" w:cs="Arial"/>
          <w:color w:val="7B7B7B" w:themeColor="accent3" w:themeShade="BF"/>
          <w:sz w:val="22"/>
          <w:szCs w:val="22"/>
          <w:lang w:val="en-GB"/>
        </w:rPr>
        <w:t>.</w:t>
      </w:r>
    </w:p>
    <w:p w14:paraId="53D3813C" w14:textId="7411BAED" w:rsidR="00E35C60" w:rsidRDefault="00E35C60" w:rsidP="00F03051">
      <w:pPr>
        <w:jc w:val="both"/>
        <w:rPr>
          <w:rFonts w:ascii="Avenir Next" w:hAnsi="Avenir Next" w:cs="Arial"/>
          <w:color w:val="7B7B7B" w:themeColor="accent3" w:themeShade="BF"/>
          <w:sz w:val="22"/>
          <w:szCs w:val="22"/>
          <w:lang w:val="en-GB"/>
        </w:rPr>
      </w:pPr>
    </w:p>
    <w:p w14:paraId="673D1805" w14:textId="4A405C5C" w:rsidR="00E35C60" w:rsidRDefault="00E35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the creditor must have a claim against the debtor that is:</w:t>
      </w:r>
    </w:p>
    <w:p w14:paraId="222421B2" w14:textId="5F2D6F32" w:rsidR="00E35C60" w:rsidRDefault="00E35C60" w:rsidP="00F03051">
      <w:pPr>
        <w:jc w:val="both"/>
        <w:rPr>
          <w:rFonts w:ascii="Avenir Next" w:hAnsi="Avenir Next" w:cs="Arial"/>
          <w:color w:val="7B7B7B" w:themeColor="accent3" w:themeShade="BF"/>
          <w:sz w:val="22"/>
          <w:szCs w:val="22"/>
          <w:lang w:val="en-GB"/>
        </w:rPr>
      </w:pPr>
    </w:p>
    <w:p w14:paraId="6D0FC094" w14:textId="661C72ED" w:rsidR="00E35C60" w:rsidRDefault="00E35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non-</w:t>
      </w:r>
      <w:r w:rsidR="00B17D9C">
        <w:rPr>
          <w:rFonts w:ascii="Avenir Next" w:hAnsi="Avenir Next" w:cs="Arial"/>
          <w:color w:val="7B7B7B" w:themeColor="accent3" w:themeShade="BF"/>
          <w:sz w:val="22"/>
          <w:szCs w:val="22"/>
          <w:lang w:val="en-GB"/>
        </w:rPr>
        <w:t>contingent</w:t>
      </w:r>
      <w:r>
        <w:rPr>
          <w:rFonts w:ascii="Avenir Next" w:hAnsi="Avenir Next" w:cs="Arial"/>
          <w:color w:val="7B7B7B" w:themeColor="accent3" w:themeShade="BF"/>
          <w:sz w:val="22"/>
          <w:szCs w:val="22"/>
          <w:lang w:val="en-GB"/>
        </w:rPr>
        <w:t>, which means that: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doesn’t depend on a future event, neither (ii) the debt is unmatured (in other words, the payment is already late</w:t>
      </w:r>
      <w:proofErr w:type="gramStart"/>
      <w:r>
        <w:rPr>
          <w:rFonts w:ascii="Avenir Next" w:hAnsi="Avenir Next" w:cs="Arial"/>
          <w:color w:val="7B7B7B" w:themeColor="accent3" w:themeShade="BF"/>
          <w:sz w:val="22"/>
          <w:szCs w:val="22"/>
          <w:lang w:val="en-GB"/>
        </w:rPr>
        <w:t>);</w:t>
      </w:r>
      <w:proofErr w:type="gramEnd"/>
    </w:p>
    <w:p w14:paraId="71D80A02" w14:textId="223CAF34" w:rsidR="00E35C60" w:rsidRDefault="00E35C60" w:rsidP="00F03051">
      <w:pPr>
        <w:jc w:val="both"/>
        <w:rPr>
          <w:rFonts w:ascii="Avenir Next" w:hAnsi="Avenir Next" w:cs="Arial"/>
          <w:color w:val="7B7B7B" w:themeColor="accent3" w:themeShade="BF"/>
          <w:sz w:val="22"/>
          <w:szCs w:val="22"/>
          <w:lang w:val="en-GB"/>
        </w:rPr>
      </w:pPr>
    </w:p>
    <w:p w14:paraId="421853FE" w14:textId="431284B2" w:rsidR="00170CD1" w:rsidRDefault="00E35C6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 not subject of bona fide dispute as to liability or amount, which means that: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w:t>
      </w:r>
      <w:r w:rsidR="00170CD1">
        <w:rPr>
          <w:rFonts w:ascii="Avenir Next" w:hAnsi="Avenir Next" w:cs="Arial"/>
          <w:color w:val="7B7B7B" w:themeColor="accent3" w:themeShade="BF"/>
          <w:sz w:val="22"/>
          <w:szCs w:val="22"/>
          <w:lang w:val="en-GB"/>
        </w:rPr>
        <w:t>there is no reasonable basis for a dispute as a matter of law or fact and the debtor know that the debt is owed (in other words, there is no reasonable doubt on the</w:t>
      </w:r>
      <w:r w:rsidR="00E42CF3">
        <w:rPr>
          <w:rFonts w:ascii="Avenir Next" w:hAnsi="Avenir Next" w:cs="Arial"/>
          <w:color w:val="7B7B7B" w:themeColor="accent3" w:themeShade="BF"/>
          <w:sz w:val="22"/>
          <w:szCs w:val="22"/>
          <w:lang w:val="en-GB"/>
        </w:rPr>
        <w:t xml:space="preserve"> existence of the debt, the</w:t>
      </w:r>
      <w:r w:rsidR="00170CD1">
        <w:rPr>
          <w:rFonts w:ascii="Avenir Next" w:hAnsi="Avenir Next" w:cs="Arial"/>
          <w:color w:val="7B7B7B" w:themeColor="accent3" w:themeShade="BF"/>
          <w:sz w:val="22"/>
          <w:szCs w:val="22"/>
          <w:lang w:val="en-GB"/>
        </w:rPr>
        <w:t xml:space="preserve"> </w:t>
      </w:r>
      <w:r w:rsidR="00A108C7">
        <w:rPr>
          <w:rFonts w:ascii="Avenir Next" w:hAnsi="Avenir Next" w:cs="Arial"/>
          <w:color w:val="7B7B7B" w:themeColor="accent3" w:themeShade="BF"/>
          <w:sz w:val="22"/>
          <w:szCs w:val="22"/>
          <w:lang w:val="en-GB"/>
        </w:rPr>
        <w:t>“</w:t>
      </w:r>
      <w:r w:rsidR="00170CD1" w:rsidRPr="00170CD1">
        <w:rPr>
          <w:rFonts w:ascii="Avenir Next" w:hAnsi="Avenir Next" w:cs="Arial"/>
          <w:i/>
          <w:iCs/>
          <w:color w:val="7B7B7B" w:themeColor="accent3" w:themeShade="BF"/>
          <w:sz w:val="22"/>
          <w:szCs w:val="22"/>
          <w:lang w:val="en-GB"/>
        </w:rPr>
        <w:t xml:space="preserve">an </w:t>
      </w:r>
      <w:proofErr w:type="spellStart"/>
      <w:r w:rsidR="00170CD1" w:rsidRPr="00170CD1">
        <w:rPr>
          <w:rFonts w:ascii="Avenir Next" w:hAnsi="Avenir Next" w:cs="Arial"/>
          <w:i/>
          <w:iCs/>
          <w:color w:val="7B7B7B" w:themeColor="accent3" w:themeShade="BF"/>
          <w:sz w:val="22"/>
          <w:szCs w:val="22"/>
          <w:lang w:val="en-GB"/>
        </w:rPr>
        <w:t>debeatur</w:t>
      </w:r>
      <w:proofErr w:type="spellEnd"/>
      <w:r w:rsidR="00A108C7">
        <w:rPr>
          <w:rFonts w:ascii="Avenir Next" w:hAnsi="Avenir Next" w:cs="Arial"/>
          <w:i/>
          <w:iCs/>
          <w:color w:val="7B7B7B" w:themeColor="accent3" w:themeShade="BF"/>
          <w:sz w:val="22"/>
          <w:szCs w:val="22"/>
          <w:lang w:val="en-GB"/>
        </w:rPr>
        <w:t>”</w:t>
      </w:r>
      <w:r w:rsidR="00170CD1">
        <w:rPr>
          <w:rFonts w:ascii="Avenir Next" w:hAnsi="Avenir Next" w:cs="Arial"/>
          <w:color w:val="7B7B7B" w:themeColor="accent3" w:themeShade="BF"/>
          <w:sz w:val="22"/>
          <w:szCs w:val="22"/>
          <w:lang w:val="en-GB"/>
        </w:rPr>
        <w:t xml:space="preserve">) and (ii) the amount of the claim is not disputed (in other words, there is no reasonable doubt on the </w:t>
      </w:r>
      <w:r w:rsidR="00A108C7">
        <w:rPr>
          <w:rFonts w:ascii="Avenir Next" w:hAnsi="Avenir Next" w:cs="Arial"/>
          <w:color w:val="7B7B7B" w:themeColor="accent3" w:themeShade="BF"/>
          <w:sz w:val="22"/>
          <w:szCs w:val="22"/>
          <w:lang w:val="en-GB"/>
        </w:rPr>
        <w:t>“</w:t>
      </w:r>
      <w:r w:rsidR="00170CD1" w:rsidRPr="00170CD1">
        <w:rPr>
          <w:rFonts w:ascii="Avenir Next" w:hAnsi="Avenir Next" w:cs="Arial"/>
          <w:i/>
          <w:iCs/>
          <w:color w:val="7B7B7B" w:themeColor="accent3" w:themeShade="BF"/>
          <w:sz w:val="22"/>
          <w:szCs w:val="22"/>
          <w:lang w:val="en-GB"/>
        </w:rPr>
        <w:t xml:space="preserve">quantum </w:t>
      </w:r>
      <w:proofErr w:type="spellStart"/>
      <w:r w:rsidR="00170CD1" w:rsidRPr="00170CD1">
        <w:rPr>
          <w:rFonts w:ascii="Avenir Next" w:hAnsi="Avenir Next" w:cs="Arial"/>
          <w:i/>
          <w:iCs/>
          <w:color w:val="7B7B7B" w:themeColor="accent3" w:themeShade="BF"/>
          <w:sz w:val="22"/>
          <w:szCs w:val="22"/>
          <w:lang w:val="en-GB"/>
        </w:rPr>
        <w:t>debeatur</w:t>
      </w:r>
      <w:proofErr w:type="spellEnd"/>
      <w:r w:rsidR="00A108C7">
        <w:rPr>
          <w:rFonts w:ascii="Avenir Next" w:hAnsi="Avenir Next" w:cs="Arial"/>
          <w:i/>
          <w:iCs/>
          <w:color w:val="7B7B7B" w:themeColor="accent3" w:themeShade="BF"/>
          <w:sz w:val="22"/>
          <w:szCs w:val="22"/>
          <w:lang w:val="en-GB"/>
        </w:rPr>
        <w:t>”</w:t>
      </w:r>
      <w:r w:rsidR="00170CD1">
        <w:rPr>
          <w:rFonts w:ascii="Avenir Next" w:hAnsi="Avenir Next" w:cs="Arial"/>
          <w:color w:val="7B7B7B" w:themeColor="accent3" w:themeShade="BF"/>
          <w:sz w:val="22"/>
          <w:szCs w:val="22"/>
          <w:lang w:val="en-GB"/>
        </w:rPr>
        <w:t>);</w:t>
      </w:r>
    </w:p>
    <w:p w14:paraId="3E254196" w14:textId="3651FBF9" w:rsidR="00170CD1" w:rsidRDefault="00170CD1" w:rsidP="00F03051">
      <w:pPr>
        <w:jc w:val="both"/>
        <w:rPr>
          <w:rFonts w:ascii="Avenir Next" w:hAnsi="Avenir Next" w:cs="Arial"/>
          <w:color w:val="7B7B7B" w:themeColor="accent3" w:themeShade="BF"/>
          <w:sz w:val="22"/>
          <w:szCs w:val="22"/>
          <w:lang w:val="en-GB"/>
        </w:rPr>
      </w:pPr>
    </w:p>
    <w:p w14:paraId="023C4931" w14:textId="246A0F62" w:rsidR="00170CD1" w:rsidRDefault="00170CD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separately or in the aggregate with all other petitioning creditors’ claims, in the amount of at least USD 16,750 (this amount is </w:t>
      </w:r>
      <w:r w:rsidR="00A108C7">
        <w:rPr>
          <w:rFonts w:ascii="Avenir Next" w:hAnsi="Avenir Next" w:cs="Arial"/>
          <w:color w:val="7B7B7B" w:themeColor="accent3" w:themeShade="BF"/>
          <w:sz w:val="22"/>
          <w:szCs w:val="22"/>
          <w:lang w:val="en-GB"/>
        </w:rPr>
        <w:t>periodically</w:t>
      </w:r>
      <w:r>
        <w:rPr>
          <w:rFonts w:ascii="Avenir Next" w:hAnsi="Avenir Next" w:cs="Arial"/>
          <w:color w:val="7B7B7B" w:themeColor="accent3" w:themeShade="BF"/>
          <w:sz w:val="22"/>
          <w:szCs w:val="22"/>
          <w:lang w:val="en-GB"/>
        </w:rPr>
        <w:t xml:space="preserve"> increased due to inflation).</w:t>
      </w:r>
    </w:p>
    <w:p w14:paraId="354F31BF" w14:textId="3A3435BE" w:rsidR="00170CD1" w:rsidRDefault="00170CD1" w:rsidP="00F03051">
      <w:pPr>
        <w:jc w:val="both"/>
        <w:rPr>
          <w:rFonts w:ascii="Avenir Next" w:hAnsi="Avenir Next" w:cs="Arial"/>
          <w:color w:val="7B7B7B" w:themeColor="accent3" w:themeShade="BF"/>
          <w:sz w:val="22"/>
          <w:szCs w:val="22"/>
          <w:lang w:val="en-GB"/>
        </w:rPr>
      </w:pPr>
    </w:p>
    <w:p w14:paraId="078AF23A" w14:textId="08523D81" w:rsidR="00F9436B" w:rsidRDefault="00170CD1" w:rsidP="00F943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must be pointed out that the involuntary petition form requires the petitioning creditors to allege that debtor is not paying its debts as they become due</w:t>
      </w:r>
      <w:r w:rsidR="00F9436B">
        <w:rPr>
          <w:rFonts w:ascii="Avenir Next" w:hAnsi="Avenir Next" w:cs="Arial"/>
          <w:color w:val="7B7B7B" w:themeColor="accent3" w:themeShade="BF"/>
          <w:sz w:val="22"/>
          <w:szCs w:val="22"/>
          <w:lang w:val="en-GB"/>
        </w:rPr>
        <w:t xml:space="preserve"> or that </w:t>
      </w:r>
      <w:r w:rsidR="00F9436B" w:rsidRPr="00F9436B">
        <w:rPr>
          <w:rFonts w:ascii="Avenir Next" w:hAnsi="Avenir Next" w:cs="Arial"/>
          <w:color w:val="7B7B7B" w:themeColor="accent3" w:themeShade="BF"/>
          <w:sz w:val="22"/>
          <w:szCs w:val="22"/>
          <w:lang w:val="en-GB"/>
        </w:rPr>
        <w:t>“within 120 days before the filing of this petition, a custodian, other than a trustee, receiver, or an agent appointed or authorized to take charge of less than substantially all of the property of the debtor for the purpose of enforcing a lien against such property, was appointed or took possession.”</w:t>
      </w:r>
      <w:r w:rsidR="00A108C7">
        <w:rPr>
          <w:rFonts w:ascii="Avenir Next" w:hAnsi="Avenir Next" w:cs="Arial"/>
          <w:color w:val="7B7B7B" w:themeColor="accent3" w:themeShade="BF"/>
          <w:sz w:val="22"/>
          <w:szCs w:val="22"/>
          <w:lang w:val="en-GB"/>
        </w:rPr>
        <w:t xml:space="preserve"> (Form B205 at 2).</w:t>
      </w:r>
    </w:p>
    <w:p w14:paraId="560E30D0" w14:textId="7973892E" w:rsidR="00A108C7" w:rsidRDefault="00A108C7" w:rsidP="00F9436B">
      <w:pPr>
        <w:jc w:val="both"/>
        <w:rPr>
          <w:rFonts w:ascii="Avenir Next" w:hAnsi="Avenir Next" w:cs="Arial"/>
          <w:color w:val="7B7B7B" w:themeColor="accent3" w:themeShade="BF"/>
          <w:sz w:val="22"/>
          <w:szCs w:val="22"/>
          <w:lang w:val="en-GB"/>
        </w:rPr>
      </w:pPr>
    </w:p>
    <w:p w14:paraId="60629FF2" w14:textId="02C04029" w:rsidR="00A108C7" w:rsidRDefault="00A108C7" w:rsidP="00F9436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a foreign representative of a</w:t>
      </w:r>
      <w:r w:rsidR="009A4B67">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 estate in a foreign proceeding may as well commence an involuntary insolvency proceeding against the debtor.</w:t>
      </w:r>
    </w:p>
    <w:p w14:paraId="2E363A63" w14:textId="77777777" w:rsidR="00F9436B" w:rsidRDefault="00F9436B" w:rsidP="00F03051">
      <w:pPr>
        <w:jc w:val="both"/>
        <w:rPr>
          <w:rFonts w:ascii="Avenir Next" w:hAnsi="Avenir Next" w:cs="Arial"/>
          <w:color w:val="7B7B7B" w:themeColor="accent3" w:themeShade="BF"/>
          <w:sz w:val="22"/>
          <w:szCs w:val="22"/>
          <w:lang w:val="en-GB"/>
        </w:rPr>
      </w:pP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8726B5">
        <w:rPr>
          <w:rFonts w:ascii="Avenir Next" w:hAnsi="Avenir Next"/>
        </w:rPr>
        <w:t xml:space="preserve">What would be the effect of a </w:t>
      </w:r>
      <w:r w:rsidR="00325A8F" w:rsidRPr="008726B5">
        <w:rPr>
          <w:rFonts w:ascii="Avenir Next" w:hAnsi="Avenir Next"/>
        </w:rPr>
        <w:t>C</w:t>
      </w:r>
      <w:r w:rsidRPr="008726B5">
        <w:rPr>
          <w:rFonts w:ascii="Avenir Next" w:hAnsi="Avenir Next"/>
        </w:rPr>
        <w:t xml:space="preserve">hapter 11 petition being filed by Speculation Inc on each of </w:t>
      </w:r>
      <w:r w:rsidR="00325A8F" w:rsidRPr="008726B5">
        <w:rPr>
          <w:rFonts w:ascii="Avenir Next" w:hAnsi="Avenir Next"/>
        </w:rPr>
        <w:t xml:space="preserve">the </w:t>
      </w:r>
      <w:r w:rsidRPr="008726B5">
        <w:rPr>
          <w:rFonts w:ascii="Avenir Next" w:hAnsi="Avenir Next"/>
        </w:rPr>
        <w:t>(</w:t>
      </w:r>
      <w:proofErr w:type="spellStart"/>
      <w:r w:rsidRPr="008726B5">
        <w:rPr>
          <w:rFonts w:ascii="Avenir Next" w:hAnsi="Avenir Next"/>
        </w:rPr>
        <w:t>i</w:t>
      </w:r>
      <w:proofErr w:type="spellEnd"/>
      <w:r w:rsidRPr="008726B5">
        <w:rPr>
          <w:rFonts w:ascii="Avenir Next" w:hAnsi="Avenir Next"/>
        </w:rPr>
        <w:t>) DOJ investigation</w:t>
      </w:r>
      <w:r w:rsidRPr="00E01803">
        <w:rPr>
          <w:rFonts w:ascii="Avenir Next" w:hAnsi="Avenir Next"/>
        </w:rPr>
        <w:t>,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60431BF1" w:rsidR="00F03051" w:rsidRDefault="001C6D5A"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several effects of a Chapter 11 petition. Let’s check the situations described above:</w:t>
      </w:r>
    </w:p>
    <w:p w14:paraId="60268049" w14:textId="40145DC4" w:rsidR="001C6D5A" w:rsidRDefault="001C6D5A" w:rsidP="00F03051">
      <w:pPr>
        <w:jc w:val="both"/>
        <w:rPr>
          <w:rFonts w:ascii="Avenir Next" w:hAnsi="Avenir Next" w:cs="Arial"/>
          <w:color w:val="7B7B7B" w:themeColor="accent3" w:themeShade="BF"/>
          <w:sz w:val="22"/>
          <w:szCs w:val="22"/>
          <w:lang w:val="en-GB"/>
        </w:rPr>
      </w:pPr>
    </w:p>
    <w:p w14:paraId="685DFB99" w14:textId="05710177" w:rsidR="001C6D5A" w:rsidRDefault="001C6D5A" w:rsidP="001C6D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xml:space="preserve">) </w:t>
      </w:r>
      <w:r w:rsidRPr="001C6D5A">
        <w:rPr>
          <w:rFonts w:ascii="Avenir Next" w:hAnsi="Avenir Next" w:cs="Arial"/>
          <w:color w:val="7B7B7B" w:themeColor="accent3" w:themeShade="BF"/>
          <w:sz w:val="22"/>
          <w:szCs w:val="22"/>
          <w:lang w:val="en-GB"/>
        </w:rPr>
        <w:t>DOJ investigation</w:t>
      </w:r>
      <w:r>
        <w:rPr>
          <w:rFonts w:ascii="Avenir Next" w:hAnsi="Avenir Next" w:cs="Arial"/>
          <w:color w:val="7B7B7B" w:themeColor="accent3" w:themeShade="BF"/>
          <w:sz w:val="22"/>
          <w:szCs w:val="22"/>
          <w:lang w:val="en-GB"/>
        </w:rPr>
        <w:t xml:space="preserve">. One of the effects is the automatic stay that comes into effect immediately on the filling of </w:t>
      </w:r>
      <w:r w:rsidR="009E2FA0">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hapter 11 petition. The automatic stay aims to provides the debtor breathing room to formulate a restructuring plan and negotiate with its creditors. However, stay is subject to certain statutory exceptions, like regulatory investigations (11 USC §362(b)).</w:t>
      </w:r>
      <w:r w:rsidRPr="001C6D5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Hence, the DOJ investigation is not suspended by Chapter 11 petition. </w:t>
      </w:r>
    </w:p>
    <w:p w14:paraId="5B51E8C7" w14:textId="5F975E67" w:rsidR="009E2FA0" w:rsidRDefault="009E2FA0" w:rsidP="001C6D5A">
      <w:pPr>
        <w:jc w:val="both"/>
        <w:rPr>
          <w:rFonts w:ascii="Avenir Next" w:hAnsi="Avenir Next" w:cs="Arial"/>
          <w:color w:val="7B7B7B" w:themeColor="accent3" w:themeShade="BF"/>
          <w:sz w:val="22"/>
          <w:szCs w:val="22"/>
          <w:lang w:val="en-GB"/>
        </w:rPr>
      </w:pPr>
    </w:p>
    <w:p w14:paraId="4D0D8C1B" w14:textId="26FF666D" w:rsidR="009E2FA0" w:rsidRDefault="009E2FA0" w:rsidP="001C6D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 margin loan default. The scope of the automatic stay is broad, and it applies to any interference with the property of the estate, regardless of where this property is located. Once the Chapter 11 petition is filled, the Bankruptcy Code prohibits litigation on pre-petition claims and enforcement of pre-petition judgment against the debtor or property of the estate. This means that although the debtor may be sued for the margin loan default, he may not suffer the effects of that default. For example: setoff is not available</w:t>
      </w:r>
      <w:r w:rsidR="00805E3E">
        <w:rPr>
          <w:rFonts w:ascii="Avenir Next" w:hAnsi="Avenir Next" w:cs="Arial"/>
          <w:color w:val="7B7B7B" w:themeColor="accent3" w:themeShade="BF"/>
          <w:sz w:val="22"/>
          <w:szCs w:val="22"/>
          <w:lang w:val="en-GB"/>
        </w:rPr>
        <w:t xml:space="preserve"> for that default</w:t>
      </w:r>
      <w:r>
        <w:rPr>
          <w:rFonts w:ascii="Avenir Next" w:hAnsi="Avenir Next" w:cs="Arial"/>
          <w:color w:val="7B7B7B" w:themeColor="accent3" w:themeShade="BF"/>
          <w:sz w:val="22"/>
          <w:szCs w:val="22"/>
          <w:lang w:val="en-GB"/>
        </w:rPr>
        <w:t xml:space="preserve"> and any enforcement of a right based on that default can</w:t>
      </w:r>
      <w:r w:rsidR="00805E3E">
        <w:rPr>
          <w:rFonts w:ascii="Avenir Next" w:hAnsi="Avenir Next" w:cs="Arial"/>
          <w:color w:val="7B7B7B" w:themeColor="accent3" w:themeShade="BF"/>
          <w:sz w:val="22"/>
          <w:szCs w:val="22"/>
          <w:lang w:val="en-GB"/>
        </w:rPr>
        <w:t>not</w:t>
      </w:r>
      <w:r>
        <w:rPr>
          <w:rFonts w:ascii="Avenir Next" w:hAnsi="Avenir Next" w:cs="Arial"/>
          <w:color w:val="7B7B7B" w:themeColor="accent3" w:themeShade="BF"/>
          <w:sz w:val="22"/>
          <w:szCs w:val="22"/>
          <w:lang w:val="en-GB"/>
        </w:rPr>
        <w:t xml:space="preserve"> be exercised. </w:t>
      </w:r>
    </w:p>
    <w:p w14:paraId="2F091A72" w14:textId="0B485FC2" w:rsidR="00861683" w:rsidRDefault="00861683" w:rsidP="001C6D5A">
      <w:pPr>
        <w:jc w:val="both"/>
        <w:rPr>
          <w:rFonts w:ascii="Avenir Next" w:hAnsi="Avenir Next" w:cs="Arial"/>
          <w:color w:val="7B7B7B" w:themeColor="accent3" w:themeShade="BF"/>
          <w:sz w:val="22"/>
          <w:szCs w:val="22"/>
          <w:lang w:val="en-GB"/>
        </w:rPr>
      </w:pPr>
    </w:p>
    <w:p w14:paraId="3891F11D" w14:textId="365EE78E" w:rsidR="00861683" w:rsidRDefault="0086168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(iii) delinquent lease.  One statutory exception of the automatic stay is the </w:t>
      </w:r>
      <w:r w:rsidRPr="00861683">
        <w:rPr>
          <w:rFonts w:ascii="Avenir Next" w:hAnsi="Avenir Next" w:cs="Arial"/>
          <w:color w:val="7B7B7B" w:themeColor="accent3" w:themeShade="BF"/>
          <w:sz w:val="22"/>
          <w:szCs w:val="22"/>
          <w:lang w:val="en-GB"/>
        </w:rPr>
        <w:t>eviction of a debtor-tenant from non-residential property where the lease has expired</w:t>
      </w:r>
      <w:r>
        <w:rPr>
          <w:rFonts w:ascii="Avenir Next" w:hAnsi="Avenir Next" w:cs="Arial"/>
          <w:color w:val="7B7B7B" w:themeColor="accent3" w:themeShade="BF"/>
          <w:sz w:val="22"/>
          <w:szCs w:val="22"/>
          <w:lang w:val="en-GB"/>
        </w:rPr>
        <w:t xml:space="preserve">. The Bankruptcy Code states </w:t>
      </w:r>
      <w:r w:rsidR="0046650E">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except</w:t>
      </w:r>
      <w:r w:rsidR="0046650E">
        <w:rPr>
          <w:rFonts w:ascii="Avenir Next" w:hAnsi="Avenir Next" w:cs="Arial"/>
          <w:color w:val="7B7B7B" w:themeColor="accent3" w:themeShade="BF"/>
          <w:sz w:val="22"/>
          <w:szCs w:val="22"/>
          <w:lang w:val="en-GB"/>
        </w:rPr>
        <w:t>ion</w:t>
      </w:r>
      <w:r>
        <w:rPr>
          <w:rFonts w:ascii="Avenir Next" w:hAnsi="Avenir Next" w:cs="Arial"/>
          <w:color w:val="7B7B7B" w:themeColor="accent3" w:themeShade="BF"/>
          <w:sz w:val="22"/>
          <w:szCs w:val="22"/>
          <w:lang w:val="en-GB"/>
        </w:rPr>
        <w:t xml:space="preserve"> </w:t>
      </w:r>
      <w:r w:rsidR="0046650E">
        <w:rPr>
          <w:rFonts w:ascii="Avenir Next" w:hAnsi="Avenir Next" w:cs="Arial"/>
          <w:color w:val="7B7B7B" w:themeColor="accent3" w:themeShade="BF"/>
          <w:sz w:val="22"/>
          <w:szCs w:val="22"/>
          <w:lang w:val="en-GB"/>
        </w:rPr>
        <w:t xml:space="preserve">from the automatic stay </w:t>
      </w:r>
      <w:r>
        <w:rPr>
          <w:rFonts w:ascii="Avenir Next" w:hAnsi="Avenir Next" w:cs="Arial"/>
          <w:color w:val="7B7B7B" w:themeColor="accent3" w:themeShade="BF"/>
          <w:sz w:val="22"/>
          <w:szCs w:val="22"/>
          <w:lang w:val="en-GB"/>
        </w:rPr>
        <w:t>“</w:t>
      </w:r>
      <w:r w:rsidRPr="00861683">
        <w:rPr>
          <w:rFonts w:ascii="Avenir Next" w:hAnsi="Avenir Next" w:cs="Arial"/>
          <w:color w:val="7B7B7B" w:themeColor="accent3" w:themeShade="BF"/>
          <w:sz w:val="22"/>
          <w:szCs w:val="22"/>
          <w:lang w:val="en-GB"/>
        </w:rPr>
        <w:t xml:space="preserve">any act by a lessor to the debtor under a lease of </w:t>
      </w:r>
      <w:proofErr w:type="spellStart"/>
      <w:r w:rsidRPr="00861683">
        <w:rPr>
          <w:rFonts w:ascii="Avenir Next" w:hAnsi="Avenir Next" w:cs="Arial"/>
          <w:color w:val="7B7B7B" w:themeColor="accent3" w:themeShade="BF"/>
          <w:sz w:val="22"/>
          <w:szCs w:val="22"/>
          <w:lang w:val="en-GB"/>
        </w:rPr>
        <w:t>nonresidential</w:t>
      </w:r>
      <w:proofErr w:type="spellEnd"/>
      <w:r w:rsidRPr="00861683">
        <w:rPr>
          <w:rFonts w:ascii="Avenir Next" w:hAnsi="Avenir Next" w:cs="Arial"/>
          <w:color w:val="7B7B7B" w:themeColor="accent3" w:themeShade="BF"/>
          <w:sz w:val="22"/>
          <w:szCs w:val="22"/>
          <w:lang w:val="en-GB"/>
        </w:rPr>
        <w:t xml:space="preserve"> real property </w:t>
      </w:r>
      <w:r w:rsidRPr="00861683">
        <w:rPr>
          <w:rFonts w:ascii="Avenir Next" w:hAnsi="Avenir Next" w:cs="Arial"/>
          <w:color w:val="7B7B7B" w:themeColor="accent3" w:themeShade="BF"/>
          <w:sz w:val="22"/>
          <w:szCs w:val="22"/>
          <w:lang w:val="en-GB"/>
        </w:rPr>
        <w:lastRenderedPageBreak/>
        <w:t>that has terminated by the expiration of the stated term of the lease before the commencement of or during a case under this title to obtain possession of such property</w:t>
      </w:r>
      <w:r w:rsidR="0046650E">
        <w:rPr>
          <w:rFonts w:ascii="Avenir Next" w:hAnsi="Avenir Next" w:cs="Arial"/>
          <w:color w:val="7B7B7B" w:themeColor="accent3" w:themeShade="BF"/>
          <w:sz w:val="22"/>
          <w:szCs w:val="22"/>
          <w:lang w:val="en-GB"/>
        </w:rPr>
        <w:t xml:space="preserve"> (</w:t>
      </w:r>
      <w:r w:rsidR="0046650E" w:rsidRPr="0046650E">
        <w:rPr>
          <w:rFonts w:ascii="Avenir Next" w:hAnsi="Avenir Next" w:cs="Arial"/>
          <w:color w:val="7B7B7B" w:themeColor="accent3" w:themeShade="BF"/>
          <w:sz w:val="22"/>
          <w:szCs w:val="22"/>
          <w:lang w:val="en-GB"/>
        </w:rPr>
        <w:t>11 U.S. Code § 362</w:t>
      </w:r>
      <w:r w:rsidR="0046650E">
        <w:rPr>
          <w:rFonts w:ascii="Avenir Next" w:hAnsi="Avenir Next" w:cs="Arial"/>
          <w:color w:val="7B7B7B" w:themeColor="accent3" w:themeShade="BF"/>
          <w:sz w:val="22"/>
          <w:szCs w:val="22"/>
          <w:lang w:val="en-GB"/>
        </w:rPr>
        <w:t xml:space="preserve"> (b) (10)).</w:t>
      </w:r>
    </w:p>
    <w:p w14:paraId="0220E2FA" w14:textId="228B6276" w:rsidR="0046650E" w:rsidRDefault="0046650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above-mentioned case, the lease has not expired, but the debtor </w:t>
      </w:r>
      <w:r w:rsidRPr="0046650E">
        <w:rPr>
          <w:rFonts w:ascii="Avenir Next" w:hAnsi="Avenir Next" w:cs="Arial"/>
          <w:color w:val="7B7B7B" w:themeColor="accent3" w:themeShade="BF"/>
          <w:sz w:val="22"/>
          <w:szCs w:val="22"/>
          <w:lang w:val="en-GB"/>
        </w:rPr>
        <w:t>has fallen behind on its rent</w:t>
      </w:r>
      <w:r w:rsidR="00311D3B">
        <w:rPr>
          <w:rFonts w:ascii="Avenir Next" w:hAnsi="Avenir Next" w:cs="Arial"/>
          <w:color w:val="7B7B7B" w:themeColor="accent3" w:themeShade="BF"/>
          <w:sz w:val="22"/>
          <w:szCs w:val="22"/>
          <w:lang w:val="en-GB"/>
        </w:rPr>
        <w:t xml:space="preserve"> (the agreement is still valid, but </w:t>
      </w:r>
      <w:r w:rsidR="000D72A3">
        <w:rPr>
          <w:rFonts w:ascii="Avenir Next" w:hAnsi="Avenir Next" w:cs="Arial"/>
          <w:color w:val="7B7B7B" w:themeColor="accent3" w:themeShade="BF"/>
          <w:sz w:val="22"/>
          <w:szCs w:val="22"/>
          <w:lang w:val="en-GB"/>
        </w:rPr>
        <w:t>t</w:t>
      </w:r>
      <w:r w:rsidR="00311D3B">
        <w:rPr>
          <w:rFonts w:ascii="Avenir Next" w:hAnsi="Avenir Next" w:cs="Arial"/>
          <w:color w:val="7B7B7B" w:themeColor="accent3" w:themeShade="BF"/>
          <w:sz w:val="22"/>
          <w:szCs w:val="22"/>
          <w:lang w:val="en-GB"/>
        </w:rPr>
        <w:t>here is a default)</w:t>
      </w:r>
      <w:r>
        <w:rPr>
          <w:rFonts w:ascii="Avenir Next" w:hAnsi="Avenir Next" w:cs="Arial"/>
          <w:color w:val="7B7B7B" w:themeColor="accent3" w:themeShade="BF"/>
          <w:sz w:val="22"/>
          <w:szCs w:val="22"/>
          <w:lang w:val="en-GB"/>
        </w:rPr>
        <w:t>. Thus, the debt that exist</w:t>
      </w:r>
      <w:r w:rsidR="00311D3B">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before the Chapter 11 petition still exists </w:t>
      </w:r>
      <w:r w:rsidR="00311D3B">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is subject to the automatic stay. The debtor may not be evi</w:t>
      </w:r>
      <w:r w:rsidR="00311D3B">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ted for pre-existing debts. However, the debtor-tenant shall pay the new instalments due after the 11 Chapter 11 </w:t>
      </w:r>
      <w:proofErr w:type="gramStart"/>
      <w:r>
        <w:rPr>
          <w:rFonts w:ascii="Avenir Next" w:hAnsi="Avenir Next" w:cs="Arial"/>
          <w:color w:val="7B7B7B" w:themeColor="accent3" w:themeShade="BF"/>
          <w:sz w:val="22"/>
          <w:szCs w:val="22"/>
          <w:lang w:val="en-GB"/>
        </w:rPr>
        <w:t>petition</w:t>
      </w:r>
      <w:proofErr w:type="gramEnd"/>
      <w:r>
        <w:rPr>
          <w:rFonts w:ascii="Avenir Next" w:hAnsi="Avenir Next" w:cs="Arial"/>
          <w:color w:val="7B7B7B" w:themeColor="accent3" w:themeShade="BF"/>
          <w:sz w:val="22"/>
          <w:szCs w:val="22"/>
          <w:lang w:val="en-GB"/>
        </w:rPr>
        <w:t>, otherwise he will be subject to eviction.</w:t>
      </w:r>
    </w:p>
    <w:p w14:paraId="3A46B1AD" w14:textId="451B1D94" w:rsidR="00311D3B" w:rsidRDefault="00311D3B" w:rsidP="00F03051">
      <w:pPr>
        <w:jc w:val="both"/>
        <w:rPr>
          <w:rFonts w:ascii="Avenir Next" w:hAnsi="Avenir Next" w:cs="Arial"/>
          <w:color w:val="7B7B7B" w:themeColor="accent3" w:themeShade="BF"/>
          <w:sz w:val="22"/>
          <w:szCs w:val="22"/>
          <w:lang w:val="en-GB"/>
        </w:rPr>
      </w:pPr>
    </w:p>
    <w:p w14:paraId="3C4A9301" w14:textId="389FC42E" w:rsidR="00311D3B" w:rsidRDefault="00311D3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(iv) employment discrimination lawsuit.</w:t>
      </w:r>
      <w:r w:rsidR="00995EB1">
        <w:rPr>
          <w:rFonts w:ascii="Avenir Next" w:hAnsi="Avenir Next" w:cs="Arial"/>
          <w:color w:val="7B7B7B" w:themeColor="accent3" w:themeShade="BF"/>
          <w:sz w:val="22"/>
          <w:szCs w:val="22"/>
          <w:lang w:val="en-GB"/>
        </w:rPr>
        <w:t xml:space="preserve"> The Chapter 11 petition doesn’t freeze the employment lawsuit. For instance, the debtor may be sentenced to pay an indemnification to the former employee. However, the enforcement of that decision is subject to the automatic stay.</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t>
      </w:r>
      <w:r w:rsidRPr="00F10184">
        <w:rPr>
          <w:rFonts w:ascii="Avenir Next" w:hAnsi="Avenir Next"/>
        </w:rPr>
        <w:t xml:space="preserve">with respect to the Eurobonds.  Could the English scheme of arrangement be recognized by a US bankruptcy court under </w:t>
      </w:r>
      <w:r w:rsidR="00325A8F" w:rsidRPr="00F10184">
        <w:rPr>
          <w:rFonts w:ascii="Avenir Next" w:hAnsi="Avenir Next"/>
        </w:rPr>
        <w:t>C</w:t>
      </w:r>
      <w:r w:rsidRPr="00F10184">
        <w:rPr>
          <w:rFonts w:ascii="Avenir Next" w:hAnsi="Avenir Next"/>
        </w:rPr>
        <w:t>hapter 15, and would such recognition be as a foreign main or non-main proceeding?</w:t>
      </w:r>
      <w:r w:rsidRPr="00E01803">
        <w:rPr>
          <w:rFonts w:ascii="Avenir Next" w:hAnsi="Avenir Next"/>
        </w:rPr>
        <w:t xml:space="preserve">  </w:t>
      </w:r>
    </w:p>
    <w:p w14:paraId="69C2E697" w14:textId="77D49ACF" w:rsidR="00E01803" w:rsidRDefault="00E01803" w:rsidP="000778B1">
      <w:pPr>
        <w:pStyle w:val="AODocTxt"/>
        <w:spacing w:before="0" w:line="240" w:lineRule="auto"/>
        <w:rPr>
          <w:rFonts w:ascii="Avenir Next" w:hAnsi="Avenir Next"/>
        </w:rPr>
      </w:pPr>
    </w:p>
    <w:p w14:paraId="6216635B" w14:textId="77777777" w:rsidR="00885612" w:rsidRDefault="00885612" w:rsidP="00F03051">
      <w:pPr>
        <w:jc w:val="both"/>
        <w:rPr>
          <w:rFonts w:ascii="Avenir Next" w:hAnsi="Avenir Next" w:cs="Arial"/>
          <w:color w:val="7B7B7B" w:themeColor="accent3" w:themeShade="BF"/>
          <w:sz w:val="22"/>
          <w:szCs w:val="22"/>
          <w:lang w:val="en-GB"/>
        </w:rPr>
      </w:pPr>
    </w:p>
    <w:p w14:paraId="49BBB1E8" w14:textId="03ADDC68" w:rsidR="00885612" w:rsidRDefault="0088561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w:t>
      </w:r>
      <w:r w:rsidR="00292526" w:rsidRPr="00292526">
        <w:t xml:space="preserve"> </w:t>
      </w:r>
      <w:r w:rsidR="00292526" w:rsidRPr="00292526">
        <w:rPr>
          <w:rFonts w:ascii="Avenir Next" w:hAnsi="Avenir Next" w:cs="Arial"/>
          <w:color w:val="7B7B7B" w:themeColor="accent3" w:themeShade="BF"/>
          <w:sz w:val="22"/>
          <w:szCs w:val="22"/>
          <w:lang w:val="en-GB"/>
        </w:rPr>
        <w:t>Could the English scheme of arrangement be recognized by a US bankruptcy court under Chapter 15</w:t>
      </w:r>
      <w:r w:rsidR="00292526">
        <w:rPr>
          <w:rFonts w:ascii="Avenir Next" w:hAnsi="Avenir Next" w:cs="Arial"/>
          <w:color w:val="7B7B7B" w:themeColor="accent3" w:themeShade="BF"/>
          <w:sz w:val="22"/>
          <w:szCs w:val="22"/>
          <w:lang w:val="en-GB"/>
        </w:rPr>
        <w:t>?</w:t>
      </w:r>
    </w:p>
    <w:p w14:paraId="14131C76" w14:textId="77777777" w:rsidR="00885612" w:rsidRDefault="00885612" w:rsidP="00F03051">
      <w:pPr>
        <w:jc w:val="both"/>
        <w:rPr>
          <w:rFonts w:ascii="Avenir Next" w:hAnsi="Avenir Next" w:cs="Arial"/>
          <w:color w:val="7B7B7B" w:themeColor="accent3" w:themeShade="BF"/>
          <w:sz w:val="22"/>
          <w:szCs w:val="22"/>
          <w:lang w:val="en-GB"/>
        </w:rPr>
      </w:pPr>
    </w:p>
    <w:p w14:paraId="04994FAE" w14:textId="0950598A" w:rsidR="00292526" w:rsidRDefault="00292526" w:rsidP="00292526">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The</w:t>
      </w:r>
      <w:r w:rsidRPr="00292526">
        <w:rPr>
          <w:rFonts w:ascii="Avenir Next" w:hAnsi="Avenir Next" w:cs="Arial"/>
          <w:color w:val="7B7B7B" w:themeColor="accent3" w:themeShade="BF"/>
          <w:sz w:val="22"/>
          <w:szCs w:val="22"/>
          <w:lang w:val="en-GB"/>
        </w:rPr>
        <w:t xml:space="preserve"> English scheme of arrangement </w:t>
      </w:r>
      <w:r>
        <w:rPr>
          <w:rFonts w:ascii="Avenir Next" w:hAnsi="Avenir Next" w:cs="Arial"/>
          <w:color w:val="7B7B7B" w:themeColor="accent3" w:themeShade="BF"/>
          <w:sz w:val="22"/>
          <w:szCs w:val="22"/>
          <w:lang w:val="en-GB"/>
        </w:rPr>
        <w:t xml:space="preserve">can </w:t>
      </w:r>
      <w:r w:rsidRPr="00292526">
        <w:rPr>
          <w:rFonts w:ascii="Avenir Next" w:hAnsi="Avenir Next" w:cs="Arial"/>
          <w:color w:val="7B7B7B" w:themeColor="accent3" w:themeShade="BF"/>
          <w:sz w:val="22"/>
          <w:szCs w:val="22"/>
          <w:lang w:val="en-GB"/>
        </w:rPr>
        <w:t>be recognized by a US bankruptcy court under Chapter 15</w:t>
      </w:r>
      <w:r>
        <w:rPr>
          <w:rFonts w:ascii="Avenir Next" w:hAnsi="Avenir Next" w:cs="Arial"/>
          <w:color w:val="7B7B7B" w:themeColor="accent3" w:themeShade="BF"/>
          <w:sz w:val="22"/>
          <w:szCs w:val="22"/>
          <w:lang w:val="en-GB"/>
        </w:rPr>
        <w:t xml:space="preserve"> if it is considered a foreign proceeding. </w:t>
      </w:r>
      <w:r w:rsidR="00885612">
        <w:rPr>
          <w:rFonts w:ascii="Avenir Next" w:hAnsi="Avenir Next" w:cs="Arial"/>
          <w:color w:val="808080" w:themeColor="background1" w:themeShade="80"/>
          <w:sz w:val="22"/>
          <w:szCs w:val="22"/>
          <w:lang w:val="en-GB"/>
        </w:rPr>
        <w:t xml:space="preserve">“Foreign proceeding” is a key term of the </w:t>
      </w:r>
      <w:r>
        <w:rPr>
          <w:rFonts w:ascii="Avenir Next" w:hAnsi="Avenir Next" w:cs="Arial"/>
          <w:color w:val="808080" w:themeColor="background1" w:themeShade="80"/>
          <w:sz w:val="22"/>
          <w:szCs w:val="22"/>
          <w:lang w:val="en-GB"/>
        </w:rPr>
        <w:t xml:space="preserve">UNCITRAL </w:t>
      </w:r>
      <w:r w:rsidR="00885612">
        <w:rPr>
          <w:rFonts w:ascii="Avenir Next" w:hAnsi="Avenir Next" w:cs="Arial"/>
          <w:color w:val="808080" w:themeColor="background1" w:themeShade="80"/>
          <w:sz w:val="22"/>
          <w:szCs w:val="22"/>
          <w:lang w:val="en-GB"/>
        </w:rPr>
        <w:t>Model Law</w:t>
      </w:r>
      <w:r>
        <w:rPr>
          <w:rFonts w:ascii="Avenir Next" w:hAnsi="Avenir Next" w:cs="Arial"/>
          <w:color w:val="808080" w:themeColor="background1" w:themeShade="80"/>
          <w:sz w:val="22"/>
          <w:szCs w:val="22"/>
          <w:lang w:val="en-GB"/>
        </w:rPr>
        <w:t xml:space="preserve"> of Cross-Border Insolvency (MLCBI), which </w:t>
      </w:r>
      <w:r w:rsidR="0009572D">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as enacted by the USA in the Chapter 15 of the Bankruptcy Code</w:t>
      </w:r>
      <w:r w:rsidR="0009572D">
        <w:rPr>
          <w:rFonts w:ascii="Avenir Next" w:hAnsi="Avenir Next" w:cs="Arial"/>
          <w:color w:val="808080" w:themeColor="background1" w:themeShade="80"/>
          <w:sz w:val="22"/>
          <w:szCs w:val="22"/>
          <w:lang w:val="en-GB"/>
        </w:rPr>
        <w:t>.</w:t>
      </w:r>
    </w:p>
    <w:p w14:paraId="2ECF4176" w14:textId="77777777" w:rsidR="00885612" w:rsidRDefault="00885612" w:rsidP="00885612">
      <w:pPr>
        <w:ind w:left="720" w:hanging="720"/>
        <w:jc w:val="both"/>
        <w:rPr>
          <w:rFonts w:ascii="Avenir Next" w:hAnsi="Avenir Next" w:cs="Arial"/>
          <w:color w:val="808080" w:themeColor="background1" w:themeShade="80"/>
          <w:sz w:val="22"/>
          <w:szCs w:val="22"/>
          <w:lang w:val="en-GB"/>
        </w:rPr>
      </w:pPr>
    </w:p>
    <w:p w14:paraId="704DD24C" w14:textId="4A615C70" w:rsidR="00885612" w:rsidRDefault="00885612" w:rsidP="00885612">
      <w:pPr>
        <w:jc w:val="both"/>
        <w:rPr>
          <w:rFonts w:ascii="Avenir Next" w:hAnsi="Avenir Next" w:cs="Arial"/>
          <w:color w:val="808080" w:themeColor="background1" w:themeShade="80"/>
          <w:sz w:val="22"/>
          <w:szCs w:val="22"/>
          <w:lang w:val="en-GB"/>
        </w:rPr>
      </w:pPr>
      <w:r w:rsidRPr="003D763C">
        <w:rPr>
          <w:rFonts w:ascii="Avenir Next" w:hAnsi="Avenir Next" w:cs="Arial"/>
          <w:color w:val="808080" w:themeColor="background1" w:themeShade="80"/>
          <w:sz w:val="22"/>
          <w:szCs w:val="22"/>
          <w:lang w:val="en-GB"/>
        </w:rPr>
        <w:t>“Foreign proceeding” means a collective judicial or administrative</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proceeding in a foreign State, including an interim proceeding, pursuant to</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a law relating to insolvency in which proceeding the assets and affairs of</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the debtor are subject to control or supervision by a foreign court, for the</w:t>
      </w:r>
      <w:r>
        <w:rPr>
          <w:rFonts w:ascii="Avenir Next" w:hAnsi="Avenir Next" w:cs="Arial"/>
          <w:color w:val="808080" w:themeColor="background1" w:themeShade="80"/>
          <w:sz w:val="22"/>
          <w:szCs w:val="22"/>
          <w:lang w:val="en-GB"/>
        </w:rPr>
        <w:t xml:space="preserve"> </w:t>
      </w:r>
      <w:r w:rsidRPr="003D763C">
        <w:rPr>
          <w:rFonts w:ascii="Avenir Next" w:hAnsi="Avenir Next" w:cs="Arial"/>
          <w:color w:val="808080" w:themeColor="background1" w:themeShade="80"/>
          <w:sz w:val="22"/>
          <w:szCs w:val="22"/>
          <w:lang w:val="en-GB"/>
        </w:rPr>
        <w:t>purpose of reorganization or liquidation</w:t>
      </w:r>
      <w:r>
        <w:rPr>
          <w:rFonts w:ascii="Avenir Next" w:hAnsi="Avenir Next" w:cs="Arial"/>
          <w:color w:val="808080" w:themeColor="background1" w:themeShade="80"/>
          <w:sz w:val="22"/>
          <w:szCs w:val="22"/>
          <w:lang w:val="en-GB"/>
        </w:rPr>
        <w:t>” (article 2 (a) of MLCBI).</w:t>
      </w:r>
      <w:r w:rsidR="0009572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We must examine this definition is parts.</w:t>
      </w:r>
    </w:p>
    <w:p w14:paraId="74899DB3" w14:textId="77777777" w:rsidR="00885612" w:rsidRDefault="00885612" w:rsidP="00885612">
      <w:pPr>
        <w:jc w:val="both"/>
        <w:rPr>
          <w:rFonts w:ascii="Avenir Next" w:hAnsi="Avenir Next" w:cs="Arial"/>
          <w:color w:val="808080" w:themeColor="background1" w:themeShade="80"/>
          <w:sz w:val="22"/>
          <w:szCs w:val="22"/>
          <w:lang w:val="en-GB"/>
        </w:rPr>
      </w:pPr>
    </w:p>
    <w:p w14:paraId="5E73D20A" w14:textId="77777777" w:rsidR="00885612" w:rsidRDefault="00885612" w:rsidP="0088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Guide to Enactment and Interpretation of the MLCBI (“The Guide”) explains what a collective proceeding in its paragraphs 69 to 72 is. In short, a collective proceeding means a proceeding that deals with all the debt of the </w:t>
      </w:r>
      <w:proofErr w:type="gramStart"/>
      <w:r>
        <w:rPr>
          <w:rFonts w:ascii="Avenir Next" w:hAnsi="Avenir Next" w:cs="Arial"/>
          <w:color w:val="808080" w:themeColor="background1" w:themeShade="80"/>
          <w:sz w:val="22"/>
          <w:szCs w:val="22"/>
          <w:lang w:val="en-GB"/>
        </w:rPr>
        <w:t>debtor as a whole</w:t>
      </w:r>
      <w:proofErr w:type="gramEnd"/>
      <w:r>
        <w:rPr>
          <w:rFonts w:ascii="Avenir Next" w:hAnsi="Avenir Next" w:cs="Arial"/>
          <w:color w:val="808080" w:themeColor="background1" w:themeShade="80"/>
          <w:sz w:val="22"/>
          <w:szCs w:val="22"/>
          <w:lang w:val="en-GB"/>
        </w:rPr>
        <w:t xml:space="preserve">. It’s a proceeding to treat collectively of all the debtor’s obligations. It’s not a proceeding of a single creditor against the debtor, but instead is a proceeding involving the debtor and all its creditors. The goal is to achieve a global solution for all the stakeholders of an insolvency proceeding. It must be pointed out that some national laws exclude some creditors of this proceeding. However, those creditors are an exception, and the proceeding is still considered a collective proceeding. </w:t>
      </w:r>
    </w:p>
    <w:p w14:paraId="1C4DA6C5" w14:textId="77777777" w:rsidR="00885612" w:rsidRDefault="00885612" w:rsidP="00885612">
      <w:pPr>
        <w:jc w:val="both"/>
        <w:rPr>
          <w:rFonts w:ascii="Avenir Next" w:hAnsi="Avenir Next" w:cs="Arial"/>
          <w:color w:val="808080" w:themeColor="background1" w:themeShade="80"/>
          <w:sz w:val="22"/>
          <w:szCs w:val="22"/>
          <w:lang w:val="en-GB"/>
        </w:rPr>
      </w:pPr>
    </w:p>
    <w:p w14:paraId="6A03A4F0" w14:textId="77777777" w:rsidR="00885612" w:rsidRDefault="00885612" w:rsidP="0088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proceeding must be pursuant to a law relating to insolvency, which is explained in paragraph 73 of the Guide.  The applicable law doesn’t need to be labelled as insolvency </w:t>
      </w:r>
      <w:proofErr w:type="gramStart"/>
      <w:r>
        <w:rPr>
          <w:rFonts w:ascii="Avenir Next" w:hAnsi="Avenir Next" w:cs="Arial"/>
          <w:color w:val="808080" w:themeColor="background1" w:themeShade="80"/>
          <w:sz w:val="22"/>
          <w:szCs w:val="22"/>
          <w:lang w:val="en-GB"/>
        </w:rPr>
        <w:t>law, but</w:t>
      </w:r>
      <w:proofErr w:type="gramEnd"/>
      <w:r>
        <w:rPr>
          <w:rFonts w:ascii="Avenir Next" w:hAnsi="Avenir Next" w:cs="Arial"/>
          <w:color w:val="808080" w:themeColor="background1" w:themeShade="80"/>
          <w:sz w:val="22"/>
          <w:szCs w:val="22"/>
          <w:lang w:val="en-GB"/>
        </w:rPr>
        <w:t xml:space="preserve"> has to “</w:t>
      </w:r>
      <w:r w:rsidRPr="0028450D">
        <w:rPr>
          <w:rFonts w:ascii="Avenir Next" w:hAnsi="Avenir Next" w:cs="Arial"/>
          <w:color w:val="808080" w:themeColor="background1" w:themeShade="80"/>
          <w:sz w:val="22"/>
          <w:szCs w:val="22"/>
          <w:lang w:val="en-GB"/>
        </w:rPr>
        <w:t>deals</w:t>
      </w:r>
      <w:r>
        <w:rPr>
          <w:rFonts w:ascii="Avenir Next" w:hAnsi="Avenir Next" w:cs="Arial"/>
          <w:color w:val="808080" w:themeColor="background1" w:themeShade="80"/>
          <w:sz w:val="22"/>
          <w:szCs w:val="22"/>
          <w:lang w:val="en-GB"/>
        </w:rPr>
        <w:t xml:space="preserve"> </w:t>
      </w:r>
      <w:r w:rsidRPr="0028450D">
        <w:rPr>
          <w:rFonts w:ascii="Avenir Next" w:hAnsi="Avenir Next" w:cs="Arial"/>
          <w:color w:val="808080" w:themeColor="background1" w:themeShade="80"/>
          <w:sz w:val="22"/>
          <w:szCs w:val="22"/>
          <w:lang w:val="en-GB"/>
        </w:rPr>
        <w:t>with or addresses insolvency or severe financial distress</w:t>
      </w:r>
      <w:r>
        <w:rPr>
          <w:rFonts w:ascii="Avenir Next" w:hAnsi="Avenir Next" w:cs="Arial"/>
          <w:color w:val="808080" w:themeColor="background1" w:themeShade="80"/>
          <w:sz w:val="22"/>
          <w:szCs w:val="22"/>
          <w:lang w:val="en-GB"/>
        </w:rPr>
        <w:t>”. According to the Guide: “</w:t>
      </w:r>
      <w:r w:rsidRPr="0081578D">
        <w:rPr>
          <w:rFonts w:ascii="Avenir Next" w:hAnsi="Avenir Next" w:cs="Arial"/>
          <w:color w:val="808080" w:themeColor="background1" w:themeShade="80"/>
          <w:sz w:val="22"/>
          <w:szCs w:val="22"/>
          <w:lang w:val="en-GB"/>
        </w:rPr>
        <w:t>The purpose was</w:t>
      </w:r>
      <w:r>
        <w:rPr>
          <w:rFonts w:ascii="Avenir Next" w:hAnsi="Avenir Next" w:cs="Arial"/>
          <w:color w:val="808080" w:themeColor="background1" w:themeShade="80"/>
          <w:sz w:val="22"/>
          <w:szCs w:val="22"/>
          <w:lang w:val="en-GB"/>
        </w:rPr>
        <w:t xml:space="preserve"> </w:t>
      </w:r>
      <w:r w:rsidRPr="0081578D">
        <w:rPr>
          <w:rFonts w:ascii="Avenir Next" w:hAnsi="Avenir Next" w:cs="Arial"/>
          <w:color w:val="808080" w:themeColor="background1" w:themeShade="80"/>
          <w:sz w:val="22"/>
          <w:szCs w:val="22"/>
          <w:lang w:val="en-GB"/>
        </w:rPr>
        <w:t>to find a description that was sufficiently broad to encompass a range of</w:t>
      </w:r>
      <w:r>
        <w:rPr>
          <w:rFonts w:ascii="Avenir Next" w:hAnsi="Avenir Next" w:cs="Arial"/>
          <w:color w:val="808080" w:themeColor="background1" w:themeShade="80"/>
          <w:sz w:val="22"/>
          <w:szCs w:val="22"/>
          <w:lang w:val="en-GB"/>
        </w:rPr>
        <w:t xml:space="preserve"> </w:t>
      </w:r>
      <w:r w:rsidRPr="0081578D">
        <w:rPr>
          <w:rFonts w:ascii="Avenir Next" w:hAnsi="Avenir Next" w:cs="Arial"/>
          <w:color w:val="808080" w:themeColor="background1" w:themeShade="80"/>
          <w:sz w:val="22"/>
          <w:szCs w:val="22"/>
          <w:lang w:val="en-GB"/>
        </w:rPr>
        <w:t xml:space="preserve">insolvency rules irrespective </w:t>
      </w:r>
      <w:r w:rsidRPr="0081578D">
        <w:rPr>
          <w:rFonts w:ascii="Avenir Next" w:hAnsi="Avenir Next" w:cs="Arial"/>
          <w:color w:val="808080" w:themeColor="background1" w:themeShade="80"/>
          <w:sz w:val="22"/>
          <w:szCs w:val="22"/>
          <w:lang w:val="en-GB"/>
        </w:rPr>
        <w:lastRenderedPageBreak/>
        <w:t>of the type of statute or law in which they</w:t>
      </w:r>
      <w:r>
        <w:rPr>
          <w:rFonts w:ascii="Avenir Next" w:hAnsi="Avenir Next" w:cs="Arial"/>
          <w:color w:val="808080" w:themeColor="background1" w:themeShade="80"/>
          <w:sz w:val="22"/>
          <w:szCs w:val="22"/>
          <w:lang w:val="en-GB"/>
        </w:rPr>
        <w:t xml:space="preserve"> </w:t>
      </w:r>
      <w:r w:rsidRPr="0081578D">
        <w:rPr>
          <w:rFonts w:ascii="Avenir Next" w:hAnsi="Avenir Next" w:cs="Arial"/>
          <w:color w:val="808080" w:themeColor="background1" w:themeShade="80"/>
          <w:sz w:val="22"/>
          <w:szCs w:val="22"/>
          <w:lang w:val="en-GB"/>
        </w:rPr>
        <w:t>might be contained and irrespective of whether the law that contained the</w:t>
      </w:r>
      <w:r>
        <w:rPr>
          <w:rFonts w:ascii="Avenir Next" w:hAnsi="Avenir Next" w:cs="Arial"/>
          <w:color w:val="808080" w:themeColor="background1" w:themeShade="80"/>
          <w:sz w:val="22"/>
          <w:szCs w:val="22"/>
          <w:lang w:val="en-GB"/>
        </w:rPr>
        <w:t xml:space="preserve"> </w:t>
      </w:r>
      <w:r w:rsidRPr="0081578D">
        <w:rPr>
          <w:rFonts w:ascii="Avenir Next" w:hAnsi="Avenir Next" w:cs="Arial"/>
          <w:color w:val="808080" w:themeColor="background1" w:themeShade="80"/>
          <w:sz w:val="22"/>
          <w:szCs w:val="22"/>
          <w:lang w:val="en-GB"/>
        </w:rPr>
        <w:t>rules related exclusively to insolvency</w:t>
      </w:r>
      <w:r>
        <w:rPr>
          <w:rFonts w:ascii="Avenir Next" w:hAnsi="Avenir Next" w:cs="Arial"/>
          <w:color w:val="808080" w:themeColor="background1" w:themeShade="80"/>
          <w:sz w:val="22"/>
          <w:szCs w:val="22"/>
          <w:lang w:val="en-GB"/>
        </w:rPr>
        <w:t xml:space="preserve">”. So, the debtor must </w:t>
      </w:r>
      <w:r w:rsidRPr="0081578D">
        <w:rPr>
          <w:rFonts w:ascii="Avenir Next" w:hAnsi="Avenir Next" w:cs="Arial"/>
          <w:color w:val="808080" w:themeColor="background1" w:themeShade="80"/>
          <w:sz w:val="22"/>
          <w:szCs w:val="22"/>
          <w:lang w:val="en-GB"/>
        </w:rPr>
        <w:t>seek to restructure the financial affairs of the entity</w:t>
      </w:r>
      <w:r>
        <w:rPr>
          <w:rFonts w:ascii="Avenir Next" w:hAnsi="Avenir Next" w:cs="Arial"/>
          <w:color w:val="808080" w:themeColor="background1" w:themeShade="80"/>
          <w:sz w:val="22"/>
          <w:szCs w:val="22"/>
          <w:lang w:val="en-GB"/>
        </w:rPr>
        <w:t xml:space="preserve"> or liquidate the entity and not only dissolve its legal status. The </w:t>
      </w:r>
      <w:proofErr w:type="gramStart"/>
      <w:r>
        <w:rPr>
          <w:rFonts w:ascii="Avenir Next" w:hAnsi="Avenir Next" w:cs="Arial"/>
          <w:color w:val="808080" w:themeColor="background1" w:themeShade="80"/>
          <w:sz w:val="22"/>
          <w:szCs w:val="22"/>
          <w:lang w:val="en-GB"/>
        </w:rPr>
        <w:t>simply</w:t>
      </w:r>
      <w:proofErr w:type="gramEnd"/>
      <w:r>
        <w:rPr>
          <w:rFonts w:ascii="Avenir Next" w:hAnsi="Avenir Next" w:cs="Arial"/>
          <w:color w:val="808080" w:themeColor="background1" w:themeShade="80"/>
          <w:sz w:val="22"/>
          <w:szCs w:val="22"/>
          <w:lang w:val="en-GB"/>
        </w:rPr>
        <w:t xml:space="preserve"> dissolution of a solvent company is not a insolvency proceeding.</w:t>
      </w:r>
    </w:p>
    <w:p w14:paraId="28DB6F12" w14:textId="77777777" w:rsidR="00885612" w:rsidRDefault="00885612" w:rsidP="00885612">
      <w:pPr>
        <w:jc w:val="both"/>
        <w:rPr>
          <w:rFonts w:ascii="Avenir Next" w:hAnsi="Avenir Next" w:cs="Arial"/>
          <w:color w:val="808080" w:themeColor="background1" w:themeShade="80"/>
          <w:sz w:val="22"/>
          <w:szCs w:val="22"/>
          <w:lang w:val="en-GB"/>
        </w:rPr>
      </w:pPr>
    </w:p>
    <w:p w14:paraId="0540BDE4" w14:textId="77777777" w:rsidR="00885612" w:rsidRDefault="00885612" w:rsidP="0088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proceeding must be subject to the control or supervision of by a foreign court. However, by “court”, it could be a judicial or an administrative authority, according to the definition in article 2 (e) of the MLCBI. The Guide is also explicit in admitting an administrative authority to be considered a foreign court (paragraph 87). Besides, is common in different countries that insolvencies related to banks are oversees by administrative authorities. </w:t>
      </w:r>
    </w:p>
    <w:p w14:paraId="1FC177B9" w14:textId="77777777" w:rsidR="00885612" w:rsidRDefault="00885612" w:rsidP="00885612">
      <w:pPr>
        <w:jc w:val="both"/>
        <w:rPr>
          <w:rFonts w:ascii="Avenir Next" w:hAnsi="Avenir Next" w:cs="Arial"/>
          <w:color w:val="808080" w:themeColor="background1" w:themeShade="80"/>
          <w:sz w:val="22"/>
          <w:szCs w:val="22"/>
          <w:lang w:val="en-GB"/>
        </w:rPr>
      </w:pPr>
    </w:p>
    <w:p w14:paraId="45540DF7" w14:textId="77777777" w:rsidR="0009572D" w:rsidRDefault="00885612" w:rsidP="0088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Guide to Enactment and Interpretation of the MLCBI explains what a control or supervision by a foreign court in its paragraphs 74 to 76 is. The assets and affairs or the debtor are subject to control or supervision of the foreign court. </w:t>
      </w:r>
    </w:p>
    <w:p w14:paraId="1490BA99" w14:textId="77777777" w:rsidR="0009572D" w:rsidRDefault="0009572D" w:rsidP="00885612">
      <w:pPr>
        <w:jc w:val="both"/>
        <w:rPr>
          <w:rFonts w:ascii="Avenir Next" w:hAnsi="Avenir Next" w:cs="Arial"/>
          <w:color w:val="808080" w:themeColor="background1" w:themeShade="80"/>
          <w:sz w:val="22"/>
          <w:szCs w:val="22"/>
          <w:lang w:val="en-GB"/>
        </w:rPr>
      </w:pPr>
    </w:p>
    <w:p w14:paraId="0937B590" w14:textId="4A55F52C" w:rsidR="0009572D" w:rsidRDefault="0009572D" w:rsidP="000957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a very comprehensive definition, that includes very different proceedings foreseen in different national laws, including the Brazilian </w:t>
      </w:r>
      <w:proofErr w:type="spellStart"/>
      <w:r>
        <w:rPr>
          <w:rFonts w:ascii="Avenir Next" w:hAnsi="Avenir Next" w:cs="Arial"/>
          <w:color w:val="808080" w:themeColor="background1" w:themeShade="80"/>
          <w:sz w:val="22"/>
          <w:szCs w:val="22"/>
          <w:lang w:val="en-GB"/>
        </w:rPr>
        <w:t>recuperação</w:t>
      </w:r>
      <w:proofErr w:type="spellEnd"/>
      <w:r>
        <w:rPr>
          <w:rFonts w:ascii="Avenir Next" w:hAnsi="Avenir Next" w:cs="Arial"/>
          <w:color w:val="808080" w:themeColor="background1" w:themeShade="80"/>
          <w:sz w:val="22"/>
          <w:szCs w:val="22"/>
          <w:lang w:val="en-GB"/>
        </w:rPr>
        <w:t xml:space="preserve"> judicial, the Australian creditor-appointed receivers and the English </w:t>
      </w:r>
      <w:r w:rsidRPr="0009572D">
        <w:rPr>
          <w:rFonts w:ascii="Avenir Next" w:hAnsi="Avenir Next" w:cs="Arial"/>
          <w:color w:val="808080" w:themeColor="background1" w:themeShade="80"/>
          <w:sz w:val="22"/>
          <w:szCs w:val="22"/>
          <w:lang w:val="en-GB"/>
        </w:rPr>
        <w:t>schemes of arrangement</w:t>
      </w:r>
      <w:r>
        <w:rPr>
          <w:rFonts w:ascii="Avenir Next" w:hAnsi="Avenir Next" w:cs="Arial"/>
          <w:color w:val="808080" w:themeColor="background1" w:themeShade="80"/>
          <w:sz w:val="22"/>
          <w:szCs w:val="22"/>
          <w:lang w:val="en-GB"/>
        </w:rPr>
        <w:t>, because all the above conditions are met</w:t>
      </w:r>
      <w:r w:rsidR="002638F2">
        <w:rPr>
          <w:rFonts w:ascii="Avenir Next" w:hAnsi="Avenir Next" w:cs="Arial"/>
          <w:color w:val="808080" w:themeColor="background1" w:themeShade="80"/>
          <w:sz w:val="22"/>
          <w:szCs w:val="22"/>
          <w:lang w:val="en-GB"/>
        </w:rPr>
        <w:t xml:space="preserve"> to be considered a foreign proceeding.</w:t>
      </w:r>
    </w:p>
    <w:p w14:paraId="57C4CF11" w14:textId="3448914C" w:rsidR="0009572D" w:rsidRDefault="0009572D" w:rsidP="0009572D">
      <w:pPr>
        <w:jc w:val="both"/>
        <w:rPr>
          <w:rFonts w:ascii="Avenir Next" w:hAnsi="Avenir Next" w:cs="Arial"/>
          <w:color w:val="808080" w:themeColor="background1" w:themeShade="80"/>
          <w:sz w:val="22"/>
          <w:szCs w:val="22"/>
          <w:lang w:val="en-GB"/>
        </w:rPr>
      </w:pPr>
    </w:p>
    <w:p w14:paraId="6546719B" w14:textId="2E27C2AB" w:rsidR="0009572D" w:rsidRDefault="0009572D" w:rsidP="000957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the answer is yes, </w:t>
      </w:r>
      <w:r w:rsidRPr="00292526">
        <w:rPr>
          <w:rFonts w:ascii="Avenir Next" w:hAnsi="Avenir Next" w:cs="Arial"/>
          <w:color w:val="7B7B7B" w:themeColor="accent3" w:themeShade="BF"/>
          <w:sz w:val="22"/>
          <w:szCs w:val="22"/>
          <w:lang w:val="en-GB"/>
        </w:rPr>
        <w:t xml:space="preserve">the English scheme of arrangement </w:t>
      </w:r>
      <w:r>
        <w:rPr>
          <w:rFonts w:ascii="Avenir Next" w:hAnsi="Avenir Next" w:cs="Arial"/>
          <w:color w:val="7B7B7B" w:themeColor="accent3" w:themeShade="BF"/>
          <w:sz w:val="22"/>
          <w:szCs w:val="22"/>
          <w:lang w:val="en-GB"/>
        </w:rPr>
        <w:t xml:space="preserve">can </w:t>
      </w:r>
      <w:r w:rsidRPr="00292526">
        <w:rPr>
          <w:rFonts w:ascii="Avenir Next" w:hAnsi="Avenir Next" w:cs="Arial"/>
          <w:color w:val="7B7B7B" w:themeColor="accent3" w:themeShade="BF"/>
          <w:sz w:val="22"/>
          <w:szCs w:val="22"/>
          <w:lang w:val="en-GB"/>
        </w:rPr>
        <w:t>be recognized by a US bankruptcy court under Chapter 15</w:t>
      </w:r>
      <w:r>
        <w:rPr>
          <w:rFonts w:ascii="Avenir Next" w:hAnsi="Avenir Next" w:cs="Arial"/>
          <w:color w:val="7B7B7B" w:themeColor="accent3" w:themeShade="BF"/>
          <w:sz w:val="22"/>
          <w:szCs w:val="22"/>
          <w:lang w:val="en-GB"/>
        </w:rPr>
        <w:t>.</w:t>
      </w:r>
    </w:p>
    <w:p w14:paraId="27C0606B" w14:textId="77777777" w:rsidR="002638F2" w:rsidRDefault="002638F2" w:rsidP="002638F2">
      <w:pPr>
        <w:jc w:val="both"/>
        <w:rPr>
          <w:rFonts w:ascii="Avenir Next" w:hAnsi="Avenir Next" w:cs="Arial"/>
          <w:color w:val="7B7B7B" w:themeColor="accent3" w:themeShade="BF"/>
          <w:sz w:val="22"/>
          <w:szCs w:val="22"/>
          <w:lang w:val="en-GB"/>
        </w:rPr>
      </w:pPr>
    </w:p>
    <w:p w14:paraId="1A3FB72C" w14:textId="3DC5180C" w:rsidR="002638F2" w:rsidRDefault="002638F2" w:rsidP="002638F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w:t>
      </w:r>
      <w:r w:rsidRPr="00292526">
        <w:t xml:space="preserve"> </w:t>
      </w:r>
      <w:r w:rsidRPr="002638F2">
        <w:rPr>
          <w:rFonts w:ascii="Avenir Next" w:hAnsi="Avenir Next" w:cs="Arial"/>
          <w:color w:val="7B7B7B" w:themeColor="accent3" w:themeShade="BF"/>
          <w:sz w:val="22"/>
          <w:szCs w:val="22"/>
          <w:lang w:val="en-GB"/>
        </w:rPr>
        <w:t>would such recognition be as a foreign main or non-main proceeding</w:t>
      </w:r>
      <w:r>
        <w:rPr>
          <w:rFonts w:ascii="Avenir Next" w:hAnsi="Avenir Next" w:cs="Arial"/>
          <w:color w:val="7B7B7B" w:themeColor="accent3" w:themeShade="BF"/>
          <w:sz w:val="22"/>
          <w:szCs w:val="22"/>
          <w:lang w:val="en-GB"/>
        </w:rPr>
        <w:t>?</w:t>
      </w:r>
    </w:p>
    <w:p w14:paraId="29B5DD6F" w14:textId="6EA1C98A" w:rsidR="002638F2" w:rsidRDefault="002638F2" w:rsidP="00885612">
      <w:pPr>
        <w:jc w:val="both"/>
        <w:rPr>
          <w:rFonts w:ascii="Avenir Next" w:hAnsi="Avenir Next" w:cs="Arial"/>
          <w:color w:val="808080" w:themeColor="background1" w:themeShade="80"/>
          <w:sz w:val="22"/>
          <w:szCs w:val="22"/>
          <w:lang w:val="en-GB"/>
        </w:rPr>
      </w:pPr>
    </w:p>
    <w:p w14:paraId="4FBDAF10" w14:textId="7A56025E" w:rsidR="002638F2" w:rsidRDefault="002638F2" w:rsidP="0088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answer for this question depends on</w:t>
      </w:r>
      <w:r w:rsidR="004F247A">
        <w:rPr>
          <w:rFonts w:ascii="Avenir Next" w:hAnsi="Avenir Next" w:cs="Arial"/>
          <w:color w:val="808080" w:themeColor="background1" w:themeShade="80"/>
          <w:sz w:val="22"/>
          <w:szCs w:val="22"/>
          <w:lang w:val="en-GB"/>
        </w:rPr>
        <w:t xml:space="preserve"> where the centre of main interests (COMI) of the debtor is. If the COMI </w:t>
      </w:r>
      <w:r w:rsidR="00F10184">
        <w:rPr>
          <w:rFonts w:ascii="Avenir Next" w:hAnsi="Avenir Next" w:cs="Arial"/>
          <w:color w:val="808080" w:themeColor="background1" w:themeShade="80"/>
          <w:sz w:val="22"/>
          <w:szCs w:val="22"/>
          <w:lang w:val="en-GB"/>
        </w:rPr>
        <w:t>is in</w:t>
      </w:r>
      <w:r w:rsidR="004F247A">
        <w:rPr>
          <w:rFonts w:ascii="Avenir Next" w:hAnsi="Avenir Next" w:cs="Arial"/>
          <w:color w:val="808080" w:themeColor="background1" w:themeShade="80"/>
          <w:sz w:val="22"/>
          <w:szCs w:val="22"/>
          <w:lang w:val="en-GB"/>
        </w:rPr>
        <w:t xml:space="preserve"> England, the English scheme of arrangement will be recognized as a foreign main proceeding. On the other hand, if there is </w:t>
      </w:r>
      <w:r w:rsidR="00F10184">
        <w:rPr>
          <w:rFonts w:ascii="Avenir Next" w:hAnsi="Avenir Next" w:cs="Arial"/>
          <w:color w:val="808080" w:themeColor="background1" w:themeShade="80"/>
          <w:sz w:val="22"/>
          <w:szCs w:val="22"/>
          <w:lang w:val="en-GB"/>
        </w:rPr>
        <w:t xml:space="preserve">only </w:t>
      </w:r>
      <w:r w:rsidR="004F247A">
        <w:rPr>
          <w:rFonts w:ascii="Avenir Next" w:hAnsi="Avenir Next" w:cs="Arial"/>
          <w:color w:val="808080" w:themeColor="background1" w:themeShade="80"/>
          <w:sz w:val="22"/>
          <w:szCs w:val="22"/>
          <w:lang w:val="en-GB"/>
        </w:rPr>
        <w:t>an establishment in England, but the COMI is elsewhere, the English scheme of arrangement will be recognized as a foreign non-main proceeding.</w:t>
      </w:r>
    </w:p>
    <w:p w14:paraId="6CAF055E" w14:textId="77777777" w:rsidR="002638F2" w:rsidRDefault="002638F2" w:rsidP="00885612">
      <w:pPr>
        <w:jc w:val="both"/>
        <w:rPr>
          <w:rFonts w:ascii="Avenir Next" w:hAnsi="Avenir Next" w:cs="Arial"/>
          <w:color w:val="808080" w:themeColor="background1" w:themeShade="80"/>
          <w:sz w:val="22"/>
          <w:szCs w:val="22"/>
          <w:lang w:val="en-GB"/>
        </w:rPr>
      </w:pPr>
    </w:p>
    <w:p w14:paraId="6AE5F031" w14:textId="41110297" w:rsidR="004F247A" w:rsidRDefault="004F247A" w:rsidP="002638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638F2">
        <w:rPr>
          <w:rFonts w:ascii="Avenir Next" w:hAnsi="Avenir Next" w:cs="Arial"/>
          <w:color w:val="808080" w:themeColor="background1" w:themeShade="80"/>
          <w:sz w:val="22"/>
          <w:szCs w:val="22"/>
          <w:lang w:val="en-GB"/>
        </w:rPr>
        <w:t xml:space="preserve">he COMI is the </w:t>
      </w:r>
      <w:r w:rsidR="002638F2" w:rsidRPr="00C20586">
        <w:rPr>
          <w:rFonts w:ascii="Avenir Next" w:hAnsi="Avenir Next" w:cs="Arial"/>
          <w:color w:val="808080" w:themeColor="background1" w:themeShade="80"/>
          <w:sz w:val="22"/>
          <w:szCs w:val="22"/>
          <w:lang w:val="en-GB"/>
        </w:rPr>
        <w:t xml:space="preserve">place where the debtor conducts the administration of its interests on a regular </w:t>
      </w:r>
      <w:proofErr w:type="gramStart"/>
      <w:r w:rsidR="002638F2" w:rsidRPr="00C20586">
        <w:rPr>
          <w:rFonts w:ascii="Avenir Next" w:hAnsi="Avenir Next" w:cs="Arial"/>
          <w:color w:val="808080" w:themeColor="background1" w:themeShade="80"/>
          <w:sz w:val="22"/>
          <w:szCs w:val="22"/>
          <w:lang w:val="en-GB"/>
        </w:rPr>
        <w:t>basis</w:t>
      </w:r>
      <w:proofErr w:type="gramEnd"/>
      <w:r w:rsidR="002638F2" w:rsidRPr="00C20586">
        <w:rPr>
          <w:rFonts w:ascii="Avenir Next" w:hAnsi="Avenir Next" w:cs="Arial"/>
          <w:color w:val="808080" w:themeColor="background1" w:themeShade="80"/>
          <w:sz w:val="22"/>
          <w:szCs w:val="22"/>
          <w:lang w:val="en-GB"/>
        </w:rPr>
        <w:t xml:space="preserve"> and which is ascertainable by third parties.</w:t>
      </w:r>
      <w:r w:rsidR="002638F2">
        <w:rPr>
          <w:rFonts w:ascii="Avenir Next" w:hAnsi="Avenir Next" w:cs="Arial"/>
          <w:color w:val="808080" w:themeColor="background1" w:themeShade="80"/>
          <w:sz w:val="22"/>
          <w:szCs w:val="22"/>
          <w:lang w:val="en-GB"/>
        </w:rPr>
        <w:t xml:space="preserve"> There is a rebuttable presumption that i</w:t>
      </w:r>
      <w:r w:rsidR="002638F2" w:rsidRPr="003E0B65">
        <w:rPr>
          <w:rFonts w:ascii="Avenir Next" w:hAnsi="Avenir Next" w:cs="Arial"/>
          <w:color w:val="808080" w:themeColor="background1" w:themeShade="80"/>
          <w:sz w:val="22"/>
          <w:szCs w:val="22"/>
          <w:lang w:val="en-GB"/>
        </w:rPr>
        <w:t>n the absence of proof to the contrary, the debtor’s registered</w:t>
      </w:r>
      <w:r w:rsidR="002638F2">
        <w:rPr>
          <w:rFonts w:ascii="Avenir Next" w:hAnsi="Avenir Next" w:cs="Arial"/>
          <w:color w:val="808080" w:themeColor="background1" w:themeShade="80"/>
          <w:sz w:val="22"/>
          <w:szCs w:val="22"/>
          <w:lang w:val="en-GB"/>
        </w:rPr>
        <w:t xml:space="preserve"> </w:t>
      </w:r>
      <w:r w:rsidR="002638F2" w:rsidRPr="003E0B65">
        <w:rPr>
          <w:rFonts w:ascii="Avenir Next" w:hAnsi="Avenir Next" w:cs="Arial"/>
          <w:color w:val="808080" w:themeColor="background1" w:themeShade="80"/>
          <w:sz w:val="22"/>
          <w:szCs w:val="22"/>
          <w:lang w:val="en-GB"/>
        </w:rPr>
        <w:t>office, or habitual residence in the case of an individual, is presumed to be</w:t>
      </w:r>
      <w:r w:rsidR="002638F2">
        <w:rPr>
          <w:rFonts w:ascii="Avenir Next" w:hAnsi="Avenir Next" w:cs="Arial"/>
          <w:color w:val="808080" w:themeColor="background1" w:themeShade="80"/>
          <w:sz w:val="22"/>
          <w:szCs w:val="22"/>
          <w:lang w:val="en-GB"/>
        </w:rPr>
        <w:t xml:space="preserve"> </w:t>
      </w:r>
      <w:r w:rsidR="002638F2" w:rsidRPr="003E0B65">
        <w:rPr>
          <w:rFonts w:ascii="Avenir Next" w:hAnsi="Avenir Next" w:cs="Arial"/>
          <w:color w:val="808080" w:themeColor="background1" w:themeShade="80"/>
          <w:sz w:val="22"/>
          <w:szCs w:val="22"/>
          <w:lang w:val="en-GB"/>
        </w:rPr>
        <w:t>the centre of the debtor’s main interests</w:t>
      </w:r>
      <w:r>
        <w:rPr>
          <w:rFonts w:ascii="Avenir Next" w:hAnsi="Avenir Next" w:cs="Arial"/>
          <w:color w:val="808080" w:themeColor="background1" w:themeShade="80"/>
          <w:sz w:val="22"/>
          <w:szCs w:val="22"/>
          <w:lang w:val="en-GB"/>
        </w:rPr>
        <w:t xml:space="preserve"> (</w:t>
      </w:r>
      <w:r w:rsidRPr="004F247A">
        <w:rPr>
          <w:rFonts w:ascii="Avenir Next" w:hAnsi="Avenir Next" w:cs="Arial"/>
          <w:color w:val="808080" w:themeColor="background1" w:themeShade="80"/>
          <w:sz w:val="22"/>
          <w:szCs w:val="22"/>
          <w:lang w:val="en-GB"/>
        </w:rPr>
        <w:t>11 U.S. Code § 1516</w:t>
      </w:r>
      <w:r>
        <w:rPr>
          <w:rFonts w:ascii="Avenir Next" w:hAnsi="Avenir Next" w:cs="Arial"/>
          <w:color w:val="808080" w:themeColor="background1" w:themeShade="80"/>
          <w:sz w:val="22"/>
          <w:szCs w:val="22"/>
          <w:lang w:val="en-GB"/>
        </w:rPr>
        <w:t xml:space="preserve"> (c)).</w:t>
      </w:r>
    </w:p>
    <w:p w14:paraId="49A0AAE4" w14:textId="449D2A0E" w:rsidR="002638F2" w:rsidRDefault="002638F2" w:rsidP="00885612">
      <w:pPr>
        <w:jc w:val="both"/>
        <w:rPr>
          <w:rFonts w:ascii="Avenir Next" w:hAnsi="Avenir Next" w:cs="Arial"/>
          <w:color w:val="808080" w:themeColor="background1" w:themeShade="80"/>
          <w:sz w:val="22"/>
          <w:szCs w:val="22"/>
          <w:lang w:val="en-GB"/>
        </w:rPr>
      </w:pPr>
    </w:p>
    <w:p w14:paraId="3037927E" w14:textId="5E580364" w:rsidR="00DA4F54" w:rsidRDefault="00DA4F54" w:rsidP="00F03051">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Having this in mind, let’s check where the COMI of Stella SA is. Given the fact that the company’s headquarters are in Paris that is a presumption that the COMI is in France</w:t>
      </w:r>
      <w:r w:rsidR="00F10184">
        <w:rPr>
          <w:rFonts w:ascii="Avenir Next" w:hAnsi="Avenir Next" w:cs="Arial"/>
          <w:color w:val="808080" w:themeColor="background1" w:themeShade="80"/>
          <w:sz w:val="22"/>
          <w:szCs w:val="22"/>
          <w:lang w:val="en-GB"/>
        </w:rPr>
        <w:t>, because in Paris probably is the centre of control of the company</w:t>
      </w:r>
      <w:r>
        <w:rPr>
          <w:rFonts w:ascii="Avenir Next" w:hAnsi="Avenir Next" w:cs="Arial"/>
          <w:color w:val="808080" w:themeColor="background1" w:themeShade="80"/>
          <w:sz w:val="22"/>
          <w:szCs w:val="22"/>
          <w:lang w:val="en-GB"/>
        </w:rPr>
        <w:t>.</w:t>
      </w:r>
      <w:r w:rsidR="00F10184">
        <w:rPr>
          <w:rFonts w:ascii="Avenir Next" w:hAnsi="Avenir Next" w:cs="Arial"/>
          <w:color w:val="808080" w:themeColor="background1" w:themeShade="80"/>
          <w:sz w:val="22"/>
          <w:szCs w:val="22"/>
          <w:lang w:val="en-GB"/>
        </w:rPr>
        <w:t xml:space="preserve"> Besides, in England there is only a </w:t>
      </w:r>
      <w:r w:rsidR="00F10184" w:rsidRPr="00F10184">
        <w:rPr>
          <w:rFonts w:ascii="Avenir Next" w:hAnsi="Avenir Next" w:cs="Arial"/>
          <w:color w:val="7B7B7B" w:themeColor="accent3" w:themeShade="BF"/>
          <w:sz w:val="22"/>
          <w:szCs w:val="22"/>
          <w:lang w:val="en-GB"/>
        </w:rPr>
        <w:t>retail stores</w:t>
      </w:r>
      <w:r w:rsidR="00F10184">
        <w:rPr>
          <w:rFonts w:ascii="Avenir Next" w:hAnsi="Avenir Next" w:cs="Arial"/>
          <w:color w:val="7B7B7B" w:themeColor="accent3" w:themeShade="BF"/>
          <w:sz w:val="22"/>
          <w:szCs w:val="22"/>
          <w:lang w:val="en-GB"/>
        </w:rPr>
        <w:t xml:space="preserve">, which can be considered an establishment. Thus, the English scheme of arrangement </w:t>
      </w:r>
      <w:r w:rsidR="00F10184" w:rsidRPr="002638F2">
        <w:rPr>
          <w:rFonts w:ascii="Avenir Next" w:hAnsi="Avenir Next" w:cs="Arial"/>
          <w:color w:val="7B7B7B" w:themeColor="accent3" w:themeShade="BF"/>
          <w:sz w:val="22"/>
          <w:szCs w:val="22"/>
          <w:lang w:val="en-GB"/>
        </w:rPr>
        <w:t xml:space="preserve">would </w:t>
      </w:r>
      <w:r w:rsidR="00F10184">
        <w:rPr>
          <w:rFonts w:ascii="Avenir Next" w:hAnsi="Avenir Next" w:cs="Arial"/>
          <w:color w:val="7B7B7B" w:themeColor="accent3" w:themeShade="BF"/>
          <w:sz w:val="22"/>
          <w:szCs w:val="22"/>
          <w:lang w:val="en-GB"/>
        </w:rPr>
        <w:t>be recognize</w:t>
      </w:r>
      <w:r w:rsidR="00BF46BD">
        <w:rPr>
          <w:rFonts w:ascii="Avenir Next" w:hAnsi="Avenir Next" w:cs="Arial"/>
          <w:color w:val="7B7B7B" w:themeColor="accent3" w:themeShade="BF"/>
          <w:sz w:val="22"/>
          <w:szCs w:val="22"/>
          <w:lang w:val="en-GB"/>
        </w:rPr>
        <w:t>d</w:t>
      </w:r>
      <w:r w:rsidR="00F10184">
        <w:rPr>
          <w:rFonts w:ascii="Avenir Next" w:hAnsi="Avenir Next" w:cs="Arial"/>
          <w:color w:val="7B7B7B" w:themeColor="accent3" w:themeShade="BF"/>
          <w:sz w:val="22"/>
          <w:szCs w:val="22"/>
          <w:lang w:val="en-GB"/>
        </w:rPr>
        <w:t xml:space="preserve"> as a</w:t>
      </w:r>
      <w:r w:rsidR="00F10184" w:rsidRPr="002638F2">
        <w:rPr>
          <w:rFonts w:ascii="Avenir Next" w:hAnsi="Avenir Next" w:cs="Arial"/>
          <w:color w:val="7B7B7B" w:themeColor="accent3" w:themeShade="BF"/>
          <w:sz w:val="22"/>
          <w:szCs w:val="22"/>
          <w:lang w:val="en-GB"/>
        </w:rPr>
        <w:t xml:space="preserve"> foreign non-main proceeding</w:t>
      </w:r>
      <w:r w:rsidR="00F10184">
        <w:rPr>
          <w:rFonts w:ascii="Avenir Next" w:hAnsi="Avenir Next" w:cs="Arial"/>
          <w:color w:val="7B7B7B" w:themeColor="accent3" w:themeShade="BF"/>
          <w:sz w:val="22"/>
          <w:szCs w:val="22"/>
          <w:lang w:val="en-GB"/>
        </w:rPr>
        <w:t>.</w:t>
      </w:r>
    </w:p>
    <w:p w14:paraId="500965F2" w14:textId="1398D0EE" w:rsidR="00F10184" w:rsidRDefault="00F10184" w:rsidP="00F03051">
      <w:pPr>
        <w:jc w:val="both"/>
        <w:rPr>
          <w:rFonts w:ascii="Avenir Next" w:hAnsi="Avenir Next" w:cs="Arial"/>
          <w:color w:val="7B7B7B" w:themeColor="accent3" w:themeShade="BF"/>
          <w:sz w:val="22"/>
          <w:szCs w:val="22"/>
          <w:lang w:val="en-GB"/>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8726B5">
        <w:rPr>
          <w:rFonts w:ascii="Avenir Next" w:hAnsi="Avenir Next"/>
        </w:rPr>
        <w:t xml:space="preserve">ToyCo is an American toy company that has created a popular line of folding robot toys called Xblox.  The toys are covered by several US patents.  Currently, GameMart Inc </w:t>
      </w:r>
      <w:r w:rsidR="008B4F15" w:rsidRPr="008726B5">
        <w:rPr>
          <w:rFonts w:ascii="Avenir Next" w:hAnsi="Avenir Next"/>
        </w:rPr>
        <w:t xml:space="preserve">(GameMart) </w:t>
      </w:r>
      <w:r w:rsidRPr="008726B5">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8726B5">
        <w:rPr>
          <w:rFonts w:ascii="Avenir Next" w:hAnsi="Avenir Next"/>
        </w:rPr>
        <w:t>longer term</w:t>
      </w:r>
      <w:proofErr w:type="gramEnd"/>
      <w:r w:rsidRPr="008726B5">
        <w:rPr>
          <w:rFonts w:ascii="Avenir Next" w:hAnsi="Avenir Next"/>
        </w:rPr>
        <w:t xml:space="preserve"> lease with </w:t>
      </w:r>
      <w:r w:rsidR="008B4F15" w:rsidRPr="008726B5">
        <w:rPr>
          <w:rFonts w:ascii="Avenir Next" w:hAnsi="Avenir Next"/>
        </w:rPr>
        <w:t>seven</w:t>
      </w:r>
      <w:r w:rsidRPr="008726B5">
        <w:rPr>
          <w:rFonts w:ascii="Avenir Next" w:hAnsi="Avenir Next"/>
        </w:rPr>
        <w:t xml:space="preserve"> years to go; </w:t>
      </w:r>
      <w:r w:rsidR="003C3388" w:rsidRPr="008726B5">
        <w:rPr>
          <w:rFonts w:ascii="Avenir Next" w:hAnsi="Avenir Next"/>
        </w:rPr>
        <w:t xml:space="preserve">the </w:t>
      </w:r>
      <w:r w:rsidRPr="008726B5">
        <w:rPr>
          <w:rFonts w:ascii="Avenir Next" w:hAnsi="Avenir Next"/>
        </w:rPr>
        <w:t xml:space="preserve">lease prohibits assignment without Land Corp’s consent.  The Xblox toys are selling well, but GameMart’s other toy lines are doing poorly, so it is considering a </w:t>
      </w:r>
      <w:r w:rsidR="008B4F15" w:rsidRPr="008726B5">
        <w:rPr>
          <w:rFonts w:ascii="Avenir Next" w:hAnsi="Avenir Next"/>
        </w:rPr>
        <w:t>C</w:t>
      </w:r>
      <w:r w:rsidRPr="008726B5">
        <w:rPr>
          <w:rFonts w:ascii="Avenir Next" w:hAnsi="Avenir Next"/>
        </w:rPr>
        <w:t xml:space="preserve">hapter 11 bankruptcy. </w:t>
      </w:r>
      <w:r w:rsidR="003C3388" w:rsidRPr="008726B5">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0FCD2291" w:rsid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4BB3C65A" w14:textId="77777777" w:rsidR="004E4D52" w:rsidRPr="00E01803" w:rsidRDefault="004E4D52" w:rsidP="000778B1">
      <w:pPr>
        <w:pStyle w:val="AODocTxt"/>
        <w:spacing w:before="0" w:line="240" w:lineRule="auto"/>
        <w:rPr>
          <w:rFonts w:ascii="Avenir Next" w:hAnsi="Avenir Next"/>
        </w:rPr>
      </w:pPr>
    </w:p>
    <w:p w14:paraId="29BE982D" w14:textId="07F4D575" w:rsidR="00766AFC" w:rsidRDefault="00766AFC" w:rsidP="00766AF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executory contract i</w:t>
      </w:r>
      <w:r w:rsidR="00076D4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an agreement that there are </w:t>
      </w:r>
      <w:r w:rsidRPr="00766AFC">
        <w:rPr>
          <w:rFonts w:ascii="Avenir Next" w:hAnsi="Avenir Next" w:cs="Arial"/>
          <w:color w:val="7B7B7B" w:themeColor="accent3" w:themeShade="BF"/>
          <w:sz w:val="22"/>
          <w:szCs w:val="22"/>
          <w:lang w:val="en-GB"/>
        </w:rPr>
        <w:t>material</w:t>
      </w:r>
      <w:r>
        <w:rPr>
          <w:rFonts w:ascii="Avenir Next" w:hAnsi="Avenir Next" w:cs="Arial"/>
          <w:color w:val="7B7B7B" w:themeColor="accent3" w:themeShade="BF"/>
          <w:sz w:val="22"/>
          <w:szCs w:val="22"/>
          <w:lang w:val="en-GB"/>
        </w:rPr>
        <w:t xml:space="preserve"> </w:t>
      </w:r>
      <w:r w:rsidRPr="00766AFC">
        <w:rPr>
          <w:rFonts w:ascii="Avenir Next" w:hAnsi="Avenir Next" w:cs="Arial"/>
          <w:color w:val="7B7B7B" w:themeColor="accent3" w:themeShade="BF"/>
          <w:sz w:val="22"/>
          <w:szCs w:val="22"/>
          <w:lang w:val="en-GB"/>
        </w:rPr>
        <w:t>unperformed obligations on both sides</w:t>
      </w:r>
      <w:r>
        <w:rPr>
          <w:rFonts w:ascii="Avenir Next" w:hAnsi="Avenir Next" w:cs="Arial"/>
          <w:color w:val="7B7B7B" w:themeColor="accent3" w:themeShade="BF"/>
          <w:sz w:val="22"/>
          <w:szCs w:val="22"/>
          <w:lang w:val="en-GB"/>
        </w:rPr>
        <w:t xml:space="preserve">. The </w:t>
      </w:r>
      <w:r w:rsidRPr="00766AFC">
        <w:rPr>
          <w:rFonts w:ascii="Avenir Next" w:hAnsi="Avenir Next" w:cs="Arial"/>
          <w:color w:val="7B7B7B" w:themeColor="accent3" w:themeShade="BF"/>
          <w:sz w:val="22"/>
          <w:szCs w:val="22"/>
          <w:lang w:val="en-GB"/>
        </w:rPr>
        <w:t xml:space="preserve">license to manufacture </w:t>
      </w:r>
      <w:proofErr w:type="spellStart"/>
      <w:r w:rsidRPr="00766AFC">
        <w:rPr>
          <w:rFonts w:ascii="Avenir Next" w:hAnsi="Avenir Next" w:cs="Arial"/>
          <w:color w:val="7B7B7B" w:themeColor="accent3" w:themeShade="BF"/>
          <w:sz w:val="22"/>
          <w:szCs w:val="22"/>
          <w:lang w:val="en-GB"/>
        </w:rPr>
        <w:t>Xblox</w:t>
      </w:r>
      <w:proofErr w:type="spellEnd"/>
      <w:r w:rsidRPr="00766AF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 </w:t>
      </w:r>
      <w:r w:rsidRPr="00766AFC">
        <w:rPr>
          <w:rFonts w:ascii="Avenir Next" w:hAnsi="Avenir Next" w:cs="Arial"/>
          <w:color w:val="7B7B7B" w:themeColor="accent3" w:themeShade="BF"/>
          <w:sz w:val="22"/>
          <w:szCs w:val="22"/>
          <w:lang w:val="en-GB"/>
        </w:rPr>
        <w:t>an executory contract</w:t>
      </w:r>
      <w:r>
        <w:rPr>
          <w:rFonts w:ascii="Avenir Next" w:hAnsi="Avenir Next" w:cs="Arial"/>
          <w:color w:val="7B7B7B" w:themeColor="accent3" w:themeShade="BF"/>
          <w:sz w:val="22"/>
          <w:szCs w:val="22"/>
          <w:lang w:val="en-GB"/>
        </w:rPr>
        <w:t xml:space="preserve"> because the licensee shall pay monthly royalties and the owner of the license shall respect the 10-year exclusive licence to manufacture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w:t>
      </w:r>
    </w:p>
    <w:p w14:paraId="39E5698E" w14:textId="77777777" w:rsidR="00766AFC" w:rsidRDefault="00766AFC" w:rsidP="00F03051">
      <w:pPr>
        <w:jc w:val="both"/>
        <w:rPr>
          <w:rFonts w:ascii="Avenir Next" w:hAnsi="Avenir Next" w:cs="Arial"/>
          <w:color w:val="7B7B7B" w:themeColor="accent3" w:themeShade="BF"/>
          <w:sz w:val="22"/>
          <w:szCs w:val="22"/>
          <w:lang w:val="en-GB"/>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5DA0475F" w14:textId="0EE96381" w:rsidR="0065130E" w:rsidRDefault="0065130E"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answer is no.</w:t>
      </w:r>
    </w:p>
    <w:p w14:paraId="2A9AFFA4" w14:textId="174DFDC3" w:rsidR="0065130E" w:rsidRDefault="0065130E" w:rsidP="00F03051">
      <w:pPr>
        <w:jc w:val="both"/>
        <w:rPr>
          <w:rFonts w:ascii="Avenir Next" w:hAnsi="Avenir Next" w:cs="Arial"/>
          <w:color w:val="7B7B7B" w:themeColor="accent3" w:themeShade="BF"/>
          <w:sz w:val="22"/>
          <w:szCs w:val="22"/>
          <w:lang w:val="en-GB"/>
        </w:rPr>
      </w:pPr>
    </w:p>
    <w:p w14:paraId="2CF2A85C" w14:textId="4593D5EB" w:rsidR="0065130E" w:rsidRDefault="0065130E"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The executory contracts are regulated in </w:t>
      </w:r>
      <w:r w:rsidRPr="0065130E">
        <w:rPr>
          <w:rFonts w:ascii="Avenir Next" w:hAnsi="Avenir Next" w:cs="Arial"/>
          <w:color w:val="7B7B7B" w:themeColor="accent3" w:themeShade="BF"/>
          <w:sz w:val="22"/>
          <w:szCs w:val="22"/>
        </w:rPr>
        <w:t>11 U.S. Code § 365</w:t>
      </w:r>
      <w:r>
        <w:rPr>
          <w:rFonts w:ascii="Avenir Next" w:hAnsi="Avenir Next" w:cs="Arial"/>
          <w:color w:val="7B7B7B" w:themeColor="accent3" w:themeShade="BF"/>
          <w:sz w:val="22"/>
          <w:szCs w:val="22"/>
        </w:rPr>
        <w:t xml:space="preserve">. </w:t>
      </w:r>
      <w:r w:rsidRPr="0065130E">
        <w:rPr>
          <w:rFonts w:ascii="Avenir Next" w:hAnsi="Avenir Next" w:cs="Arial"/>
          <w:color w:val="7B7B7B" w:themeColor="accent3" w:themeShade="BF"/>
          <w:sz w:val="22"/>
          <w:szCs w:val="22"/>
        </w:rPr>
        <w:t>The ability to assume, reject or assume and assign executory contracts is</w:t>
      </w:r>
      <w:r>
        <w:rPr>
          <w:rFonts w:ascii="Avenir Next" w:hAnsi="Avenir Next" w:cs="Arial"/>
          <w:color w:val="7B7B7B" w:themeColor="accent3" w:themeShade="BF"/>
          <w:sz w:val="22"/>
          <w:szCs w:val="22"/>
        </w:rPr>
        <w:t xml:space="preserve"> possibility in an insolvency proceeding in the USA. Thus, </w:t>
      </w:r>
      <w:proofErr w:type="gramStart"/>
      <w:r>
        <w:rPr>
          <w:rFonts w:ascii="Avenir Next" w:hAnsi="Avenir Next" w:cs="Arial"/>
          <w:color w:val="7B7B7B" w:themeColor="accent3" w:themeShade="BF"/>
          <w:sz w:val="22"/>
          <w:szCs w:val="22"/>
        </w:rPr>
        <w:t>as a general rule</w:t>
      </w:r>
      <w:proofErr w:type="gramEnd"/>
      <w:r>
        <w:rPr>
          <w:rFonts w:ascii="Avenir Next" w:hAnsi="Avenir Next" w:cs="Arial"/>
          <w:color w:val="7B7B7B" w:themeColor="accent3" w:themeShade="BF"/>
          <w:sz w:val="22"/>
          <w:szCs w:val="22"/>
        </w:rPr>
        <w:t xml:space="preserve">, the debtor may transfer rights under a contract to a third party, </w:t>
      </w:r>
      <w:r w:rsidR="006F53F0" w:rsidRPr="006F53F0">
        <w:rPr>
          <w:rFonts w:ascii="Avenir Next" w:hAnsi="Avenir Next" w:cs="Arial"/>
          <w:color w:val="7B7B7B" w:themeColor="accent3" w:themeShade="BF"/>
          <w:sz w:val="22"/>
          <w:szCs w:val="22"/>
        </w:rPr>
        <w:t>although for such transfer shall give the counter party proofs of future performance.</w:t>
      </w:r>
    </w:p>
    <w:p w14:paraId="6D6D9B17" w14:textId="20E3B678" w:rsidR="0065130E" w:rsidRDefault="0065130E" w:rsidP="00F03051">
      <w:pPr>
        <w:jc w:val="both"/>
        <w:rPr>
          <w:rFonts w:ascii="Avenir Next" w:hAnsi="Avenir Next" w:cs="Arial"/>
          <w:color w:val="7B7B7B" w:themeColor="accent3" w:themeShade="BF"/>
          <w:sz w:val="22"/>
          <w:szCs w:val="22"/>
        </w:rPr>
      </w:pPr>
    </w:p>
    <w:p w14:paraId="46444328" w14:textId="07D20671" w:rsidR="006F53F0" w:rsidRDefault="0065130E" w:rsidP="00F0305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US Bankruptcy Code permits the assignment of contracts even if contractual clauses say otherwise. However, the counterparty consent is required in some circumstances where substantive non-bankruptcy law demands, like intellectual property licensing law</w:t>
      </w:r>
      <w:r w:rsidR="004E4D52">
        <w:rPr>
          <w:rFonts w:ascii="Avenir Next" w:hAnsi="Avenir Next" w:cs="Arial"/>
          <w:color w:val="7B7B7B" w:themeColor="accent3" w:themeShade="BF"/>
          <w:sz w:val="22"/>
          <w:szCs w:val="22"/>
        </w:rPr>
        <w:t>, which is applicable to the above-mentioned situation</w:t>
      </w:r>
      <w:r>
        <w:rPr>
          <w:rFonts w:ascii="Avenir Next" w:hAnsi="Avenir Next" w:cs="Arial"/>
          <w:color w:val="7B7B7B" w:themeColor="accent3" w:themeShade="BF"/>
          <w:sz w:val="22"/>
          <w:szCs w:val="22"/>
        </w:rPr>
        <w:t>. In these cases, the counterparty cannot be obliged to accept performance from a transferee.</w:t>
      </w:r>
      <w:r w:rsidR="006F53F0">
        <w:rPr>
          <w:rFonts w:ascii="Avenir Next" w:hAnsi="Avenir Next" w:cs="Arial"/>
          <w:color w:val="7B7B7B" w:themeColor="accent3" w:themeShade="BF"/>
          <w:sz w:val="22"/>
          <w:szCs w:val="22"/>
        </w:rPr>
        <w:t xml:space="preserve"> Hence, </w:t>
      </w:r>
      <w:proofErr w:type="spellStart"/>
      <w:r w:rsidR="006F53F0" w:rsidRPr="006F53F0">
        <w:rPr>
          <w:rFonts w:ascii="Avenir Next" w:hAnsi="Avenir Next" w:cs="Arial"/>
          <w:color w:val="7B7B7B" w:themeColor="accent3" w:themeShade="BF"/>
          <w:sz w:val="22"/>
          <w:szCs w:val="22"/>
        </w:rPr>
        <w:t>GameMart</w:t>
      </w:r>
      <w:proofErr w:type="spellEnd"/>
      <w:r w:rsidR="006F53F0" w:rsidRPr="006F53F0">
        <w:rPr>
          <w:rFonts w:ascii="Avenir Next" w:hAnsi="Avenir Next" w:cs="Arial"/>
          <w:color w:val="7B7B7B" w:themeColor="accent3" w:themeShade="BF"/>
          <w:sz w:val="22"/>
          <w:szCs w:val="22"/>
        </w:rPr>
        <w:t xml:space="preserve"> </w:t>
      </w:r>
      <w:r w:rsidR="006F53F0">
        <w:rPr>
          <w:rFonts w:ascii="Avenir Next" w:hAnsi="Avenir Next" w:cs="Arial"/>
          <w:color w:val="7B7B7B" w:themeColor="accent3" w:themeShade="BF"/>
          <w:sz w:val="22"/>
          <w:szCs w:val="22"/>
        </w:rPr>
        <w:t xml:space="preserve">cannot </w:t>
      </w:r>
      <w:r w:rsidR="006F53F0" w:rsidRPr="006F53F0">
        <w:rPr>
          <w:rFonts w:ascii="Avenir Next" w:hAnsi="Avenir Next" w:cs="Arial"/>
          <w:color w:val="7B7B7B" w:themeColor="accent3" w:themeShade="BF"/>
          <w:sz w:val="22"/>
          <w:szCs w:val="22"/>
        </w:rPr>
        <w:t xml:space="preserve">transfer the </w:t>
      </w:r>
      <w:proofErr w:type="spellStart"/>
      <w:r w:rsidR="006F53F0" w:rsidRPr="006F53F0">
        <w:rPr>
          <w:rFonts w:ascii="Avenir Next" w:hAnsi="Avenir Next" w:cs="Arial"/>
          <w:color w:val="7B7B7B" w:themeColor="accent3" w:themeShade="BF"/>
          <w:sz w:val="22"/>
          <w:szCs w:val="22"/>
        </w:rPr>
        <w:t>Xblox</w:t>
      </w:r>
      <w:proofErr w:type="spellEnd"/>
      <w:r w:rsidR="006F53F0" w:rsidRPr="006F53F0">
        <w:rPr>
          <w:rFonts w:ascii="Avenir Next" w:hAnsi="Avenir Next" w:cs="Arial"/>
          <w:color w:val="7B7B7B" w:themeColor="accent3" w:themeShade="BF"/>
          <w:sz w:val="22"/>
          <w:szCs w:val="22"/>
        </w:rPr>
        <w:t xml:space="preserve"> license as part of 363 sale without </w:t>
      </w:r>
      <w:proofErr w:type="spellStart"/>
      <w:r w:rsidR="006F53F0" w:rsidRPr="006F53F0">
        <w:rPr>
          <w:rFonts w:ascii="Avenir Next" w:hAnsi="Avenir Next" w:cs="Arial"/>
          <w:color w:val="7B7B7B" w:themeColor="accent3" w:themeShade="BF"/>
          <w:sz w:val="22"/>
          <w:szCs w:val="22"/>
        </w:rPr>
        <w:t>ToyCo’s</w:t>
      </w:r>
      <w:proofErr w:type="spellEnd"/>
      <w:r w:rsidR="006F53F0" w:rsidRPr="006F53F0">
        <w:rPr>
          <w:rFonts w:ascii="Avenir Next" w:hAnsi="Avenir Next" w:cs="Arial"/>
          <w:color w:val="7B7B7B" w:themeColor="accent3" w:themeShade="BF"/>
          <w:sz w:val="22"/>
          <w:szCs w:val="22"/>
        </w:rPr>
        <w:t xml:space="preserve"> consent</w:t>
      </w:r>
      <w:r w:rsidR="006F53F0">
        <w:rPr>
          <w:rFonts w:ascii="Avenir Next" w:hAnsi="Avenir Next" w:cs="Arial"/>
          <w:color w:val="7B7B7B" w:themeColor="accent3" w:themeShade="BF"/>
          <w:sz w:val="22"/>
          <w:szCs w:val="22"/>
        </w:rPr>
        <w:t>.</w:t>
      </w:r>
    </w:p>
    <w:p w14:paraId="6F360888" w14:textId="06F2299E" w:rsidR="0065130E" w:rsidRDefault="0065130E" w:rsidP="00F03051">
      <w:pPr>
        <w:jc w:val="both"/>
        <w:rPr>
          <w:rFonts w:ascii="Avenir Next" w:hAnsi="Avenir Next" w:cs="Arial"/>
          <w:color w:val="7B7B7B" w:themeColor="accent3" w:themeShade="BF"/>
          <w:sz w:val="22"/>
          <w:szCs w:val="22"/>
        </w:rPr>
      </w:pP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96D17CA" w14:textId="77777777" w:rsidR="0039792E" w:rsidRPr="0010784E" w:rsidRDefault="0039792E" w:rsidP="00F03051">
      <w:pPr>
        <w:jc w:val="both"/>
        <w:rPr>
          <w:rFonts w:ascii="Avenir Next" w:hAnsi="Avenir Next" w:cs="Arial"/>
          <w:color w:val="7B7B7B" w:themeColor="accent3" w:themeShade="BF"/>
          <w:sz w:val="22"/>
          <w:szCs w:val="22"/>
          <w:lang w:val="en-GB"/>
        </w:rPr>
      </w:pPr>
    </w:p>
    <w:p w14:paraId="354BEBE1" w14:textId="77777777" w:rsidR="0010784E" w:rsidRDefault="0010784E" w:rsidP="0010784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Yes. </w:t>
      </w:r>
      <w:r w:rsidRPr="0010784E">
        <w:rPr>
          <w:rFonts w:ascii="Avenir Next" w:hAnsi="Avenir Next" w:cs="Arial"/>
          <w:color w:val="7B7B7B" w:themeColor="accent3" w:themeShade="BF"/>
          <w:sz w:val="22"/>
          <w:szCs w:val="22"/>
          <w:lang w:val="en-GB"/>
        </w:rPr>
        <w:t>This is also an executory contract</w:t>
      </w:r>
      <w:r>
        <w:rPr>
          <w:rFonts w:ascii="Avenir Next" w:hAnsi="Avenir Next" w:cs="Arial"/>
          <w:color w:val="7B7B7B" w:themeColor="accent3" w:themeShade="BF"/>
          <w:sz w:val="22"/>
          <w:szCs w:val="22"/>
          <w:lang w:val="en-GB"/>
        </w:rPr>
        <w:t xml:space="preserve"> and, </w:t>
      </w:r>
      <w:proofErr w:type="gramStart"/>
      <w:r>
        <w:rPr>
          <w:rFonts w:ascii="Avenir Next" w:hAnsi="Avenir Next" w:cs="Arial"/>
          <w:color w:val="7B7B7B" w:themeColor="accent3" w:themeShade="BF"/>
          <w:sz w:val="22"/>
          <w:szCs w:val="22"/>
        </w:rPr>
        <w:t>as a general rule</w:t>
      </w:r>
      <w:proofErr w:type="gramEnd"/>
      <w:r>
        <w:rPr>
          <w:rFonts w:ascii="Avenir Next" w:hAnsi="Avenir Next" w:cs="Arial"/>
          <w:color w:val="7B7B7B" w:themeColor="accent3" w:themeShade="BF"/>
          <w:sz w:val="22"/>
          <w:szCs w:val="22"/>
        </w:rPr>
        <w:t xml:space="preserve">, the debtor may transfer rights under a contract to a third party, </w:t>
      </w:r>
      <w:r w:rsidRPr="006F53F0">
        <w:rPr>
          <w:rFonts w:ascii="Avenir Next" w:hAnsi="Avenir Next" w:cs="Arial"/>
          <w:color w:val="7B7B7B" w:themeColor="accent3" w:themeShade="BF"/>
          <w:sz w:val="22"/>
          <w:szCs w:val="22"/>
        </w:rPr>
        <w:t>although for such transfer shall give the counter party proofs of future performance.</w:t>
      </w:r>
      <w:r>
        <w:rPr>
          <w:rFonts w:ascii="Avenir Next" w:hAnsi="Avenir Next" w:cs="Arial"/>
          <w:color w:val="7B7B7B" w:themeColor="accent3" w:themeShade="BF"/>
          <w:sz w:val="22"/>
          <w:szCs w:val="22"/>
        </w:rPr>
        <w:t xml:space="preserve"> </w:t>
      </w:r>
    </w:p>
    <w:p w14:paraId="1E10168E" w14:textId="77777777" w:rsidR="0010784E" w:rsidRDefault="0010784E" w:rsidP="0010784E">
      <w:pPr>
        <w:jc w:val="both"/>
        <w:rPr>
          <w:rFonts w:ascii="Avenir Next" w:hAnsi="Avenir Next" w:cs="Arial"/>
          <w:color w:val="7B7B7B" w:themeColor="accent3" w:themeShade="BF"/>
          <w:sz w:val="22"/>
          <w:szCs w:val="22"/>
        </w:rPr>
      </w:pPr>
    </w:p>
    <w:p w14:paraId="4ED87F96" w14:textId="04C54FD3" w:rsidR="0010784E" w:rsidRDefault="0010784E" w:rsidP="0010784E">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US Bankruptcy Code permits the assignment of contracts even if contractual clauses say otherwise. However, the counterparty consent is required in some circumstances where substantive non-bankruptcy law demands. A factory lease is not one of the exceptions and, thus, </w:t>
      </w:r>
      <w:proofErr w:type="spellStart"/>
      <w:r w:rsidRPr="0010784E">
        <w:rPr>
          <w:rFonts w:ascii="Avenir Next" w:hAnsi="Avenir Next" w:cs="Arial"/>
          <w:color w:val="7B7B7B" w:themeColor="accent3" w:themeShade="BF"/>
          <w:sz w:val="22"/>
          <w:szCs w:val="22"/>
        </w:rPr>
        <w:t>GameMart</w:t>
      </w:r>
      <w:proofErr w:type="spellEnd"/>
      <w:r w:rsidRPr="0010784E">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may </w:t>
      </w:r>
      <w:r w:rsidRPr="0010784E">
        <w:rPr>
          <w:rFonts w:ascii="Avenir Next" w:hAnsi="Avenir Next" w:cs="Arial"/>
          <w:color w:val="7B7B7B" w:themeColor="accent3" w:themeShade="BF"/>
          <w:sz w:val="22"/>
          <w:szCs w:val="22"/>
        </w:rPr>
        <w:t>transfer the factory lease as part of 363 sale</w:t>
      </w:r>
      <w:r>
        <w:rPr>
          <w:rFonts w:ascii="Avenir Next" w:hAnsi="Avenir Next" w:cs="Arial"/>
          <w:color w:val="7B7B7B" w:themeColor="accent3" w:themeShade="BF"/>
          <w:sz w:val="22"/>
          <w:szCs w:val="22"/>
        </w:rPr>
        <w:t xml:space="preserve"> even</w:t>
      </w:r>
      <w:r w:rsidRPr="0010784E">
        <w:rPr>
          <w:rFonts w:ascii="Avenir Next" w:hAnsi="Avenir Next" w:cs="Arial"/>
          <w:color w:val="7B7B7B" w:themeColor="accent3" w:themeShade="BF"/>
          <w:sz w:val="22"/>
          <w:szCs w:val="22"/>
        </w:rPr>
        <w:t xml:space="preserve"> without Land Corp’s consent</w:t>
      </w:r>
      <w:r>
        <w:rPr>
          <w:rFonts w:ascii="Avenir Next" w:hAnsi="Avenir Next" w:cs="Arial"/>
          <w:color w:val="7B7B7B" w:themeColor="accent3" w:themeShade="BF"/>
          <w:sz w:val="22"/>
          <w:szCs w:val="22"/>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E0C7" w14:textId="77777777" w:rsidR="00B40BE4" w:rsidRDefault="00B40BE4" w:rsidP="00241B44">
      <w:r>
        <w:separator/>
      </w:r>
    </w:p>
  </w:endnote>
  <w:endnote w:type="continuationSeparator" w:id="0">
    <w:p w14:paraId="5CE28751" w14:textId="77777777" w:rsidR="00B40BE4" w:rsidRDefault="00B40BE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1F7A67D0" w:rsidR="00241FA3" w:rsidRPr="00494B81" w:rsidRDefault="00A81176" w:rsidP="009B4976">
    <w:pPr>
      <w:pStyle w:val="Rodap"/>
      <w:ind w:right="360"/>
      <w:rPr>
        <w:rFonts w:ascii="Avenir Next" w:hAnsi="Avenir Next" w:cs="Arial"/>
        <w:sz w:val="22"/>
        <w:szCs w:val="22"/>
        <w:lang w:val="en-GB"/>
      </w:rPr>
    </w:pPr>
    <w:r w:rsidRPr="00812B81">
      <w:rPr>
        <w:rFonts w:ascii="Avenir Next" w:hAnsi="Avenir Next"/>
        <w:sz w:val="22"/>
        <w:szCs w:val="22"/>
      </w:rPr>
      <w:t>202223-816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EC14" w14:textId="77777777" w:rsidR="00B40BE4" w:rsidRDefault="00B40BE4" w:rsidP="00241B44">
      <w:r>
        <w:separator/>
      </w:r>
    </w:p>
  </w:footnote>
  <w:footnote w:type="continuationSeparator" w:id="0">
    <w:p w14:paraId="57EABC27" w14:textId="77777777" w:rsidR="00B40BE4" w:rsidRDefault="00B40BE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144E2"/>
    <w:multiLevelType w:val="hybridMultilevel"/>
    <w:tmpl w:val="D804BE3A"/>
    <w:lvl w:ilvl="0" w:tplc="F6E072E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DF116C"/>
    <w:multiLevelType w:val="hybridMultilevel"/>
    <w:tmpl w:val="DAB041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37758E"/>
    <w:multiLevelType w:val="hybridMultilevel"/>
    <w:tmpl w:val="295E811C"/>
    <w:lvl w:ilvl="0" w:tplc="C69CDB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05275">
    <w:abstractNumId w:val="22"/>
  </w:num>
  <w:num w:numId="2" w16cid:durableId="1395737065">
    <w:abstractNumId w:val="25"/>
  </w:num>
  <w:num w:numId="3" w16cid:durableId="201476572">
    <w:abstractNumId w:val="4"/>
  </w:num>
  <w:num w:numId="4" w16cid:durableId="1838037143">
    <w:abstractNumId w:val="8"/>
  </w:num>
  <w:num w:numId="5" w16cid:durableId="1300916686">
    <w:abstractNumId w:val="10"/>
  </w:num>
  <w:num w:numId="6" w16cid:durableId="1230074858">
    <w:abstractNumId w:val="29"/>
  </w:num>
  <w:num w:numId="7" w16cid:durableId="423915684">
    <w:abstractNumId w:val="5"/>
  </w:num>
  <w:num w:numId="8" w16cid:durableId="1614170347">
    <w:abstractNumId w:val="31"/>
  </w:num>
  <w:num w:numId="9" w16cid:durableId="1460950819">
    <w:abstractNumId w:val="11"/>
  </w:num>
  <w:num w:numId="10" w16cid:durableId="1298611523">
    <w:abstractNumId w:val="24"/>
  </w:num>
  <w:num w:numId="11" w16cid:durableId="69694131">
    <w:abstractNumId w:val="13"/>
  </w:num>
  <w:num w:numId="12" w16cid:durableId="1742751618">
    <w:abstractNumId w:val="21"/>
  </w:num>
  <w:num w:numId="13" w16cid:durableId="1817720498">
    <w:abstractNumId w:val="0"/>
  </w:num>
  <w:num w:numId="14" w16cid:durableId="276835355">
    <w:abstractNumId w:val="9"/>
  </w:num>
  <w:num w:numId="15" w16cid:durableId="701785719">
    <w:abstractNumId w:val="17"/>
  </w:num>
  <w:num w:numId="16" w16cid:durableId="911429090">
    <w:abstractNumId w:val="7"/>
  </w:num>
  <w:num w:numId="17" w16cid:durableId="1022702616">
    <w:abstractNumId w:val="3"/>
  </w:num>
  <w:num w:numId="18" w16cid:durableId="356472340">
    <w:abstractNumId w:val="2"/>
  </w:num>
  <w:num w:numId="19" w16cid:durableId="634678474">
    <w:abstractNumId w:val="26"/>
  </w:num>
  <w:num w:numId="20" w16cid:durableId="675352175">
    <w:abstractNumId w:val="6"/>
  </w:num>
  <w:num w:numId="21" w16cid:durableId="548030048">
    <w:abstractNumId w:val="23"/>
  </w:num>
  <w:num w:numId="22" w16cid:durableId="1049694817">
    <w:abstractNumId w:val="33"/>
  </w:num>
  <w:num w:numId="23" w16cid:durableId="167868427">
    <w:abstractNumId w:val="12"/>
  </w:num>
  <w:num w:numId="24" w16cid:durableId="1801924194">
    <w:abstractNumId w:val="27"/>
  </w:num>
  <w:num w:numId="25" w16cid:durableId="1867673583">
    <w:abstractNumId w:val="18"/>
  </w:num>
  <w:num w:numId="26" w16cid:durableId="1786656141">
    <w:abstractNumId w:val="19"/>
  </w:num>
  <w:num w:numId="27" w16cid:durableId="575238876">
    <w:abstractNumId w:val="14"/>
  </w:num>
  <w:num w:numId="28" w16cid:durableId="970861299">
    <w:abstractNumId w:val="30"/>
  </w:num>
  <w:num w:numId="29" w16cid:durableId="757405157">
    <w:abstractNumId w:val="1"/>
  </w:num>
  <w:num w:numId="30" w16cid:durableId="1612517289">
    <w:abstractNumId w:val="16"/>
  </w:num>
  <w:num w:numId="31" w16cid:durableId="342249581">
    <w:abstractNumId w:val="20"/>
  </w:num>
  <w:num w:numId="32" w16cid:durableId="991562951">
    <w:abstractNumId w:val="32"/>
  </w:num>
  <w:num w:numId="33" w16cid:durableId="548490841">
    <w:abstractNumId w:val="15"/>
  </w:num>
  <w:num w:numId="34" w16cid:durableId="4833965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472B0"/>
    <w:rsid w:val="000502FD"/>
    <w:rsid w:val="00065166"/>
    <w:rsid w:val="00076D4A"/>
    <w:rsid w:val="0007705E"/>
    <w:rsid w:val="000778B1"/>
    <w:rsid w:val="00082609"/>
    <w:rsid w:val="000851CC"/>
    <w:rsid w:val="00093BE8"/>
    <w:rsid w:val="0009572D"/>
    <w:rsid w:val="00097B45"/>
    <w:rsid w:val="00097D56"/>
    <w:rsid w:val="000A407B"/>
    <w:rsid w:val="000A636A"/>
    <w:rsid w:val="000A68ED"/>
    <w:rsid w:val="000A7A3D"/>
    <w:rsid w:val="000B5FF1"/>
    <w:rsid w:val="000B609F"/>
    <w:rsid w:val="000C4C5B"/>
    <w:rsid w:val="000D55A8"/>
    <w:rsid w:val="000D5765"/>
    <w:rsid w:val="000D72A3"/>
    <w:rsid w:val="000E4841"/>
    <w:rsid w:val="000F0D1D"/>
    <w:rsid w:val="000F1677"/>
    <w:rsid w:val="000F3D6C"/>
    <w:rsid w:val="000F7FC2"/>
    <w:rsid w:val="00101707"/>
    <w:rsid w:val="00102CC9"/>
    <w:rsid w:val="0010784E"/>
    <w:rsid w:val="0011473D"/>
    <w:rsid w:val="00115C85"/>
    <w:rsid w:val="00116BD9"/>
    <w:rsid w:val="0012224B"/>
    <w:rsid w:val="00123855"/>
    <w:rsid w:val="00126A4D"/>
    <w:rsid w:val="0014171F"/>
    <w:rsid w:val="0014622C"/>
    <w:rsid w:val="00152348"/>
    <w:rsid w:val="0015456D"/>
    <w:rsid w:val="00155FA2"/>
    <w:rsid w:val="00160679"/>
    <w:rsid w:val="00161F1B"/>
    <w:rsid w:val="00162829"/>
    <w:rsid w:val="00170CD1"/>
    <w:rsid w:val="00180548"/>
    <w:rsid w:val="00180AC4"/>
    <w:rsid w:val="00180CCE"/>
    <w:rsid w:val="0018267A"/>
    <w:rsid w:val="00182779"/>
    <w:rsid w:val="001830DF"/>
    <w:rsid w:val="00183BCF"/>
    <w:rsid w:val="001966D9"/>
    <w:rsid w:val="00197E4B"/>
    <w:rsid w:val="001A7E9A"/>
    <w:rsid w:val="001B0F70"/>
    <w:rsid w:val="001B5016"/>
    <w:rsid w:val="001C45FC"/>
    <w:rsid w:val="001C6D5A"/>
    <w:rsid w:val="001D0469"/>
    <w:rsid w:val="001D4862"/>
    <w:rsid w:val="001E25B9"/>
    <w:rsid w:val="001E4809"/>
    <w:rsid w:val="001E49E0"/>
    <w:rsid w:val="001E7B5A"/>
    <w:rsid w:val="001F1CC7"/>
    <w:rsid w:val="001F3C1D"/>
    <w:rsid w:val="001F7412"/>
    <w:rsid w:val="00202DFE"/>
    <w:rsid w:val="0020725B"/>
    <w:rsid w:val="002110F1"/>
    <w:rsid w:val="00223917"/>
    <w:rsid w:val="0024116D"/>
    <w:rsid w:val="00241B44"/>
    <w:rsid w:val="00241FA3"/>
    <w:rsid w:val="00245EFB"/>
    <w:rsid w:val="0025386E"/>
    <w:rsid w:val="00256B74"/>
    <w:rsid w:val="002638B0"/>
    <w:rsid w:val="002638F2"/>
    <w:rsid w:val="0026647A"/>
    <w:rsid w:val="002668D3"/>
    <w:rsid w:val="0027299F"/>
    <w:rsid w:val="00284EBE"/>
    <w:rsid w:val="00287C5D"/>
    <w:rsid w:val="002903A7"/>
    <w:rsid w:val="00292526"/>
    <w:rsid w:val="0029433F"/>
    <w:rsid w:val="00294829"/>
    <w:rsid w:val="0029482C"/>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1D3B"/>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0A5"/>
    <w:rsid w:val="0036565C"/>
    <w:rsid w:val="0036625E"/>
    <w:rsid w:val="0037465A"/>
    <w:rsid w:val="00382C98"/>
    <w:rsid w:val="0038411A"/>
    <w:rsid w:val="0038533C"/>
    <w:rsid w:val="00386568"/>
    <w:rsid w:val="00390B57"/>
    <w:rsid w:val="003948D5"/>
    <w:rsid w:val="00396821"/>
    <w:rsid w:val="0039792E"/>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650E"/>
    <w:rsid w:val="00477C72"/>
    <w:rsid w:val="004830F8"/>
    <w:rsid w:val="00483A2E"/>
    <w:rsid w:val="00484B73"/>
    <w:rsid w:val="00491675"/>
    <w:rsid w:val="0049284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4D52"/>
    <w:rsid w:val="004E5AF5"/>
    <w:rsid w:val="004E622C"/>
    <w:rsid w:val="004F247A"/>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56A78"/>
    <w:rsid w:val="00560534"/>
    <w:rsid w:val="0056391B"/>
    <w:rsid w:val="005650E2"/>
    <w:rsid w:val="00567AD7"/>
    <w:rsid w:val="00575B2D"/>
    <w:rsid w:val="005833D0"/>
    <w:rsid w:val="00583D8E"/>
    <w:rsid w:val="005846F3"/>
    <w:rsid w:val="0058622F"/>
    <w:rsid w:val="00587019"/>
    <w:rsid w:val="00592F82"/>
    <w:rsid w:val="005A0CCA"/>
    <w:rsid w:val="005A1802"/>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5E8"/>
    <w:rsid w:val="00622C36"/>
    <w:rsid w:val="006245E3"/>
    <w:rsid w:val="00627CC9"/>
    <w:rsid w:val="00627E7B"/>
    <w:rsid w:val="00630542"/>
    <w:rsid w:val="00632E44"/>
    <w:rsid w:val="00634622"/>
    <w:rsid w:val="00635ACC"/>
    <w:rsid w:val="00635EA6"/>
    <w:rsid w:val="00636808"/>
    <w:rsid w:val="00641515"/>
    <w:rsid w:val="0065130E"/>
    <w:rsid w:val="00654C2F"/>
    <w:rsid w:val="00657087"/>
    <w:rsid w:val="00657D1B"/>
    <w:rsid w:val="00662190"/>
    <w:rsid w:val="006639DB"/>
    <w:rsid w:val="006661EF"/>
    <w:rsid w:val="00677AEB"/>
    <w:rsid w:val="00680EF2"/>
    <w:rsid w:val="00683884"/>
    <w:rsid w:val="00687A1D"/>
    <w:rsid w:val="00697EA1"/>
    <w:rsid w:val="006A1AF9"/>
    <w:rsid w:val="006A2646"/>
    <w:rsid w:val="006A6530"/>
    <w:rsid w:val="006B3571"/>
    <w:rsid w:val="006B435A"/>
    <w:rsid w:val="006B4C64"/>
    <w:rsid w:val="006C65F4"/>
    <w:rsid w:val="006D6BD5"/>
    <w:rsid w:val="006E29F0"/>
    <w:rsid w:val="006E481A"/>
    <w:rsid w:val="006E5298"/>
    <w:rsid w:val="006F3F26"/>
    <w:rsid w:val="006F4A78"/>
    <w:rsid w:val="006F53F0"/>
    <w:rsid w:val="006F734A"/>
    <w:rsid w:val="00700D83"/>
    <w:rsid w:val="00704852"/>
    <w:rsid w:val="007074E9"/>
    <w:rsid w:val="00713DA4"/>
    <w:rsid w:val="00714BF1"/>
    <w:rsid w:val="00717C2C"/>
    <w:rsid w:val="00721383"/>
    <w:rsid w:val="0073158B"/>
    <w:rsid w:val="007333CC"/>
    <w:rsid w:val="0073399A"/>
    <w:rsid w:val="007603F5"/>
    <w:rsid w:val="00764DB0"/>
    <w:rsid w:val="00766AFC"/>
    <w:rsid w:val="0076764D"/>
    <w:rsid w:val="0077498C"/>
    <w:rsid w:val="00777C53"/>
    <w:rsid w:val="007809BC"/>
    <w:rsid w:val="00783C2D"/>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7F7B63"/>
    <w:rsid w:val="0080454E"/>
    <w:rsid w:val="00804C32"/>
    <w:rsid w:val="00805305"/>
    <w:rsid w:val="00805E3E"/>
    <w:rsid w:val="00806302"/>
    <w:rsid w:val="00807119"/>
    <w:rsid w:val="0082483F"/>
    <w:rsid w:val="008279C0"/>
    <w:rsid w:val="00834F92"/>
    <w:rsid w:val="00841635"/>
    <w:rsid w:val="00847F80"/>
    <w:rsid w:val="00852C1C"/>
    <w:rsid w:val="00861683"/>
    <w:rsid w:val="008723F3"/>
    <w:rsid w:val="008726B5"/>
    <w:rsid w:val="00881DE6"/>
    <w:rsid w:val="008837A6"/>
    <w:rsid w:val="00885612"/>
    <w:rsid w:val="0089145D"/>
    <w:rsid w:val="00895EF1"/>
    <w:rsid w:val="008A4DF2"/>
    <w:rsid w:val="008A6325"/>
    <w:rsid w:val="008A6CFE"/>
    <w:rsid w:val="008A771D"/>
    <w:rsid w:val="008B4F15"/>
    <w:rsid w:val="008B5333"/>
    <w:rsid w:val="008B6223"/>
    <w:rsid w:val="008C3B05"/>
    <w:rsid w:val="008C66E0"/>
    <w:rsid w:val="008E3339"/>
    <w:rsid w:val="008F20FC"/>
    <w:rsid w:val="008F5FFE"/>
    <w:rsid w:val="00902FA7"/>
    <w:rsid w:val="00905A43"/>
    <w:rsid w:val="00912C79"/>
    <w:rsid w:val="00921B8C"/>
    <w:rsid w:val="0092565E"/>
    <w:rsid w:val="0093467C"/>
    <w:rsid w:val="00942123"/>
    <w:rsid w:val="0095207B"/>
    <w:rsid w:val="00962045"/>
    <w:rsid w:val="009656D8"/>
    <w:rsid w:val="00980E61"/>
    <w:rsid w:val="00991428"/>
    <w:rsid w:val="00992676"/>
    <w:rsid w:val="009954B2"/>
    <w:rsid w:val="00995EB1"/>
    <w:rsid w:val="00996691"/>
    <w:rsid w:val="009A4B67"/>
    <w:rsid w:val="009B0723"/>
    <w:rsid w:val="009B07AD"/>
    <w:rsid w:val="009B0883"/>
    <w:rsid w:val="009B15E2"/>
    <w:rsid w:val="009B366C"/>
    <w:rsid w:val="009B4976"/>
    <w:rsid w:val="009C0B8E"/>
    <w:rsid w:val="009C1BC8"/>
    <w:rsid w:val="009C2442"/>
    <w:rsid w:val="009D0811"/>
    <w:rsid w:val="009D0EE1"/>
    <w:rsid w:val="009D5B73"/>
    <w:rsid w:val="009E13EE"/>
    <w:rsid w:val="009E15E3"/>
    <w:rsid w:val="009E2AEB"/>
    <w:rsid w:val="009E2E27"/>
    <w:rsid w:val="009E2FA0"/>
    <w:rsid w:val="009E45DF"/>
    <w:rsid w:val="009E4DE3"/>
    <w:rsid w:val="009F275E"/>
    <w:rsid w:val="00A024E7"/>
    <w:rsid w:val="00A047EE"/>
    <w:rsid w:val="00A04D79"/>
    <w:rsid w:val="00A108C7"/>
    <w:rsid w:val="00A2274A"/>
    <w:rsid w:val="00A235B7"/>
    <w:rsid w:val="00A27A7A"/>
    <w:rsid w:val="00A3165E"/>
    <w:rsid w:val="00A34ABE"/>
    <w:rsid w:val="00A407EF"/>
    <w:rsid w:val="00A46B4C"/>
    <w:rsid w:val="00A5117B"/>
    <w:rsid w:val="00A56D34"/>
    <w:rsid w:val="00A60074"/>
    <w:rsid w:val="00A6627C"/>
    <w:rsid w:val="00A71019"/>
    <w:rsid w:val="00A81029"/>
    <w:rsid w:val="00A81176"/>
    <w:rsid w:val="00A82B32"/>
    <w:rsid w:val="00A94F58"/>
    <w:rsid w:val="00A95463"/>
    <w:rsid w:val="00A96489"/>
    <w:rsid w:val="00A96BDB"/>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12DE"/>
    <w:rsid w:val="00B14819"/>
    <w:rsid w:val="00B15E2F"/>
    <w:rsid w:val="00B17AA9"/>
    <w:rsid w:val="00B17D9C"/>
    <w:rsid w:val="00B27E6E"/>
    <w:rsid w:val="00B40BE4"/>
    <w:rsid w:val="00B44713"/>
    <w:rsid w:val="00B56103"/>
    <w:rsid w:val="00B64929"/>
    <w:rsid w:val="00B736DF"/>
    <w:rsid w:val="00B743D6"/>
    <w:rsid w:val="00B74FBD"/>
    <w:rsid w:val="00B77B19"/>
    <w:rsid w:val="00B77F46"/>
    <w:rsid w:val="00B8255C"/>
    <w:rsid w:val="00B82586"/>
    <w:rsid w:val="00B829A3"/>
    <w:rsid w:val="00B86DB1"/>
    <w:rsid w:val="00B87869"/>
    <w:rsid w:val="00B9639B"/>
    <w:rsid w:val="00BB0F2B"/>
    <w:rsid w:val="00BD4A58"/>
    <w:rsid w:val="00BD7337"/>
    <w:rsid w:val="00BE4FF3"/>
    <w:rsid w:val="00BF46BD"/>
    <w:rsid w:val="00BF50F7"/>
    <w:rsid w:val="00C02F29"/>
    <w:rsid w:val="00C05A9F"/>
    <w:rsid w:val="00C1723B"/>
    <w:rsid w:val="00C20AFE"/>
    <w:rsid w:val="00C21200"/>
    <w:rsid w:val="00C22A25"/>
    <w:rsid w:val="00C35671"/>
    <w:rsid w:val="00C35B77"/>
    <w:rsid w:val="00C362AA"/>
    <w:rsid w:val="00C376EB"/>
    <w:rsid w:val="00C452BC"/>
    <w:rsid w:val="00C46A92"/>
    <w:rsid w:val="00C46EC1"/>
    <w:rsid w:val="00C51EA5"/>
    <w:rsid w:val="00C52796"/>
    <w:rsid w:val="00C53E2C"/>
    <w:rsid w:val="00C54D58"/>
    <w:rsid w:val="00C550C8"/>
    <w:rsid w:val="00C56B61"/>
    <w:rsid w:val="00C606C3"/>
    <w:rsid w:val="00C620F4"/>
    <w:rsid w:val="00C651D6"/>
    <w:rsid w:val="00C656BB"/>
    <w:rsid w:val="00C727F9"/>
    <w:rsid w:val="00C72848"/>
    <w:rsid w:val="00C7736C"/>
    <w:rsid w:val="00C82D87"/>
    <w:rsid w:val="00C84BF5"/>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A4F54"/>
    <w:rsid w:val="00DB1D5B"/>
    <w:rsid w:val="00DB243C"/>
    <w:rsid w:val="00DB482A"/>
    <w:rsid w:val="00DB50FB"/>
    <w:rsid w:val="00DB56F2"/>
    <w:rsid w:val="00DB6EF5"/>
    <w:rsid w:val="00DC3089"/>
    <w:rsid w:val="00DC34BD"/>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35C60"/>
    <w:rsid w:val="00E41578"/>
    <w:rsid w:val="00E421C6"/>
    <w:rsid w:val="00E42CF3"/>
    <w:rsid w:val="00E450A4"/>
    <w:rsid w:val="00E506BE"/>
    <w:rsid w:val="00E55547"/>
    <w:rsid w:val="00E6302B"/>
    <w:rsid w:val="00E6452F"/>
    <w:rsid w:val="00E64F45"/>
    <w:rsid w:val="00E6742D"/>
    <w:rsid w:val="00E71CB0"/>
    <w:rsid w:val="00E77C3D"/>
    <w:rsid w:val="00E90991"/>
    <w:rsid w:val="00E909F0"/>
    <w:rsid w:val="00E90D47"/>
    <w:rsid w:val="00E93993"/>
    <w:rsid w:val="00E9519F"/>
    <w:rsid w:val="00E9597C"/>
    <w:rsid w:val="00EA0913"/>
    <w:rsid w:val="00EA2454"/>
    <w:rsid w:val="00EA5B00"/>
    <w:rsid w:val="00EA78AC"/>
    <w:rsid w:val="00EB146B"/>
    <w:rsid w:val="00EB45AC"/>
    <w:rsid w:val="00EB69E2"/>
    <w:rsid w:val="00EC441F"/>
    <w:rsid w:val="00EC4755"/>
    <w:rsid w:val="00ED0BC4"/>
    <w:rsid w:val="00ED447D"/>
    <w:rsid w:val="00ED58CD"/>
    <w:rsid w:val="00ED738F"/>
    <w:rsid w:val="00ED74BC"/>
    <w:rsid w:val="00EE4971"/>
    <w:rsid w:val="00EF090E"/>
    <w:rsid w:val="00EF5572"/>
    <w:rsid w:val="00F03051"/>
    <w:rsid w:val="00F033DA"/>
    <w:rsid w:val="00F074C7"/>
    <w:rsid w:val="00F10184"/>
    <w:rsid w:val="00F13691"/>
    <w:rsid w:val="00F13FB1"/>
    <w:rsid w:val="00F27CD8"/>
    <w:rsid w:val="00F30351"/>
    <w:rsid w:val="00F3323E"/>
    <w:rsid w:val="00F341F4"/>
    <w:rsid w:val="00F34F9D"/>
    <w:rsid w:val="00F35CCE"/>
    <w:rsid w:val="00F40E15"/>
    <w:rsid w:val="00F50447"/>
    <w:rsid w:val="00F5524B"/>
    <w:rsid w:val="00F60538"/>
    <w:rsid w:val="00F61DD2"/>
    <w:rsid w:val="00F66AFF"/>
    <w:rsid w:val="00F71433"/>
    <w:rsid w:val="00F84270"/>
    <w:rsid w:val="00F92140"/>
    <w:rsid w:val="00F9436B"/>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9F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079">
      <w:bodyDiv w:val="1"/>
      <w:marLeft w:val="0"/>
      <w:marRight w:val="0"/>
      <w:marTop w:val="0"/>
      <w:marBottom w:val="0"/>
      <w:divBdr>
        <w:top w:val="none" w:sz="0" w:space="0" w:color="auto"/>
        <w:left w:val="none" w:sz="0" w:space="0" w:color="auto"/>
        <w:bottom w:val="none" w:sz="0" w:space="0" w:color="auto"/>
        <w:right w:val="none" w:sz="0" w:space="0" w:color="auto"/>
      </w:divBdr>
    </w:div>
    <w:div w:id="449709923">
      <w:bodyDiv w:val="1"/>
      <w:marLeft w:val="0"/>
      <w:marRight w:val="0"/>
      <w:marTop w:val="0"/>
      <w:marBottom w:val="0"/>
      <w:divBdr>
        <w:top w:val="none" w:sz="0" w:space="0" w:color="auto"/>
        <w:left w:val="none" w:sz="0" w:space="0" w:color="auto"/>
        <w:bottom w:val="none" w:sz="0" w:space="0" w:color="auto"/>
        <w:right w:val="none" w:sz="0" w:space="0" w:color="auto"/>
      </w:divBdr>
      <w:divsChild>
        <w:div w:id="2095470639">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7442527">
      <w:bodyDiv w:val="1"/>
      <w:marLeft w:val="0"/>
      <w:marRight w:val="0"/>
      <w:marTop w:val="0"/>
      <w:marBottom w:val="0"/>
      <w:divBdr>
        <w:top w:val="none" w:sz="0" w:space="0" w:color="auto"/>
        <w:left w:val="none" w:sz="0" w:space="0" w:color="auto"/>
        <w:bottom w:val="none" w:sz="0" w:space="0" w:color="auto"/>
        <w:right w:val="none" w:sz="0" w:space="0" w:color="auto"/>
      </w:divBdr>
      <w:divsChild>
        <w:div w:id="290091827">
          <w:marLeft w:val="240"/>
          <w:marRight w:val="0"/>
          <w:marTop w:val="60"/>
          <w:marBottom w:val="60"/>
          <w:divBdr>
            <w:top w:val="none" w:sz="0" w:space="0" w:color="auto"/>
            <w:left w:val="none" w:sz="0" w:space="0" w:color="auto"/>
            <w:bottom w:val="none" w:sz="0" w:space="0" w:color="auto"/>
            <w:right w:val="none" w:sz="0" w:space="0" w:color="auto"/>
          </w:divBdr>
          <w:divsChild>
            <w:div w:id="1724599985">
              <w:marLeft w:val="240"/>
              <w:marRight w:val="0"/>
              <w:marTop w:val="60"/>
              <w:marBottom w:val="60"/>
              <w:divBdr>
                <w:top w:val="none" w:sz="0" w:space="0" w:color="auto"/>
                <w:left w:val="none" w:sz="0" w:space="0" w:color="auto"/>
                <w:bottom w:val="none" w:sz="0" w:space="0" w:color="auto"/>
                <w:right w:val="none" w:sz="0" w:space="0" w:color="auto"/>
              </w:divBdr>
              <w:divsChild>
                <w:div w:id="344869959">
                  <w:marLeft w:val="0"/>
                  <w:marRight w:val="0"/>
                  <w:marTop w:val="0"/>
                  <w:marBottom w:val="0"/>
                  <w:divBdr>
                    <w:top w:val="none" w:sz="0" w:space="0" w:color="auto"/>
                    <w:left w:val="none" w:sz="0" w:space="0" w:color="auto"/>
                    <w:bottom w:val="none" w:sz="0" w:space="0" w:color="auto"/>
                    <w:right w:val="none" w:sz="0" w:space="0" w:color="auto"/>
                  </w:divBdr>
                </w:div>
              </w:divsChild>
            </w:div>
            <w:div w:id="402609480">
              <w:marLeft w:val="240"/>
              <w:marRight w:val="0"/>
              <w:marTop w:val="60"/>
              <w:marBottom w:val="60"/>
              <w:divBdr>
                <w:top w:val="none" w:sz="0" w:space="0" w:color="auto"/>
                <w:left w:val="none" w:sz="0" w:space="0" w:color="auto"/>
                <w:bottom w:val="none" w:sz="0" w:space="0" w:color="auto"/>
                <w:right w:val="none" w:sz="0" w:space="0" w:color="auto"/>
              </w:divBdr>
              <w:divsChild>
                <w:div w:id="137040287">
                  <w:marLeft w:val="0"/>
                  <w:marRight w:val="0"/>
                  <w:marTop w:val="0"/>
                  <w:marBottom w:val="0"/>
                  <w:divBdr>
                    <w:top w:val="none" w:sz="0" w:space="0" w:color="auto"/>
                    <w:left w:val="none" w:sz="0" w:space="0" w:color="auto"/>
                    <w:bottom w:val="none" w:sz="0" w:space="0" w:color="auto"/>
                    <w:right w:val="none" w:sz="0" w:space="0" w:color="auto"/>
                  </w:divBdr>
                </w:div>
              </w:divsChild>
            </w:div>
            <w:div w:id="1882591205">
              <w:marLeft w:val="240"/>
              <w:marRight w:val="0"/>
              <w:marTop w:val="60"/>
              <w:marBottom w:val="60"/>
              <w:divBdr>
                <w:top w:val="none" w:sz="0" w:space="0" w:color="auto"/>
                <w:left w:val="none" w:sz="0" w:space="0" w:color="auto"/>
                <w:bottom w:val="none" w:sz="0" w:space="0" w:color="auto"/>
                <w:right w:val="none" w:sz="0" w:space="0" w:color="auto"/>
              </w:divBdr>
              <w:divsChild>
                <w:div w:id="1071000535">
                  <w:marLeft w:val="0"/>
                  <w:marRight w:val="0"/>
                  <w:marTop w:val="0"/>
                  <w:marBottom w:val="0"/>
                  <w:divBdr>
                    <w:top w:val="none" w:sz="0" w:space="0" w:color="auto"/>
                    <w:left w:val="none" w:sz="0" w:space="0" w:color="auto"/>
                    <w:bottom w:val="none" w:sz="0" w:space="0" w:color="auto"/>
                    <w:right w:val="none" w:sz="0" w:space="0" w:color="auto"/>
                  </w:divBdr>
                </w:div>
              </w:divsChild>
            </w:div>
            <w:div w:id="806357607">
              <w:marLeft w:val="240"/>
              <w:marRight w:val="0"/>
              <w:marTop w:val="60"/>
              <w:marBottom w:val="60"/>
              <w:divBdr>
                <w:top w:val="none" w:sz="0" w:space="0" w:color="auto"/>
                <w:left w:val="none" w:sz="0" w:space="0" w:color="auto"/>
                <w:bottom w:val="none" w:sz="0" w:space="0" w:color="auto"/>
                <w:right w:val="none" w:sz="0" w:space="0" w:color="auto"/>
              </w:divBdr>
              <w:divsChild>
                <w:div w:id="11948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3706">
          <w:marLeft w:val="240"/>
          <w:marRight w:val="0"/>
          <w:marTop w:val="60"/>
          <w:marBottom w:val="60"/>
          <w:divBdr>
            <w:top w:val="none" w:sz="0" w:space="0" w:color="auto"/>
            <w:left w:val="none" w:sz="0" w:space="0" w:color="auto"/>
            <w:bottom w:val="none" w:sz="0" w:space="0" w:color="auto"/>
            <w:right w:val="none" w:sz="0" w:space="0" w:color="auto"/>
          </w:divBdr>
          <w:divsChild>
            <w:div w:id="143478003">
              <w:marLeft w:val="0"/>
              <w:marRight w:val="0"/>
              <w:marTop w:val="0"/>
              <w:marBottom w:val="0"/>
              <w:divBdr>
                <w:top w:val="none" w:sz="0" w:space="0" w:color="auto"/>
                <w:left w:val="none" w:sz="0" w:space="0" w:color="auto"/>
                <w:bottom w:val="none" w:sz="0" w:space="0" w:color="auto"/>
                <w:right w:val="none" w:sz="0" w:space="0" w:color="auto"/>
              </w:divBdr>
            </w:div>
          </w:divsChild>
        </w:div>
        <w:div w:id="153181242">
          <w:marLeft w:val="240"/>
          <w:marRight w:val="0"/>
          <w:marTop w:val="60"/>
          <w:marBottom w:val="60"/>
          <w:divBdr>
            <w:top w:val="none" w:sz="0" w:space="0" w:color="auto"/>
            <w:left w:val="none" w:sz="0" w:space="0" w:color="auto"/>
            <w:bottom w:val="none" w:sz="0" w:space="0" w:color="auto"/>
            <w:right w:val="none" w:sz="0" w:space="0" w:color="auto"/>
          </w:divBdr>
          <w:divsChild>
            <w:div w:id="20329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814">
      <w:bodyDiv w:val="1"/>
      <w:marLeft w:val="0"/>
      <w:marRight w:val="0"/>
      <w:marTop w:val="0"/>
      <w:marBottom w:val="0"/>
      <w:divBdr>
        <w:top w:val="none" w:sz="0" w:space="0" w:color="auto"/>
        <w:left w:val="none" w:sz="0" w:space="0" w:color="auto"/>
        <w:bottom w:val="none" w:sz="0" w:space="0" w:color="auto"/>
        <w:right w:val="none" w:sz="0" w:space="0" w:color="auto"/>
      </w:divBdr>
    </w:div>
    <w:div w:id="1126242126">
      <w:bodyDiv w:val="1"/>
      <w:marLeft w:val="0"/>
      <w:marRight w:val="0"/>
      <w:marTop w:val="0"/>
      <w:marBottom w:val="0"/>
      <w:divBdr>
        <w:top w:val="none" w:sz="0" w:space="0" w:color="auto"/>
        <w:left w:val="none" w:sz="0" w:space="0" w:color="auto"/>
        <w:bottom w:val="none" w:sz="0" w:space="0" w:color="auto"/>
        <w:right w:val="none" w:sz="0" w:space="0" w:color="auto"/>
      </w:divBdr>
    </w:div>
    <w:div w:id="1326711277">
      <w:bodyDiv w:val="1"/>
      <w:marLeft w:val="0"/>
      <w:marRight w:val="0"/>
      <w:marTop w:val="0"/>
      <w:marBottom w:val="0"/>
      <w:divBdr>
        <w:top w:val="none" w:sz="0" w:space="0" w:color="auto"/>
        <w:left w:val="none" w:sz="0" w:space="0" w:color="auto"/>
        <w:bottom w:val="none" w:sz="0" w:space="0" w:color="auto"/>
        <w:right w:val="none" w:sz="0" w:space="0" w:color="auto"/>
      </w:divBdr>
    </w:div>
    <w:div w:id="1798138411">
      <w:bodyDiv w:val="1"/>
      <w:marLeft w:val="0"/>
      <w:marRight w:val="0"/>
      <w:marTop w:val="0"/>
      <w:marBottom w:val="0"/>
      <w:divBdr>
        <w:top w:val="none" w:sz="0" w:space="0" w:color="auto"/>
        <w:left w:val="none" w:sz="0" w:space="0" w:color="auto"/>
        <w:bottom w:val="none" w:sz="0" w:space="0" w:color="auto"/>
        <w:right w:val="none" w:sz="0" w:space="0" w:color="auto"/>
      </w:divBdr>
    </w:div>
    <w:div w:id="180908033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83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5799</Words>
  <Characters>31316</Characters>
  <Application>Microsoft Office Word</Application>
  <DocSecurity>0</DocSecurity>
  <Lines>260</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Guilherme Penalva Santos</cp:lastModifiedBy>
  <cp:revision>2</cp:revision>
  <cp:lastPrinted>2019-08-27T05:42:00Z</cp:lastPrinted>
  <dcterms:created xsi:type="dcterms:W3CDTF">2022-10-28T14:29:00Z</dcterms:created>
  <dcterms:modified xsi:type="dcterms:W3CDTF">2022-10-28T14:29:00Z</dcterms:modified>
</cp:coreProperties>
</file>