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308DC756"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All assessments must be submitted electronically in MS Word format, using a standa</w:t>
      </w:r>
      <w:r w:rsidR="003B1F4D">
        <w:rPr>
          <w:rFonts w:ascii="Avenir Next" w:hAnsi="Avenir Next" w:cs="Arial"/>
          <w:sz w:val="22"/>
          <w:szCs w:val="22"/>
          <w:lang w:val="en-GB"/>
        </w:rPr>
        <w:t>rd A4 size page and</w:t>
      </w:r>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01070D" w:rsidRDefault="002D2356" w:rsidP="008071D5">
      <w:pPr>
        <w:pStyle w:val="ListParagraph"/>
        <w:numPr>
          <w:ilvl w:val="0"/>
          <w:numId w:val="15"/>
        </w:numPr>
        <w:ind w:left="425" w:hanging="357"/>
        <w:jc w:val="both"/>
        <w:rPr>
          <w:rFonts w:ascii="Avenir Next" w:hAnsi="Avenir Next" w:cs="Arial"/>
          <w:sz w:val="22"/>
          <w:szCs w:val="22"/>
          <w:highlight w:val="yellow"/>
        </w:rPr>
      </w:pPr>
      <w:r w:rsidRPr="0001070D">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01070D">
        <w:rPr>
          <w:rFonts w:ascii="Avenir Next" w:hAnsi="Avenir Next" w:cs="Arial"/>
          <w:sz w:val="22"/>
          <w:szCs w:val="22"/>
          <w:highlight w:val="yellow"/>
          <w:vertAlign w:val="superscript"/>
        </w:rPr>
        <w:t>th</w:t>
      </w:r>
      <w:r w:rsidRPr="0001070D">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01070D" w:rsidRDefault="002D2356" w:rsidP="008071D5">
      <w:pPr>
        <w:pStyle w:val="ListParagraph"/>
        <w:numPr>
          <w:ilvl w:val="0"/>
          <w:numId w:val="16"/>
        </w:numPr>
        <w:ind w:left="426"/>
        <w:jc w:val="both"/>
        <w:rPr>
          <w:rFonts w:ascii="Avenir Next" w:hAnsi="Avenir Next" w:cs="Arial"/>
          <w:sz w:val="22"/>
          <w:szCs w:val="22"/>
          <w:highlight w:val="yellow"/>
        </w:rPr>
      </w:pPr>
      <w:r w:rsidRPr="0001070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01070D" w:rsidRDefault="002D2356" w:rsidP="008071D5">
      <w:pPr>
        <w:pStyle w:val="ListParagraph"/>
        <w:numPr>
          <w:ilvl w:val="0"/>
          <w:numId w:val="17"/>
        </w:numPr>
        <w:ind w:left="426"/>
        <w:jc w:val="both"/>
        <w:rPr>
          <w:rFonts w:ascii="Avenir Next" w:hAnsi="Avenir Next" w:cs="Arial"/>
          <w:sz w:val="22"/>
          <w:szCs w:val="22"/>
          <w:highlight w:val="yellow"/>
        </w:rPr>
      </w:pPr>
      <w:r w:rsidRPr="0001070D">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01070D" w:rsidRDefault="00466ED6" w:rsidP="008071D5">
      <w:pPr>
        <w:pStyle w:val="ListParagraph"/>
        <w:numPr>
          <w:ilvl w:val="0"/>
          <w:numId w:val="18"/>
        </w:numPr>
        <w:ind w:left="426"/>
        <w:jc w:val="both"/>
        <w:rPr>
          <w:rFonts w:ascii="Avenir Next" w:hAnsi="Avenir Next" w:cs="Arial"/>
          <w:sz w:val="22"/>
          <w:szCs w:val="22"/>
          <w:highlight w:val="yellow"/>
        </w:rPr>
      </w:pPr>
      <w:r w:rsidRPr="0001070D">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70C72997"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w:t>
      </w:r>
      <w:r w:rsidR="0001070D">
        <w:rPr>
          <w:rFonts w:ascii="Avenir Next" w:hAnsi="Avenir Next" w:cs="Arial"/>
          <w:sz w:val="22"/>
          <w:szCs w:val="22"/>
        </w:rPr>
        <w:t>statement is true since</w:t>
      </w:r>
      <w:r w:rsidRPr="00CC5ECB">
        <w:rPr>
          <w:rFonts w:ascii="Avenir Next" w:hAnsi="Avenir Next" w:cs="Arial"/>
          <w:sz w:val="22"/>
          <w:szCs w:val="22"/>
        </w:rPr>
        <w:t xml:space="preserv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1070D" w:rsidRDefault="002D2356" w:rsidP="008071D5">
      <w:pPr>
        <w:pStyle w:val="ListParagraph"/>
        <w:numPr>
          <w:ilvl w:val="0"/>
          <w:numId w:val="19"/>
        </w:numPr>
        <w:ind w:left="425" w:hanging="357"/>
        <w:jc w:val="both"/>
        <w:rPr>
          <w:rFonts w:ascii="Avenir Next" w:hAnsi="Avenir Next" w:cs="Arial"/>
          <w:sz w:val="22"/>
          <w:szCs w:val="22"/>
          <w:highlight w:val="yellow"/>
        </w:rPr>
      </w:pPr>
      <w:r w:rsidRPr="0001070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01070D"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01070D">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08B3D115" w:rsidR="002D2356"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7568D5B0" w14:textId="77777777" w:rsidR="0001070D" w:rsidRPr="004216EA" w:rsidRDefault="0001070D" w:rsidP="008071D5">
      <w:pPr>
        <w:jc w:val="both"/>
        <w:rPr>
          <w:rFonts w:ascii="Avenir Next" w:hAnsi="Avenir Next" w:cs="Arial"/>
          <w:sz w:val="22"/>
          <w:szCs w:val="22"/>
        </w:rPr>
      </w:pP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01070D"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01070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01070D">
        <w:rPr>
          <w:rFonts w:ascii="Avenir Next" w:eastAsiaTheme="minorHAnsi" w:hAnsi="Avenir Next" w:cs="Arial"/>
          <w:sz w:val="22"/>
          <w:szCs w:val="22"/>
          <w:highlight w:val="yellow"/>
          <w:lang w:val="en-GB"/>
        </w:rPr>
        <w:t xml:space="preserve"> </w:t>
      </w:r>
      <w:r w:rsidRPr="0001070D">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01070D"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01070D">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07F3D8F" w14:textId="5BE5C0EE" w:rsidR="0001070D" w:rsidRPr="0001070D" w:rsidRDefault="00F5239B" w:rsidP="0001070D">
      <w:pPr>
        <w:pStyle w:val="ListParagraph"/>
        <w:numPr>
          <w:ilvl w:val="0"/>
          <w:numId w:val="23"/>
        </w:numPr>
        <w:ind w:left="426"/>
        <w:jc w:val="both"/>
        <w:rPr>
          <w:rFonts w:ascii="Avenir Next" w:hAnsi="Avenir Next" w:cs="Arial"/>
          <w:sz w:val="22"/>
          <w:szCs w:val="22"/>
          <w:highlight w:val="yellow"/>
        </w:rPr>
      </w:pPr>
      <w:r w:rsidRPr="0001070D">
        <w:rPr>
          <w:rFonts w:ascii="Avenir Next" w:hAnsi="Avenir Next" w:cs="Arial"/>
          <w:sz w:val="22"/>
          <w:szCs w:val="22"/>
          <w:highlight w:val="yellow"/>
        </w:rPr>
        <w:t xml:space="preserve">This statement is true because </w:t>
      </w:r>
      <w:r w:rsidR="007B5180" w:rsidRPr="0001070D">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65B2561C" w14:textId="77777777" w:rsidR="0001070D" w:rsidRPr="00AB63DE" w:rsidRDefault="0001070D" w:rsidP="0001070D">
      <w:pPr>
        <w:pStyle w:val="ListParagraph"/>
        <w:ind w:left="426"/>
        <w:jc w:val="both"/>
        <w:rPr>
          <w:rFonts w:ascii="Avenir Next" w:hAnsi="Avenir Next" w:cs="Arial"/>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01070D" w:rsidRDefault="009355DB" w:rsidP="008071D5">
      <w:pPr>
        <w:pStyle w:val="ListParagraph"/>
        <w:numPr>
          <w:ilvl w:val="0"/>
          <w:numId w:val="24"/>
        </w:numPr>
        <w:ind w:left="426"/>
        <w:jc w:val="both"/>
        <w:rPr>
          <w:rFonts w:ascii="Avenir Next" w:hAnsi="Avenir Next" w:cs="Arial"/>
          <w:sz w:val="22"/>
          <w:szCs w:val="22"/>
          <w:highlight w:val="yellow"/>
        </w:rPr>
      </w:pPr>
      <w:r w:rsidRPr="0001070D">
        <w:rPr>
          <w:rFonts w:ascii="Avenir Next" w:hAnsi="Avenir Next" w:cs="Arial"/>
          <w:sz w:val="22"/>
          <w:szCs w:val="22"/>
          <w:highlight w:val="yellow"/>
        </w:rPr>
        <w:t xml:space="preserve">This statement is true because </w:t>
      </w:r>
      <w:r w:rsidR="005C4FF2" w:rsidRPr="0001070D">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13DC6AE" w14:textId="77777777" w:rsidR="0001070D" w:rsidRPr="0001070D" w:rsidRDefault="0001070D" w:rsidP="0001070D">
      <w:pPr>
        <w:ind w:left="720" w:hanging="720"/>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t>•</w:t>
      </w:r>
      <w:r w:rsidRPr="0001070D">
        <w:rPr>
          <w:rFonts w:ascii="Avenir Next" w:hAnsi="Avenir Next" w:cs="Arial"/>
          <w:color w:val="808080" w:themeColor="background1" w:themeShade="80"/>
          <w:sz w:val="22"/>
          <w:szCs w:val="22"/>
          <w:lang w:val="en-GB"/>
        </w:rPr>
        <w:tab/>
        <w:t xml:space="preserve">The roots of many African Insolvency law systems lie with the legal systems of those European powers involved in the modern colonisation of Africa (namely; Britain, France, Germany, Netherlands, Portugal, Spain and Italy). </w:t>
      </w:r>
    </w:p>
    <w:p w14:paraId="69FC01E6" w14:textId="77777777" w:rsidR="0001070D" w:rsidRPr="0001070D" w:rsidRDefault="0001070D" w:rsidP="0001070D">
      <w:pPr>
        <w:ind w:left="720" w:hanging="720"/>
        <w:jc w:val="both"/>
        <w:rPr>
          <w:rFonts w:ascii="Avenir Next" w:hAnsi="Avenir Next" w:cs="Arial"/>
          <w:color w:val="808080" w:themeColor="background1" w:themeShade="80"/>
          <w:sz w:val="22"/>
          <w:szCs w:val="22"/>
          <w:lang w:val="en-GB"/>
        </w:rPr>
      </w:pPr>
    </w:p>
    <w:p w14:paraId="03E1C061" w14:textId="77777777" w:rsidR="0001070D" w:rsidRPr="0001070D" w:rsidRDefault="0001070D" w:rsidP="0001070D">
      <w:pPr>
        <w:ind w:left="720" w:hanging="720"/>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lastRenderedPageBreak/>
        <w:t>•</w:t>
      </w:r>
      <w:r w:rsidRPr="0001070D">
        <w:rPr>
          <w:rFonts w:ascii="Avenir Next" w:hAnsi="Avenir Next" w:cs="Arial"/>
          <w:color w:val="808080" w:themeColor="background1" w:themeShade="80"/>
          <w:sz w:val="22"/>
          <w:szCs w:val="22"/>
          <w:lang w:val="en-GB"/>
        </w:rPr>
        <w:tab/>
        <w:t>In more recent times, the Organisation for the Harmonization of Business Law in Africa ("</w:t>
      </w:r>
      <w:r w:rsidRPr="0001070D">
        <w:rPr>
          <w:rFonts w:ascii="Avenir Next" w:hAnsi="Avenir Next" w:cs="Arial"/>
          <w:b/>
          <w:color w:val="808080" w:themeColor="background1" w:themeShade="80"/>
          <w:sz w:val="22"/>
          <w:szCs w:val="22"/>
          <w:lang w:val="en-GB"/>
        </w:rPr>
        <w:t>OHADA</w:t>
      </w:r>
      <w:r w:rsidRPr="0001070D">
        <w:rPr>
          <w:rFonts w:ascii="Avenir Next" w:hAnsi="Avenir Next" w:cs="Arial"/>
          <w:color w:val="808080" w:themeColor="background1" w:themeShade="80"/>
          <w:sz w:val="22"/>
          <w:szCs w:val="22"/>
          <w:lang w:val="en-GB"/>
        </w:rPr>
        <w:t>", or "</w:t>
      </w:r>
      <w:r w:rsidRPr="0001070D">
        <w:rPr>
          <w:rFonts w:ascii="Avenir Next" w:hAnsi="Avenir Next" w:cs="Arial"/>
          <w:b/>
          <w:color w:val="808080" w:themeColor="background1" w:themeShade="80"/>
          <w:sz w:val="22"/>
          <w:szCs w:val="22"/>
          <w:lang w:val="en-GB"/>
        </w:rPr>
        <w:t>OHBLA</w:t>
      </w:r>
      <w:r w:rsidRPr="0001070D">
        <w:rPr>
          <w:rFonts w:ascii="Avenir Next" w:hAnsi="Avenir Next" w:cs="Arial"/>
          <w:color w:val="808080" w:themeColor="background1" w:themeShade="80"/>
          <w:sz w:val="22"/>
          <w:szCs w:val="22"/>
          <w:lang w:val="en-GB"/>
        </w:rPr>
        <w:t>") was established (in 1993) to seek to regulate, revise and integrate the domestic laws of its member states (of which there are currently 17).</w:t>
      </w:r>
    </w:p>
    <w:p w14:paraId="069E0B54" w14:textId="77777777" w:rsidR="0001070D" w:rsidRPr="0001070D" w:rsidRDefault="0001070D" w:rsidP="0001070D">
      <w:pPr>
        <w:ind w:left="720" w:hanging="720"/>
        <w:jc w:val="both"/>
        <w:rPr>
          <w:rFonts w:ascii="Avenir Next" w:hAnsi="Avenir Next" w:cs="Arial"/>
          <w:color w:val="808080" w:themeColor="background1" w:themeShade="80"/>
          <w:sz w:val="22"/>
          <w:szCs w:val="22"/>
          <w:lang w:val="en-GB"/>
        </w:rPr>
      </w:pPr>
    </w:p>
    <w:p w14:paraId="782550EE" w14:textId="42D8185E" w:rsidR="0001070D" w:rsidRPr="0001070D" w:rsidRDefault="0001070D" w:rsidP="0001070D">
      <w:pPr>
        <w:ind w:left="720" w:hanging="720"/>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t>•</w:t>
      </w:r>
      <w:r w:rsidRPr="0001070D">
        <w:rPr>
          <w:rFonts w:ascii="Avenir Next" w:hAnsi="Avenir Next" w:cs="Arial"/>
          <w:color w:val="808080" w:themeColor="background1" w:themeShade="80"/>
          <w:sz w:val="22"/>
          <w:szCs w:val="22"/>
          <w:lang w:val="en-GB"/>
        </w:rPr>
        <w:tab/>
        <w:t>In 2015, all member states of OHADA adopted the UNCITRAL Model Law on Cross-Border Insolvency ("</w:t>
      </w:r>
      <w:r w:rsidRPr="0001070D">
        <w:rPr>
          <w:rFonts w:ascii="Avenir Next" w:hAnsi="Avenir Next" w:cs="Arial"/>
          <w:b/>
          <w:color w:val="808080" w:themeColor="background1" w:themeShade="80"/>
          <w:sz w:val="22"/>
          <w:szCs w:val="22"/>
          <w:lang w:val="en-GB"/>
        </w:rPr>
        <w:t>MLCBI</w:t>
      </w:r>
      <w:r w:rsidRPr="0001070D">
        <w:rPr>
          <w:rFonts w:ascii="Avenir Next" w:hAnsi="Avenir Next" w:cs="Arial"/>
          <w:color w:val="808080" w:themeColor="background1" w:themeShade="80"/>
          <w:sz w:val="22"/>
          <w:szCs w:val="22"/>
          <w:lang w:val="en-GB"/>
        </w:rPr>
        <w:t xml:space="preserve">"). </w:t>
      </w:r>
    </w:p>
    <w:p w14:paraId="4A9EBC3D" w14:textId="77777777" w:rsidR="0001070D" w:rsidRPr="0001070D" w:rsidRDefault="0001070D" w:rsidP="0001070D">
      <w:pPr>
        <w:ind w:left="720" w:hanging="720"/>
        <w:jc w:val="both"/>
        <w:rPr>
          <w:rFonts w:ascii="Avenir Next" w:hAnsi="Avenir Next" w:cs="Arial"/>
          <w:color w:val="808080" w:themeColor="background1" w:themeShade="80"/>
          <w:sz w:val="22"/>
          <w:szCs w:val="22"/>
          <w:lang w:val="en-GB"/>
        </w:rPr>
      </w:pPr>
    </w:p>
    <w:p w14:paraId="0B17CF2F" w14:textId="1BECDCCB" w:rsidR="0081547D" w:rsidRPr="00692852" w:rsidRDefault="0001070D" w:rsidP="0001070D">
      <w:pPr>
        <w:ind w:left="720" w:hanging="720"/>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t>•</w:t>
      </w:r>
      <w:r w:rsidRPr="0001070D">
        <w:rPr>
          <w:rFonts w:ascii="Avenir Next" w:hAnsi="Avenir Next" w:cs="Arial"/>
          <w:color w:val="808080" w:themeColor="background1" w:themeShade="80"/>
          <w:sz w:val="22"/>
          <w:szCs w:val="22"/>
          <w:lang w:val="en-GB"/>
        </w:rPr>
        <w:tab/>
        <w:t xml:space="preserve">Other African Nations, which are not members of OHADA, (for example; Ghana, Kenya, South Africa, Malawi and Uganda) have adopted the MLCBI, however, in certain cases (such as in South Africa) no designation of the countries to which the Cross Border Insolvency Act would be applicable has </w:t>
      </w:r>
      <w:r>
        <w:rPr>
          <w:rFonts w:ascii="Avenir Next" w:hAnsi="Avenir Next" w:cs="Arial"/>
          <w:color w:val="808080" w:themeColor="background1" w:themeShade="80"/>
          <w:sz w:val="22"/>
          <w:szCs w:val="22"/>
          <w:lang w:val="en-GB"/>
        </w:rPr>
        <w:t xml:space="preserve">yet </w:t>
      </w:r>
      <w:r w:rsidRPr="0001070D">
        <w:rPr>
          <w:rFonts w:ascii="Avenir Next" w:hAnsi="Avenir Next" w:cs="Arial"/>
          <w:color w:val="808080" w:themeColor="background1" w:themeShade="80"/>
          <w:sz w:val="22"/>
          <w:szCs w:val="22"/>
          <w:lang w:val="en-GB"/>
        </w:rPr>
        <w:t>been made, rendering the MCLBI (practically) inoperative. South African insolvency law is thus regulated by principles of common law and private international law.</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1B452E3A" w14:textId="09D3C520" w:rsidR="0001070D" w:rsidRPr="0001070D" w:rsidRDefault="0001070D" w:rsidP="0001070D">
      <w:pPr>
        <w:pStyle w:val="ListParagraph"/>
        <w:numPr>
          <w:ilvl w:val="0"/>
          <w:numId w:val="25"/>
        </w:numPr>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t xml:space="preserve">Following the Asian Financial Crisis in 1997 there has been a growing recognition of the need for better financial integration and reorganisation laws within the </w:t>
      </w:r>
      <w:r w:rsidR="00F12225">
        <w:rPr>
          <w:rFonts w:ascii="Avenir Next" w:hAnsi="Avenir Next" w:cs="Arial"/>
          <w:color w:val="808080" w:themeColor="background1" w:themeShade="80"/>
          <w:sz w:val="22"/>
          <w:szCs w:val="22"/>
          <w:lang w:val="en-GB"/>
        </w:rPr>
        <w:t xml:space="preserve">East Asian </w:t>
      </w:r>
      <w:r w:rsidRPr="0001070D">
        <w:rPr>
          <w:rFonts w:ascii="Avenir Next" w:hAnsi="Avenir Next" w:cs="Arial"/>
          <w:color w:val="808080" w:themeColor="background1" w:themeShade="80"/>
          <w:sz w:val="22"/>
          <w:szCs w:val="22"/>
          <w:lang w:val="en-GB"/>
        </w:rPr>
        <w:t>region.</w:t>
      </w:r>
    </w:p>
    <w:p w14:paraId="480B3213" w14:textId="77777777" w:rsidR="0001070D" w:rsidRPr="0001070D" w:rsidRDefault="0001070D" w:rsidP="0001070D">
      <w:pPr>
        <w:pStyle w:val="ListParagraph"/>
        <w:jc w:val="both"/>
        <w:rPr>
          <w:rFonts w:ascii="Avenir Next" w:hAnsi="Avenir Next" w:cs="Arial"/>
          <w:color w:val="808080" w:themeColor="background1" w:themeShade="80"/>
          <w:sz w:val="22"/>
          <w:szCs w:val="22"/>
          <w:lang w:val="en-GB"/>
        </w:rPr>
      </w:pPr>
    </w:p>
    <w:p w14:paraId="708CD5EC" w14:textId="182FE9C4" w:rsidR="0001070D" w:rsidRPr="0001070D" w:rsidRDefault="0001070D" w:rsidP="0001070D">
      <w:pPr>
        <w:pStyle w:val="ListParagraph"/>
        <w:numPr>
          <w:ilvl w:val="0"/>
          <w:numId w:val="25"/>
        </w:numPr>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t xml:space="preserve">There are currently no treaties and/ or conventions that specifically address insolvency and restructuring issues within the </w:t>
      </w:r>
      <w:r>
        <w:rPr>
          <w:rFonts w:ascii="Avenir Next" w:hAnsi="Avenir Next" w:cs="Arial"/>
          <w:color w:val="808080" w:themeColor="background1" w:themeShade="80"/>
          <w:sz w:val="22"/>
          <w:szCs w:val="22"/>
          <w:lang w:val="en-GB"/>
        </w:rPr>
        <w:t xml:space="preserve">East Asian </w:t>
      </w:r>
      <w:r w:rsidRPr="0001070D">
        <w:rPr>
          <w:rFonts w:ascii="Avenir Next" w:hAnsi="Avenir Next" w:cs="Arial"/>
          <w:color w:val="808080" w:themeColor="background1" w:themeShade="80"/>
          <w:sz w:val="22"/>
          <w:szCs w:val="22"/>
          <w:lang w:val="en-GB"/>
        </w:rPr>
        <w:t xml:space="preserve">region. </w:t>
      </w:r>
    </w:p>
    <w:p w14:paraId="65F7A276" w14:textId="77777777" w:rsidR="0001070D" w:rsidRPr="0001070D" w:rsidRDefault="0001070D" w:rsidP="0001070D">
      <w:pPr>
        <w:pStyle w:val="ListParagraph"/>
        <w:jc w:val="both"/>
        <w:rPr>
          <w:rFonts w:ascii="Avenir Next" w:hAnsi="Avenir Next" w:cs="Arial"/>
          <w:color w:val="808080" w:themeColor="background1" w:themeShade="80"/>
          <w:sz w:val="22"/>
          <w:szCs w:val="22"/>
          <w:lang w:val="en-GB"/>
        </w:rPr>
      </w:pPr>
    </w:p>
    <w:p w14:paraId="68208013" w14:textId="77777777" w:rsidR="0001070D" w:rsidRPr="0001070D" w:rsidRDefault="0001070D" w:rsidP="0001070D">
      <w:pPr>
        <w:pStyle w:val="ListParagraph"/>
        <w:numPr>
          <w:ilvl w:val="0"/>
          <w:numId w:val="25"/>
        </w:numPr>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t>Important reform initiatives in the region include:</w:t>
      </w:r>
    </w:p>
    <w:p w14:paraId="41DE58BB" w14:textId="77777777" w:rsidR="0001070D" w:rsidRPr="0001070D" w:rsidRDefault="0001070D" w:rsidP="0001070D">
      <w:pPr>
        <w:pStyle w:val="ListParagraph"/>
        <w:jc w:val="both"/>
        <w:rPr>
          <w:rFonts w:ascii="Avenir Next" w:hAnsi="Avenir Next" w:cs="Arial"/>
          <w:color w:val="808080" w:themeColor="background1" w:themeShade="80"/>
          <w:sz w:val="22"/>
          <w:szCs w:val="22"/>
          <w:lang w:val="en-GB"/>
        </w:rPr>
      </w:pPr>
    </w:p>
    <w:p w14:paraId="09FED321" w14:textId="77777777" w:rsidR="0001070D" w:rsidRPr="0001070D" w:rsidRDefault="0001070D" w:rsidP="0001070D">
      <w:pPr>
        <w:pStyle w:val="ListParagraph"/>
        <w:numPr>
          <w:ilvl w:val="0"/>
          <w:numId w:val="25"/>
        </w:numPr>
        <w:jc w:val="both"/>
        <w:rPr>
          <w:rFonts w:ascii="Avenir Next" w:hAnsi="Avenir Next" w:cs="Arial"/>
          <w:color w:val="808080" w:themeColor="background1" w:themeShade="80"/>
          <w:sz w:val="22"/>
          <w:szCs w:val="22"/>
          <w:lang w:val="en-GB"/>
        </w:rPr>
      </w:pPr>
      <w:r w:rsidRPr="0001070D">
        <w:rPr>
          <w:rFonts w:ascii="Avenir Next" w:hAnsi="Avenir Next" w:cs="Arial"/>
          <w:color w:val="808080" w:themeColor="background1" w:themeShade="80"/>
          <w:sz w:val="22"/>
          <w:szCs w:val="22"/>
          <w:lang w:val="en-GB"/>
        </w:rPr>
        <w:t>a joint project undertaken by the Asian Business Law Institute ("</w:t>
      </w:r>
      <w:r w:rsidRPr="0001070D">
        <w:rPr>
          <w:rFonts w:ascii="Avenir Next" w:hAnsi="Avenir Next" w:cs="Arial"/>
          <w:b/>
          <w:color w:val="808080" w:themeColor="background1" w:themeShade="80"/>
          <w:sz w:val="22"/>
          <w:szCs w:val="22"/>
          <w:lang w:val="en-GB"/>
        </w:rPr>
        <w:t>ABLI</w:t>
      </w:r>
      <w:r w:rsidRPr="0001070D">
        <w:rPr>
          <w:rFonts w:ascii="Avenir Next" w:hAnsi="Avenir Next" w:cs="Arial"/>
          <w:color w:val="808080" w:themeColor="background1" w:themeShade="80"/>
          <w:sz w:val="22"/>
          <w:szCs w:val="22"/>
          <w:lang w:val="en-GB"/>
        </w:rPr>
        <w:t>") and the International Insolvency Institute ("</w:t>
      </w:r>
      <w:r w:rsidRPr="0001070D">
        <w:rPr>
          <w:rFonts w:ascii="Avenir Next" w:hAnsi="Avenir Next" w:cs="Arial"/>
          <w:b/>
          <w:color w:val="808080" w:themeColor="background1" w:themeShade="80"/>
          <w:sz w:val="22"/>
          <w:szCs w:val="22"/>
          <w:lang w:val="en-GB"/>
        </w:rPr>
        <w:t>III</w:t>
      </w:r>
      <w:r w:rsidRPr="0001070D">
        <w:rPr>
          <w:rFonts w:ascii="Avenir Next" w:hAnsi="Avenir Next" w:cs="Arial"/>
          <w:color w:val="808080" w:themeColor="background1" w:themeShade="80"/>
          <w:sz w:val="22"/>
          <w:szCs w:val="22"/>
          <w:lang w:val="en-GB"/>
        </w:rPr>
        <w:t>"), which aims to publish a set of Asian Principles of Business Restructuring in an attempt to eliminate inefficiencies in insolvency and restructuring matters across the region; and</w:t>
      </w:r>
    </w:p>
    <w:p w14:paraId="0FF6609F" w14:textId="77777777" w:rsidR="0001070D" w:rsidRPr="0001070D" w:rsidRDefault="0001070D" w:rsidP="0001070D">
      <w:pPr>
        <w:pStyle w:val="ListParagraph"/>
        <w:jc w:val="both"/>
        <w:rPr>
          <w:rFonts w:ascii="Avenir Next" w:hAnsi="Avenir Next" w:cs="Arial"/>
          <w:color w:val="808080" w:themeColor="background1" w:themeShade="80"/>
          <w:sz w:val="22"/>
          <w:szCs w:val="22"/>
          <w:lang w:val="en-GB"/>
        </w:rPr>
      </w:pPr>
    </w:p>
    <w:p w14:paraId="79E5801C" w14:textId="4621DF21" w:rsidR="0001070D" w:rsidRPr="0001070D" w:rsidRDefault="0001070D" w:rsidP="0001070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increasing number of s</w:t>
      </w:r>
      <w:r w:rsidRPr="0001070D">
        <w:rPr>
          <w:rFonts w:ascii="Avenir Next" w:hAnsi="Avenir Next" w:cs="Arial"/>
          <w:color w:val="808080" w:themeColor="background1" w:themeShade="80"/>
          <w:sz w:val="22"/>
          <w:szCs w:val="22"/>
          <w:lang w:val="en-GB"/>
        </w:rPr>
        <w:t>tates i</w:t>
      </w:r>
      <w:r w:rsidR="00F12225">
        <w:rPr>
          <w:rFonts w:ascii="Avenir Next" w:hAnsi="Avenir Next" w:cs="Arial"/>
          <w:color w:val="808080" w:themeColor="background1" w:themeShade="80"/>
          <w:sz w:val="22"/>
          <w:szCs w:val="22"/>
          <w:lang w:val="en-GB"/>
        </w:rPr>
        <w:t>n the region have adopted the UNCITRAL M</w:t>
      </w:r>
      <w:r w:rsidRPr="0001070D">
        <w:rPr>
          <w:rFonts w:ascii="Avenir Next" w:hAnsi="Avenir Next" w:cs="Arial"/>
          <w:color w:val="808080" w:themeColor="background1" w:themeShade="80"/>
          <w:sz w:val="22"/>
          <w:szCs w:val="22"/>
          <w:lang w:val="en-GB"/>
        </w:rPr>
        <w:t>L</w:t>
      </w:r>
      <w:r w:rsidR="00F12225">
        <w:rPr>
          <w:rFonts w:ascii="Avenir Next" w:hAnsi="Avenir Next" w:cs="Arial"/>
          <w:color w:val="808080" w:themeColor="background1" w:themeShade="80"/>
          <w:sz w:val="22"/>
          <w:szCs w:val="22"/>
          <w:lang w:val="en-GB"/>
        </w:rPr>
        <w:t>C</w:t>
      </w:r>
      <w:r w:rsidRPr="0001070D">
        <w:rPr>
          <w:rFonts w:ascii="Avenir Next" w:hAnsi="Avenir Next" w:cs="Arial"/>
          <w:color w:val="808080" w:themeColor="background1" w:themeShade="80"/>
          <w:sz w:val="22"/>
          <w:szCs w:val="22"/>
          <w:lang w:val="en-GB"/>
        </w:rPr>
        <w:t>BI.</w:t>
      </w:r>
    </w:p>
    <w:p w14:paraId="2D25DE19" w14:textId="6A175FE9" w:rsidR="00AB63DE" w:rsidRPr="0001070D" w:rsidRDefault="00AB63DE" w:rsidP="0001070D">
      <w:pPr>
        <w:pStyle w:val="ListParagraph"/>
        <w:jc w:val="both"/>
        <w:rPr>
          <w:rFonts w:ascii="Avenir Next" w:hAnsi="Avenir Next" w:cs="Arial"/>
          <w:color w:val="808080" w:themeColor="background1" w:themeShade="80"/>
          <w:sz w:val="22"/>
          <w:szCs w:val="22"/>
          <w:lang w:val="en-GB"/>
        </w:rPr>
      </w:pPr>
    </w:p>
    <w:p w14:paraId="6B5EC12D" w14:textId="25B4E465" w:rsidR="00AB63DE" w:rsidRPr="004216EA" w:rsidRDefault="00AB63DE" w:rsidP="0001070D">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26430FE" w14:textId="008AB5DF" w:rsidR="008E3EB2" w:rsidRPr="008E3EB2" w:rsidRDefault="008E3EB2" w:rsidP="008E3EB2">
      <w:pPr>
        <w:jc w:val="both"/>
        <w:rPr>
          <w:rFonts w:ascii="Avenir Next" w:hAnsi="Avenir Next" w:cs="Arial"/>
          <w:color w:val="808080" w:themeColor="background1" w:themeShade="80"/>
          <w:sz w:val="22"/>
          <w:szCs w:val="22"/>
          <w:lang w:val="en-GB"/>
        </w:rPr>
      </w:pPr>
    </w:p>
    <w:p w14:paraId="00DDDAAF" w14:textId="541E4F4D" w:rsidR="008E3EB2" w:rsidRDefault="008E3EB2" w:rsidP="008E3EB2">
      <w:pPr>
        <w:pStyle w:val="ListParagraph"/>
        <w:numPr>
          <w:ilvl w:val="0"/>
          <w:numId w:val="26"/>
        </w:numPr>
        <w:jc w:val="both"/>
        <w:rPr>
          <w:rFonts w:ascii="Avenir Next" w:hAnsi="Avenir Next" w:cs="Arial"/>
          <w:color w:val="808080" w:themeColor="background1" w:themeShade="80"/>
          <w:sz w:val="22"/>
          <w:szCs w:val="22"/>
          <w:lang w:val="en-GB"/>
        </w:rPr>
      </w:pPr>
      <w:r w:rsidRPr="008E3EB2">
        <w:rPr>
          <w:rFonts w:ascii="Avenir Next" w:hAnsi="Avenir Next" w:cs="Arial"/>
          <w:color w:val="808080" w:themeColor="background1" w:themeShade="80"/>
          <w:sz w:val="22"/>
          <w:szCs w:val="22"/>
          <w:lang w:val="en-GB"/>
        </w:rPr>
        <w:t>The United States and Canada sought to harmonize a cross-border insolvency system in the 1970's, aimed at promoting the efficient and equitable resolution of international insolvency issues, however, these early initiatives did not result in a binding treaty.</w:t>
      </w:r>
    </w:p>
    <w:p w14:paraId="29D51A09" w14:textId="77777777" w:rsidR="008E3EB2" w:rsidRDefault="008E3EB2" w:rsidP="008E3EB2">
      <w:pPr>
        <w:pStyle w:val="ListParagraph"/>
        <w:jc w:val="both"/>
        <w:rPr>
          <w:rFonts w:ascii="Avenir Next" w:hAnsi="Avenir Next" w:cs="Arial"/>
          <w:color w:val="808080" w:themeColor="background1" w:themeShade="80"/>
          <w:sz w:val="22"/>
          <w:szCs w:val="22"/>
          <w:lang w:val="en-GB"/>
        </w:rPr>
      </w:pPr>
    </w:p>
    <w:p w14:paraId="5ED43E16" w14:textId="77777777" w:rsidR="008E3EB2" w:rsidRDefault="008E3EB2" w:rsidP="008E3EB2">
      <w:pPr>
        <w:pStyle w:val="ListParagraph"/>
        <w:numPr>
          <w:ilvl w:val="0"/>
          <w:numId w:val="26"/>
        </w:numPr>
        <w:jc w:val="both"/>
        <w:rPr>
          <w:rFonts w:ascii="Avenir Next" w:hAnsi="Avenir Next" w:cs="Arial"/>
          <w:color w:val="808080" w:themeColor="background1" w:themeShade="80"/>
          <w:sz w:val="22"/>
          <w:szCs w:val="22"/>
          <w:lang w:val="en-GB"/>
        </w:rPr>
      </w:pPr>
      <w:r w:rsidRPr="008E3EB2">
        <w:rPr>
          <w:rFonts w:ascii="Avenir Next" w:hAnsi="Avenir Next" w:cs="Arial"/>
          <w:color w:val="808080" w:themeColor="background1" w:themeShade="80"/>
          <w:sz w:val="22"/>
          <w:szCs w:val="22"/>
          <w:lang w:val="en-GB"/>
        </w:rPr>
        <w:t>The American Law Institute ("</w:t>
      </w:r>
      <w:r w:rsidRPr="008E3EB2">
        <w:rPr>
          <w:rFonts w:ascii="Avenir Next" w:hAnsi="Avenir Next" w:cs="Arial"/>
          <w:b/>
          <w:color w:val="808080" w:themeColor="background1" w:themeShade="80"/>
          <w:sz w:val="22"/>
          <w:szCs w:val="22"/>
          <w:lang w:val="en-GB"/>
        </w:rPr>
        <w:t>ALI</w:t>
      </w:r>
      <w:r w:rsidRPr="008E3EB2">
        <w:rPr>
          <w:rFonts w:ascii="Avenir Next" w:hAnsi="Avenir Next" w:cs="Arial"/>
          <w:color w:val="808080" w:themeColor="background1" w:themeShade="80"/>
          <w:sz w:val="22"/>
          <w:szCs w:val="22"/>
          <w:lang w:val="en-GB"/>
        </w:rPr>
        <w:t>"), an independent professional organisation aimed at clarifying, modernising and improving the law, began an initiative to improve co-operation and co-ordination which resulted in the preparation and approval of its Principles of Cooperation among the NAFTA Countries (being USA, Canada and Mexico) in 2000 (the "</w:t>
      </w:r>
      <w:r w:rsidRPr="008E3EB2">
        <w:rPr>
          <w:rFonts w:ascii="Avenir Next" w:hAnsi="Avenir Next" w:cs="Arial"/>
          <w:b/>
          <w:color w:val="808080" w:themeColor="background1" w:themeShade="80"/>
          <w:sz w:val="22"/>
          <w:szCs w:val="22"/>
          <w:lang w:val="en-GB"/>
        </w:rPr>
        <w:t>NAFTA Principles</w:t>
      </w:r>
      <w:r w:rsidRPr="008E3EB2">
        <w:rPr>
          <w:rFonts w:ascii="Avenir Next" w:hAnsi="Avenir Next" w:cs="Arial"/>
          <w:color w:val="808080" w:themeColor="background1" w:themeShade="80"/>
          <w:sz w:val="22"/>
          <w:szCs w:val="22"/>
          <w:lang w:val="en-GB"/>
        </w:rPr>
        <w:t>"), which were subsequently published in 2003.</w:t>
      </w:r>
    </w:p>
    <w:p w14:paraId="21531666" w14:textId="77777777" w:rsidR="008E3EB2" w:rsidRPr="008E3EB2" w:rsidRDefault="008E3EB2" w:rsidP="008E3EB2">
      <w:pPr>
        <w:pStyle w:val="ListParagraph"/>
        <w:rPr>
          <w:rFonts w:ascii="Avenir Next" w:hAnsi="Avenir Next" w:cs="Arial"/>
          <w:color w:val="808080" w:themeColor="background1" w:themeShade="80"/>
          <w:sz w:val="22"/>
          <w:szCs w:val="22"/>
          <w:lang w:val="en-GB"/>
        </w:rPr>
      </w:pPr>
    </w:p>
    <w:p w14:paraId="4D5C002E" w14:textId="77777777" w:rsidR="008E3EB2" w:rsidRDefault="008E3EB2" w:rsidP="008E3EB2">
      <w:pPr>
        <w:pStyle w:val="ListParagraph"/>
        <w:numPr>
          <w:ilvl w:val="0"/>
          <w:numId w:val="26"/>
        </w:numPr>
        <w:jc w:val="both"/>
        <w:rPr>
          <w:rFonts w:ascii="Avenir Next" w:hAnsi="Avenir Next" w:cs="Arial"/>
          <w:color w:val="808080" w:themeColor="background1" w:themeShade="80"/>
          <w:sz w:val="22"/>
          <w:szCs w:val="22"/>
          <w:lang w:val="en-GB"/>
        </w:rPr>
      </w:pPr>
      <w:r w:rsidRPr="008E3EB2">
        <w:rPr>
          <w:rFonts w:ascii="Avenir Next" w:hAnsi="Avenir Next" w:cs="Arial"/>
          <w:color w:val="808080" w:themeColor="background1" w:themeShade="80"/>
          <w:sz w:val="22"/>
          <w:szCs w:val="22"/>
          <w:lang w:val="en-GB"/>
        </w:rPr>
        <w:lastRenderedPageBreak/>
        <w:t>Thereafter, ALI, together with the International Insolvency Institute ("</w:t>
      </w:r>
      <w:r w:rsidRPr="008E3EB2">
        <w:rPr>
          <w:rFonts w:ascii="Avenir Next" w:hAnsi="Avenir Next" w:cs="Arial"/>
          <w:b/>
          <w:color w:val="808080" w:themeColor="background1" w:themeShade="80"/>
          <w:sz w:val="22"/>
          <w:szCs w:val="22"/>
          <w:lang w:val="en-GB"/>
        </w:rPr>
        <w:t>III</w:t>
      </w:r>
      <w:r w:rsidRPr="008E3EB2">
        <w:rPr>
          <w:rFonts w:ascii="Avenir Next" w:hAnsi="Avenir Next" w:cs="Arial"/>
          <w:color w:val="808080" w:themeColor="background1" w:themeShade="80"/>
          <w:sz w:val="22"/>
          <w:szCs w:val="22"/>
          <w:lang w:val="en-GB"/>
        </w:rPr>
        <w:t>"), prepared the Guidelines Applicable to Court-to-Court Communications in Cross-Border cases which have been endorsed by several judicial bodies in North America.</w:t>
      </w:r>
    </w:p>
    <w:p w14:paraId="428241C2" w14:textId="77777777" w:rsidR="008E3EB2" w:rsidRPr="008E3EB2" w:rsidRDefault="008E3EB2" w:rsidP="008E3EB2">
      <w:pPr>
        <w:pStyle w:val="ListParagraph"/>
        <w:rPr>
          <w:rFonts w:ascii="Avenir Next" w:hAnsi="Avenir Next" w:cs="Arial"/>
          <w:color w:val="808080" w:themeColor="background1" w:themeShade="80"/>
          <w:sz w:val="22"/>
          <w:szCs w:val="22"/>
          <w:lang w:val="en-GB"/>
        </w:rPr>
      </w:pPr>
    </w:p>
    <w:p w14:paraId="1E8FD83D" w14:textId="77777777" w:rsidR="008E3EB2" w:rsidRDefault="008E3EB2" w:rsidP="008E3EB2">
      <w:pPr>
        <w:pStyle w:val="ListParagraph"/>
        <w:numPr>
          <w:ilvl w:val="0"/>
          <w:numId w:val="26"/>
        </w:numPr>
        <w:jc w:val="both"/>
        <w:rPr>
          <w:rFonts w:ascii="Avenir Next" w:hAnsi="Avenir Next" w:cs="Arial"/>
          <w:color w:val="808080" w:themeColor="background1" w:themeShade="80"/>
          <w:sz w:val="22"/>
          <w:szCs w:val="22"/>
          <w:lang w:val="en-GB"/>
        </w:rPr>
      </w:pPr>
      <w:r w:rsidRPr="008E3EB2">
        <w:rPr>
          <w:rFonts w:ascii="Avenir Next" w:hAnsi="Avenir Next" w:cs="Arial"/>
          <w:color w:val="808080" w:themeColor="background1" w:themeShade="80"/>
          <w:sz w:val="22"/>
          <w:szCs w:val="22"/>
          <w:lang w:val="en-GB"/>
        </w:rPr>
        <w:t xml:space="preserve">The NAFTA Principles and are aimed to improving cooperation between the NAFTA states in an effort to maximise the value of a corporate debtor's assets and recognition of the debtor's bankruptcy status with those states. </w:t>
      </w:r>
    </w:p>
    <w:p w14:paraId="4C74A7A9" w14:textId="77777777" w:rsidR="008E3EB2" w:rsidRPr="008E3EB2" w:rsidRDefault="008E3EB2" w:rsidP="008E3EB2">
      <w:pPr>
        <w:pStyle w:val="ListParagraph"/>
        <w:rPr>
          <w:rFonts w:ascii="Avenir Next" w:hAnsi="Avenir Next" w:cs="Arial"/>
          <w:color w:val="808080" w:themeColor="background1" w:themeShade="80"/>
          <w:sz w:val="22"/>
          <w:szCs w:val="22"/>
          <w:lang w:val="en-GB"/>
        </w:rPr>
      </w:pPr>
    </w:p>
    <w:p w14:paraId="10265A07" w14:textId="77777777" w:rsidR="008E3EB2" w:rsidRDefault="008E3EB2" w:rsidP="008E3EB2">
      <w:pPr>
        <w:pStyle w:val="ListParagraph"/>
        <w:numPr>
          <w:ilvl w:val="0"/>
          <w:numId w:val="26"/>
        </w:numPr>
        <w:jc w:val="both"/>
        <w:rPr>
          <w:rFonts w:ascii="Avenir Next" w:hAnsi="Avenir Next" w:cs="Arial"/>
          <w:color w:val="808080" w:themeColor="background1" w:themeShade="80"/>
          <w:sz w:val="22"/>
          <w:szCs w:val="22"/>
          <w:lang w:val="en-GB"/>
        </w:rPr>
      </w:pPr>
      <w:r w:rsidRPr="008E3EB2">
        <w:rPr>
          <w:rFonts w:ascii="Avenir Next" w:hAnsi="Avenir Next" w:cs="Arial"/>
          <w:color w:val="808080" w:themeColor="background1" w:themeShade="80"/>
          <w:sz w:val="22"/>
          <w:szCs w:val="22"/>
          <w:lang w:val="en-GB"/>
        </w:rPr>
        <w:t>Additional General Principles address issues including moratoriums against individual debt enforcement, information sharing, access to judicial proceedings and distribution of assets. The Additional General Principles also provide further recommendations for international agreement on insolvency issues.</w:t>
      </w:r>
    </w:p>
    <w:p w14:paraId="5EE56165" w14:textId="77777777" w:rsidR="008E3EB2" w:rsidRPr="008E3EB2" w:rsidRDefault="008E3EB2" w:rsidP="008E3EB2">
      <w:pPr>
        <w:pStyle w:val="ListParagraph"/>
        <w:rPr>
          <w:rFonts w:ascii="Avenir Next" w:hAnsi="Avenir Next" w:cs="Arial"/>
          <w:color w:val="808080" w:themeColor="background1" w:themeShade="80"/>
          <w:sz w:val="22"/>
          <w:szCs w:val="22"/>
          <w:lang w:val="en-GB"/>
        </w:rPr>
      </w:pPr>
    </w:p>
    <w:p w14:paraId="7034F7BB" w14:textId="5C1797C5" w:rsidR="00AB63DE" w:rsidRPr="008E3EB2" w:rsidRDefault="008E3EB2" w:rsidP="008E3EB2">
      <w:pPr>
        <w:pStyle w:val="ListParagraph"/>
        <w:numPr>
          <w:ilvl w:val="0"/>
          <w:numId w:val="26"/>
        </w:numPr>
        <w:jc w:val="both"/>
        <w:rPr>
          <w:rFonts w:ascii="Avenir Next" w:hAnsi="Avenir Next" w:cs="Arial"/>
          <w:color w:val="808080" w:themeColor="background1" w:themeShade="80"/>
          <w:sz w:val="22"/>
          <w:szCs w:val="22"/>
          <w:lang w:val="en-GB"/>
        </w:rPr>
      </w:pPr>
      <w:r w:rsidRPr="008E3EB2">
        <w:rPr>
          <w:rFonts w:ascii="Avenir Next" w:hAnsi="Avenir Next" w:cs="Arial"/>
          <w:color w:val="808080" w:themeColor="background1" w:themeShade="80"/>
          <w:sz w:val="22"/>
          <w:szCs w:val="22"/>
          <w:lang w:val="en-GB"/>
        </w:rPr>
        <w:t>Each of Mexico (in 2000), Canada (in 2005) and USA (2005) have subsequently become signatories to the UNCITRAL MLCBI.</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3DA024A5" w14:textId="77777777" w:rsidR="00AF224B" w:rsidRDefault="00AF224B" w:rsidP="00AF224B">
      <w:pPr>
        <w:jc w:val="both"/>
        <w:rPr>
          <w:rFonts w:ascii="Avenir Next" w:hAnsi="Avenir Next" w:cs="Arial"/>
          <w:sz w:val="22"/>
          <w:szCs w:val="22"/>
          <w:lang w:val="en-GB"/>
        </w:rPr>
      </w:pPr>
    </w:p>
    <w:p w14:paraId="05606945" w14:textId="7A2B0ED9" w:rsidR="00AF224B" w:rsidRDefault="00AF224B" w:rsidP="00AF224B">
      <w:pPr>
        <w:pStyle w:val="ListParagraph"/>
        <w:numPr>
          <w:ilvl w:val="0"/>
          <w:numId w:val="27"/>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The law on voidable transactions in the common law system of England has its roots in the Act of Elizabeth (1570), as developed by the Statute of Ann (1705) and the Act of 1883 and as further developed under the English Courts of Equity, leading ultimately to the Insolvency Act, 1986.</w:t>
      </w:r>
    </w:p>
    <w:p w14:paraId="60E5A094" w14:textId="77777777" w:rsidR="00AF224B" w:rsidRDefault="00AF224B" w:rsidP="00AF224B">
      <w:pPr>
        <w:pStyle w:val="ListParagraph"/>
        <w:jc w:val="both"/>
        <w:rPr>
          <w:rFonts w:ascii="Avenir Next" w:hAnsi="Avenir Next" w:cs="Arial"/>
          <w:color w:val="808080" w:themeColor="background1" w:themeShade="80"/>
          <w:sz w:val="22"/>
          <w:szCs w:val="22"/>
          <w:lang w:val="en-GB"/>
        </w:rPr>
      </w:pPr>
    </w:p>
    <w:p w14:paraId="11405FC3" w14:textId="401B27FA" w:rsidR="00AF224B" w:rsidRDefault="00AF224B" w:rsidP="00AF224B">
      <w:pPr>
        <w:pStyle w:val="ListParagraph"/>
        <w:numPr>
          <w:ilvl w:val="0"/>
          <w:numId w:val="27"/>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 xml:space="preserve">Certain civil law systems (such as those of the Netherlands) have, as the root of their systems on those voidable, the Roman Law </w:t>
      </w:r>
      <w:r w:rsidR="00F12225">
        <w:rPr>
          <w:rFonts w:ascii="Avenir Next" w:hAnsi="Avenir Next" w:cs="Arial"/>
          <w:color w:val="808080" w:themeColor="background1" w:themeShade="80"/>
          <w:sz w:val="22"/>
          <w:szCs w:val="22"/>
          <w:lang w:val="en-GB"/>
        </w:rPr>
        <w:t>principle of the Actio Pauliana (being an action in Roman law aimed at the protection of creditors from fraudulent transactions).</w:t>
      </w:r>
      <w:r w:rsidRPr="00AF224B">
        <w:rPr>
          <w:rFonts w:ascii="Avenir Next" w:hAnsi="Avenir Next" w:cs="Arial"/>
          <w:color w:val="808080" w:themeColor="background1" w:themeShade="80"/>
          <w:sz w:val="22"/>
          <w:szCs w:val="22"/>
          <w:lang w:val="en-GB"/>
        </w:rPr>
        <w:t xml:space="preserve"> </w:t>
      </w:r>
    </w:p>
    <w:p w14:paraId="4EDE2793" w14:textId="77777777" w:rsidR="00AF224B" w:rsidRPr="00AF224B" w:rsidRDefault="00AF224B" w:rsidP="00AF224B">
      <w:pPr>
        <w:pStyle w:val="ListParagraph"/>
        <w:rPr>
          <w:rFonts w:ascii="Avenir Next" w:hAnsi="Avenir Next" w:cs="Arial"/>
          <w:color w:val="808080" w:themeColor="background1" w:themeShade="80"/>
          <w:sz w:val="22"/>
          <w:szCs w:val="22"/>
          <w:lang w:val="en-GB"/>
        </w:rPr>
      </w:pPr>
    </w:p>
    <w:p w14:paraId="354D1949" w14:textId="69BBDA9B" w:rsidR="00AF224B" w:rsidRPr="00AF224B" w:rsidRDefault="00AF224B" w:rsidP="00AF224B">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law, having developed from early Roman Law principles, and English Insolvency law, having developed from legislation, have thus developed different approaches in respect of voidable transactions and the setting aside of voidable dispositions. </w:t>
      </w:r>
    </w:p>
    <w:p w14:paraId="4142279A" w14:textId="7C11DC4F" w:rsidR="00AF224B" w:rsidRDefault="00AF224B" w:rsidP="00AF224B">
      <w:pPr>
        <w:pStyle w:val="ListParagraph"/>
        <w:jc w:val="both"/>
        <w:rPr>
          <w:rFonts w:ascii="Avenir Next" w:hAnsi="Avenir Next" w:cs="Arial"/>
          <w:color w:val="808080" w:themeColor="background1" w:themeShade="80"/>
          <w:sz w:val="22"/>
          <w:szCs w:val="22"/>
          <w:lang w:val="en-GB"/>
        </w:rPr>
      </w:pPr>
    </w:p>
    <w:p w14:paraId="20C55AB5" w14:textId="4B240E37" w:rsidR="00AF224B" w:rsidRDefault="00AF224B" w:rsidP="00AF224B">
      <w:pPr>
        <w:pStyle w:val="ListParagraph"/>
        <w:numPr>
          <w:ilvl w:val="0"/>
          <w:numId w:val="27"/>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A voidable transaction is one that may be set aside by a creditor or liquidator in certain circumstances, with the ultimate aim of returning the benefit of the transaction received by the receiving party to the insolvent estate. The rules on voidable transactions are important tools in an insolvency regime and deal with situations in which a creditor has been adversely affected by the actions of the debtor.</w:t>
      </w:r>
    </w:p>
    <w:p w14:paraId="20FC809C" w14:textId="77777777" w:rsidR="00AF224B" w:rsidRDefault="00AF224B" w:rsidP="00AF224B">
      <w:pPr>
        <w:pStyle w:val="ListParagraph"/>
        <w:jc w:val="both"/>
        <w:rPr>
          <w:rFonts w:ascii="Avenir Next" w:hAnsi="Avenir Next" w:cs="Arial"/>
          <w:color w:val="808080" w:themeColor="background1" w:themeShade="80"/>
          <w:sz w:val="22"/>
          <w:szCs w:val="22"/>
          <w:lang w:val="en-GB"/>
        </w:rPr>
      </w:pPr>
    </w:p>
    <w:p w14:paraId="19588DFC" w14:textId="00AED1BE" w:rsidR="00AF224B" w:rsidRPr="00AF224B" w:rsidRDefault="00AF224B" w:rsidP="00AF224B">
      <w:pPr>
        <w:pStyle w:val="ListParagraph"/>
        <w:numPr>
          <w:ilvl w:val="0"/>
          <w:numId w:val="27"/>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 xml:space="preserve">The starting point </w:t>
      </w:r>
      <w:r>
        <w:rPr>
          <w:rFonts w:ascii="Avenir Next" w:hAnsi="Avenir Next" w:cs="Arial"/>
          <w:color w:val="808080" w:themeColor="background1" w:themeShade="80"/>
          <w:sz w:val="22"/>
          <w:szCs w:val="22"/>
          <w:lang w:val="en-GB"/>
        </w:rPr>
        <w:t xml:space="preserve">in relation to voidable transactions </w:t>
      </w:r>
      <w:r w:rsidRPr="00AF224B">
        <w:rPr>
          <w:rFonts w:ascii="Avenir Next" w:hAnsi="Avenir Next" w:cs="Arial"/>
          <w:color w:val="808080" w:themeColor="background1" w:themeShade="80"/>
          <w:sz w:val="22"/>
          <w:szCs w:val="22"/>
          <w:lang w:val="en-GB"/>
        </w:rPr>
        <w:t xml:space="preserve">is the basic principle that third parties must respect the rights and obligations relating to contracts to which they are not a party (even if prejudiced by those contracts). However, in certain situations, creditors are entitled </w:t>
      </w:r>
      <w:r w:rsidRPr="00AF224B">
        <w:rPr>
          <w:rFonts w:ascii="Avenir Next" w:hAnsi="Avenir Next" w:cs="Arial"/>
          <w:color w:val="808080" w:themeColor="background1" w:themeShade="80"/>
          <w:sz w:val="22"/>
          <w:szCs w:val="22"/>
          <w:lang w:val="en-GB"/>
        </w:rPr>
        <w:lastRenderedPageBreak/>
        <w:t>to object to contracts entered into by the debtor and seek to unwind the consequences of those acts. Typically, such transactions can be set aside in circumstances in which the debtor knew (or ought to have known) that prejudice to the creditor would result from the act.</w:t>
      </w:r>
    </w:p>
    <w:p w14:paraId="754BAF0C" w14:textId="77777777" w:rsidR="00AF224B" w:rsidRPr="00AF224B" w:rsidRDefault="00AF224B" w:rsidP="00AF224B">
      <w:pPr>
        <w:jc w:val="both"/>
        <w:rPr>
          <w:rFonts w:ascii="Avenir Next" w:hAnsi="Avenir Next" w:cs="Arial"/>
          <w:color w:val="808080" w:themeColor="background1" w:themeShade="80"/>
          <w:sz w:val="22"/>
          <w:szCs w:val="22"/>
          <w:lang w:val="en-GB"/>
        </w:rPr>
      </w:pPr>
    </w:p>
    <w:p w14:paraId="71B97BAA" w14:textId="77777777" w:rsidR="00AF224B" w:rsidRDefault="00AF224B" w:rsidP="00AF224B">
      <w:pPr>
        <w:pStyle w:val="ListParagraph"/>
        <w:numPr>
          <w:ilvl w:val="0"/>
          <w:numId w:val="27"/>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The rules relating to voidable transactions are important for the purposes of:</w:t>
      </w:r>
    </w:p>
    <w:p w14:paraId="6F52D799" w14:textId="77777777" w:rsidR="00AF224B" w:rsidRPr="00AF224B" w:rsidRDefault="00AF224B" w:rsidP="00AF224B">
      <w:pPr>
        <w:pStyle w:val="ListParagraph"/>
        <w:jc w:val="both"/>
        <w:rPr>
          <w:rFonts w:ascii="Avenir Next" w:hAnsi="Avenir Next" w:cs="Arial"/>
          <w:color w:val="808080" w:themeColor="background1" w:themeShade="80"/>
          <w:sz w:val="22"/>
          <w:szCs w:val="22"/>
          <w:lang w:val="en-GB"/>
        </w:rPr>
      </w:pPr>
    </w:p>
    <w:p w14:paraId="74685B34" w14:textId="0B72AA1C" w:rsidR="00AF224B" w:rsidRDefault="00AF224B" w:rsidP="00AF224B">
      <w:pPr>
        <w:pStyle w:val="ListParagraph"/>
        <w:numPr>
          <w:ilvl w:val="0"/>
          <w:numId w:val="28"/>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preventing fraud, for example, where the debtor has attem</w:t>
      </w:r>
      <w:r>
        <w:rPr>
          <w:rFonts w:ascii="Avenir Next" w:hAnsi="Avenir Next" w:cs="Arial"/>
          <w:color w:val="808080" w:themeColor="background1" w:themeShade="80"/>
          <w:sz w:val="22"/>
          <w:szCs w:val="22"/>
          <w:lang w:val="en-GB"/>
        </w:rPr>
        <w:t>pted to dissipate assets for his</w:t>
      </w:r>
      <w:r w:rsidRPr="00AF224B">
        <w:rPr>
          <w:rFonts w:ascii="Avenir Next" w:hAnsi="Avenir Next" w:cs="Arial"/>
          <w:color w:val="808080" w:themeColor="background1" w:themeShade="80"/>
          <w:sz w:val="22"/>
          <w:szCs w:val="22"/>
          <w:lang w:val="en-GB"/>
        </w:rPr>
        <w:t xml:space="preserve"> own benefit, or for the benefit of the shareholders or directors of a company;</w:t>
      </w:r>
    </w:p>
    <w:p w14:paraId="77D6B0BD" w14:textId="77777777" w:rsidR="00AF224B" w:rsidRDefault="00AF224B" w:rsidP="00AF224B">
      <w:pPr>
        <w:pStyle w:val="ListParagraph"/>
        <w:numPr>
          <w:ilvl w:val="0"/>
          <w:numId w:val="28"/>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preventing favouritism, for example, where the debtor seeks to prefer some creditors at the expense of others;</w:t>
      </w:r>
    </w:p>
    <w:p w14:paraId="5516861B" w14:textId="36589F14" w:rsidR="00AF224B" w:rsidRDefault="00AF224B" w:rsidP="00AF224B">
      <w:pPr>
        <w:pStyle w:val="ListParagraph"/>
        <w:numPr>
          <w:ilvl w:val="0"/>
          <w:numId w:val="28"/>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Preventing loss of value of the business when a company is borderin</w:t>
      </w:r>
      <w:r w:rsidR="0013646C">
        <w:rPr>
          <w:rFonts w:ascii="Avenir Next" w:hAnsi="Avenir Next" w:cs="Arial"/>
          <w:color w:val="808080" w:themeColor="background1" w:themeShade="80"/>
          <w:sz w:val="22"/>
          <w:szCs w:val="22"/>
          <w:lang w:val="en-GB"/>
        </w:rPr>
        <w:t>g on insolvency</w:t>
      </w:r>
      <w:r w:rsidRPr="00AF224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p>
    <w:p w14:paraId="24397E66" w14:textId="7E567013" w:rsidR="00AF224B" w:rsidRPr="00AF224B" w:rsidRDefault="00AF224B" w:rsidP="00AF224B">
      <w:pPr>
        <w:pStyle w:val="ListParagraph"/>
        <w:numPr>
          <w:ilvl w:val="0"/>
          <w:numId w:val="28"/>
        </w:numPr>
        <w:jc w:val="both"/>
        <w:rPr>
          <w:rFonts w:ascii="Avenir Next" w:hAnsi="Avenir Next" w:cs="Arial"/>
          <w:color w:val="808080" w:themeColor="background1" w:themeShade="80"/>
          <w:sz w:val="22"/>
          <w:szCs w:val="22"/>
          <w:lang w:val="en-GB"/>
        </w:rPr>
      </w:pPr>
      <w:r w:rsidRPr="00AF224B">
        <w:rPr>
          <w:rFonts w:ascii="Avenir Next" w:hAnsi="Avenir Next" w:cs="Arial"/>
          <w:color w:val="808080" w:themeColor="background1" w:themeShade="80"/>
          <w:sz w:val="22"/>
          <w:szCs w:val="22"/>
          <w:lang w:val="en-GB"/>
        </w:rPr>
        <w:t>creating an environment for the orderly gathering of assets and/ or encouraging settlements given the knowledge that assets seized by creditors may be "</w:t>
      </w:r>
      <w:r w:rsidRPr="00AF224B">
        <w:rPr>
          <w:rFonts w:ascii="Avenir Next" w:hAnsi="Avenir Next" w:cs="Arial"/>
          <w:i/>
          <w:color w:val="808080" w:themeColor="background1" w:themeShade="80"/>
          <w:sz w:val="22"/>
          <w:szCs w:val="22"/>
          <w:lang w:val="en-GB"/>
        </w:rPr>
        <w:t>clawed back</w:t>
      </w:r>
      <w:r w:rsidRPr="00AF224B">
        <w:rPr>
          <w:rFonts w:ascii="Avenir Next" w:hAnsi="Avenir Next" w:cs="Arial"/>
          <w:color w:val="808080" w:themeColor="background1" w:themeShade="80"/>
          <w:sz w:val="22"/>
          <w:szCs w:val="22"/>
          <w:lang w:val="en-GB"/>
        </w:rPr>
        <w:t>" for the benefit of the insolvent estate as a whole.</w:t>
      </w:r>
    </w:p>
    <w:p w14:paraId="4CB2E140" w14:textId="77777777" w:rsidR="00AF224B" w:rsidRPr="00AF224B" w:rsidRDefault="00AF224B" w:rsidP="00AF224B">
      <w:pPr>
        <w:jc w:val="both"/>
        <w:rPr>
          <w:rFonts w:ascii="Avenir Next" w:hAnsi="Avenir Next" w:cs="Arial"/>
          <w:color w:val="808080" w:themeColor="background1" w:themeShade="80"/>
          <w:sz w:val="22"/>
          <w:szCs w:val="22"/>
          <w:lang w:val="en-GB"/>
        </w:rPr>
      </w:pPr>
    </w:p>
    <w:p w14:paraId="0DCFD5B9" w14:textId="4BBC40C2"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0CBB09F1" w14:textId="56515838" w:rsidR="0013646C" w:rsidRDefault="0013646C" w:rsidP="0013646C">
      <w:pPr>
        <w:pStyle w:val="ListParagraph"/>
        <w:numPr>
          <w:ilvl w:val="0"/>
          <w:numId w:val="30"/>
        </w:numPr>
        <w:jc w:val="both"/>
        <w:rPr>
          <w:rFonts w:ascii="Avenir Next" w:hAnsi="Avenir Next" w:cs="Arial"/>
          <w:color w:val="808080" w:themeColor="background1" w:themeShade="80"/>
          <w:sz w:val="22"/>
          <w:szCs w:val="22"/>
          <w:lang w:val="en-GB"/>
        </w:rPr>
      </w:pPr>
      <w:r w:rsidRPr="0013646C">
        <w:rPr>
          <w:rFonts w:ascii="Avenir Next" w:hAnsi="Avenir Next" w:cs="Arial"/>
          <w:color w:val="808080" w:themeColor="background1" w:themeShade="80"/>
          <w:sz w:val="22"/>
          <w:szCs w:val="22"/>
          <w:lang w:val="en-GB"/>
        </w:rPr>
        <w:t xml:space="preserve">The definition of "international insolvency law" as a "body of rules" is limited by the fact that such rules are necessarily the domestic laws of a </w:t>
      </w:r>
      <w:r>
        <w:rPr>
          <w:rFonts w:ascii="Avenir Next" w:hAnsi="Avenir Next" w:cs="Arial"/>
          <w:color w:val="808080" w:themeColor="background1" w:themeShade="80"/>
          <w:sz w:val="22"/>
          <w:szCs w:val="22"/>
          <w:lang w:val="en-GB"/>
        </w:rPr>
        <w:t>particular State</w:t>
      </w:r>
      <w:r w:rsidRPr="0013646C">
        <w:rPr>
          <w:rFonts w:ascii="Avenir Next" w:hAnsi="Avenir Next" w:cs="Arial"/>
          <w:color w:val="808080" w:themeColor="background1" w:themeShade="80"/>
          <w:sz w:val="22"/>
          <w:szCs w:val="22"/>
          <w:lang w:val="en-GB"/>
        </w:rPr>
        <w:t xml:space="preserve">. </w:t>
      </w:r>
    </w:p>
    <w:p w14:paraId="7FD864F4" w14:textId="77777777" w:rsidR="0013646C" w:rsidRDefault="0013646C" w:rsidP="0013646C">
      <w:pPr>
        <w:pStyle w:val="ListParagraph"/>
        <w:jc w:val="both"/>
        <w:rPr>
          <w:rFonts w:ascii="Avenir Next" w:hAnsi="Avenir Next" w:cs="Arial"/>
          <w:color w:val="808080" w:themeColor="background1" w:themeShade="80"/>
          <w:sz w:val="22"/>
          <w:szCs w:val="22"/>
          <w:lang w:val="en-GB"/>
        </w:rPr>
      </w:pPr>
    </w:p>
    <w:p w14:paraId="55900B82" w14:textId="69A1996E" w:rsidR="0013646C" w:rsidRPr="0013646C" w:rsidRDefault="0013646C" w:rsidP="0013646C">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fact that such rules are limited to the domestic laws of a State is</w:t>
      </w:r>
      <w:r w:rsidRPr="0013646C">
        <w:rPr>
          <w:rFonts w:ascii="Avenir Next" w:hAnsi="Avenir Next" w:cs="Arial"/>
          <w:color w:val="808080" w:themeColor="background1" w:themeShade="80"/>
          <w:sz w:val="22"/>
          <w:szCs w:val="22"/>
          <w:lang w:val="en-GB"/>
        </w:rPr>
        <w:t xml:space="preserve"> necessarily the case given that a State's enforcement of its laws applies only within the confines of its geographical borders.</w:t>
      </w:r>
      <w:r w:rsidR="00632E8E">
        <w:rPr>
          <w:rFonts w:ascii="Avenir Next" w:hAnsi="Avenir Next" w:cs="Arial"/>
          <w:color w:val="808080" w:themeColor="background1" w:themeShade="80"/>
          <w:sz w:val="22"/>
          <w:szCs w:val="22"/>
          <w:lang w:val="en-GB"/>
        </w:rPr>
        <w:t xml:space="preserve"> </w:t>
      </w:r>
    </w:p>
    <w:p w14:paraId="12167077" w14:textId="77777777" w:rsidR="0013646C" w:rsidRPr="0013646C" w:rsidRDefault="0013646C" w:rsidP="0013646C">
      <w:pPr>
        <w:pStyle w:val="ListParagraph"/>
        <w:jc w:val="both"/>
        <w:rPr>
          <w:rFonts w:ascii="Avenir Next" w:hAnsi="Avenir Next" w:cs="Arial"/>
          <w:color w:val="808080" w:themeColor="background1" w:themeShade="80"/>
          <w:sz w:val="22"/>
          <w:szCs w:val="22"/>
          <w:lang w:val="en-GB"/>
        </w:rPr>
      </w:pPr>
    </w:p>
    <w:p w14:paraId="01E550D6" w14:textId="5573E05A" w:rsidR="0013646C" w:rsidRPr="0013646C" w:rsidRDefault="0013646C" w:rsidP="0013646C">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laws of any given S</w:t>
      </w:r>
      <w:r w:rsidRPr="0013646C">
        <w:rPr>
          <w:rFonts w:ascii="Avenir Next" w:hAnsi="Avenir Next" w:cs="Arial"/>
          <w:color w:val="808080" w:themeColor="background1" w:themeShade="80"/>
          <w:sz w:val="22"/>
          <w:szCs w:val="22"/>
          <w:lang w:val="en-GB"/>
        </w:rPr>
        <w:t xml:space="preserve">tate have developed from rules that have governed the conduct of persons and the dealing of assets within those geographical borders. However, the modern market economy has developed in recent times such that the interaction between individuals (and transactions relating to assets) frequently have a cross-border element.  </w:t>
      </w:r>
    </w:p>
    <w:p w14:paraId="555ADFC8" w14:textId="77777777" w:rsidR="0013646C" w:rsidRPr="0013646C" w:rsidRDefault="0013646C" w:rsidP="0013646C">
      <w:pPr>
        <w:pStyle w:val="ListParagraph"/>
        <w:jc w:val="both"/>
        <w:rPr>
          <w:rFonts w:ascii="Avenir Next" w:hAnsi="Avenir Next" w:cs="Arial"/>
          <w:color w:val="808080" w:themeColor="background1" w:themeShade="80"/>
          <w:sz w:val="22"/>
          <w:szCs w:val="22"/>
          <w:lang w:val="en-GB"/>
        </w:rPr>
      </w:pPr>
    </w:p>
    <w:p w14:paraId="1A47E4C9" w14:textId="4A46B6FA" w:rsidR="0013646C" w:rsidRDefault="0013646C" w:rsidP="0013646C">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13646C">
        <w:rPr>
          <w:rFonts w:ascii="Avenir Next" w:hAnsi="Avenir Next" w:cs="Arial"/>
          <w:color w:val="808080" w:themeColor="background1" w:themeShade="80"/>
          <w:sz w:val="22"/>
          <w:szCs w:val="22"/>
          <w:lang w:val="en-GB"/>
        </w:rPr>
        <w:t xml:space="preserve"> multi-national element to the modern economy presents significant challenges when it comes to an orderly winding up (or reorganisation) of a company (or an individual's) financial affairs and/ or the collection and distribution of assets for the benefit of the general body of creditors and stakeholders</w:t>
      </w:r>
      <w:r>
        <w:rPr>
          <w:rFonts w:ascii="Avenir Next" w:hAnsi="Avenir Next" w:cs="Arial"/>
          <w:color w:val="808080" w:themeColor="background1" w:themeShade="80"/>
          <w:sz w:val="22"/>
          <w:szCs w:val="22"/>
          <w:lang w:val="en-GB"/>
        </w:rPr>
        <w:t xml:space="preserve"> (who themselves may be situated in different States)</w:t>
      </w:r>
      <w:r w:rsidRPr="0013646C">
        <w:rPr>
          <w:rFonts w:ascii="Avenir Next" w:hAnsi="Avenir Next" w:cs="Arial"/>
          <w:color w:val="808080" w:themeColor="background1" w:themeShade="80"/>
          <w:sz w:val="22"/>
          <w:szCs w:val="22"/>
          <w:lang w:val="en-GB"/>
        </w:rPr>
        <w:t>.</w:t>
      </w:r>
    </w:p>
    <w:p w14:paraId="28F9E922" w14:textId="77777777" w:rsidR="00632E8E" w:rsidRPr="00632E8E" w:rsidRDefault="00632E8E" w:rsidP="00632E8E">
      <w:pPr>
        <w:pStyle w:val="ListParagraph"/>
        <w:rPr>
          <w:rFonts w:ascii="Avenir Next" w:hAnsi="Avenir Next" w:cs="Arial"/>
          <w:color w:val="808080" w:themeColor="background1" w:themeShade="80"/>
          <w:sz w:val="22"/>
          <w:szCs w:val="22"/>
          <w:lang w:val="en-GB"/>
        </w:rPr>
      </w:pPr>
    </w:p>
    <w:p w14:paraId="15E662AC" w14:textId="67B5BF67" w:rsidR="00632E8E" w:rsidRPr="0013646C" w:rsidRDefault="00632E8E" w:rsidP="00632E8E">
      <w:pPr>
        <w:pStyle w:val="ListParagraph"/>
        <w:numPr>
          <w:ilvl w:val="0"/>
          <w:numId w:val="30"/>
        </w:numPr>
        <w:jc w:val="both"/>
        <w:rPr>
          <w:rFonts w:ascii="Avenir Next" w:hAnsi="Avenir Next" w:cs="Arial"/>
          <w:color w:val="808080" w:themeColor="background1" w:themeShade="80"/>
          <w:sz w:val="22"/>
          <w:szCs w:val="22"/>
          <w:lang w:val="en-GB"/>
        </w:rPr>
      </w:pPr>
      <w:r w:rsidRPr="00632E8E">
        <w:rPr>
          <w:rFonts w:ascii="Avenir Next" w:hAnsi="Avenir Next" w:cs="Arial"/>
          <w:color w:val="808080" w:themeColor="background1" w:themeShade="80"/>
          <w:sz w:val="22"/>
          <w:szCs w:val="22"/>
          <w:lang w:val="en-GB"/>
        </w:rPr>
        <w:t>Whilst c</w:t>
      </w:r>
      <w:r>
        <w:rPr>
          <w:rFonts w:ascii="Avenir Next" w:hAnsi="Avenir Next" w:cs="Arial"/>
          <w:color w:val="808080" w:themeColor="background1" w:themeShade="80"/>
          <w:sz w:val="22"/>
          <w:szCs w:val="22"/>
          <w:lang w:val="en-GB"/>
        </w:rPr>
        <w:t>ertain treaties and conventions may govern the manner by which certain States (particularly those that are geographically aligned) deal with international elements of insolvency law there is not (yet) a single set of rules dealing with international insolvency which might properly be termed as an (or the) "</w:t>
      </w:r>
      <w:r w:rsidRPr="00632E8E">
        <w:rPr>
          <w:rFonts w:ascii="Avenir Next" w:hAnsi="Avenir Next" w:cs="Arial"/>
          <w:color w:val="808080" w:themeColor="background1" w:themeShade="80"/>
          <w:sz w:val="22"/>
          <w:szCs w:val="22"/>
          <w:lang w:val="en-GB"/>
        </w:rPr>
        <w:t>international insolvency law</w:t>
      </w:r>
      <w:r>
        <w:rPr>
          <w:rFonts w:ascii="Avenir Next" w:hAnsi="Avenir Next" w:cs="Arial"/>
          <w:color w:val="808080" w:themeColor="background1" w:themeShade="80"/>
          <w:sz w:val="22"/>
          <w:szCs w:val="22"/>
          <w:lang w:val="en-GB"/>
        </w:rPr>
        <w:t>."</w:t>
      </w:r>
    </w:p>
    <w:p w14:paraId="4B38DBAD" w14:textId="214CD1D0"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w:t>
      </w:r>
      <w:r w:rsidRPr="004216EA">
        <w:rPr>
          <w:rFonts w:ascii="Avenir Next" w:hAnsi="Avenir Next"/>
        </w:rPr>
        <w:lastRenderedPageBreak/>
        <w:t>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15CBAE0F" w14:textId="7B6485E6" w:rsidR="0013646C" w:rsidRDefault="0013646C" w:rsidP="0013646C">
      <w:pPr>
        <w:pStyle w:val="ListParagraph"/>
        <w:numPr>
          <w:ilvl w:val="0"/>
          <w:numId w:val="31"/>
        </w:numPr>
        <w:jc w:val="both"/>
        <w:rPr>
          <w:rFonts w:ascii="Avenir Next" w:hAnsi="Avenir Next" w:cs="Arial"/>
          <w:color w:val="808080" w:themeColor="background1" w:themeShade="80"/>
          <w:sz w:val="22"/>
          <w:szCs w:val="22"/>
          <w:lang w:val="en-GB"/>
        </w:rPr>
      </w:pPr>
      <w:r w:rsidRPr="0013646C">
        <w:rPr>
          <w:rFonts w:ascii="Avenir Next" w:hAnsi="Avenir Next" w:cs="Arial"/>
          <w:color w:val="808080" w:themeColor="background1" w:themeShade="80"/>
          <w:sz w:val="22"/>
          <w:szCs w:val="22"/>
          <w:lang w:val="en-GB"/>
        </w:rPr>
        <w:t>The establishment of treaties and conventions have, in certain instances, been successful at establishing (more) uniform inso</w:t>
      </w:r>
      <w:r w:rsidR="007D70B2">
        <w:rPr>
          <w:rFonts w:ascii="Avenir Next" w:hAnsi="Avenir Next" w:cs="Arial"/>
          <w:color w:val="808080" w:themeColor="background1" w:themeShade="80"/>
          <w:sz w:val="22"/>
          <w:szCs w:val="22"/>
          <w:lang w:val="en-GB"/>
        </w:rPr>
        <w:t>lvency rules as between nation S</w:t>
      </w:r>
      <w:r w:rsidRPr="0013646C">
        <w:rPr>
          <w:rFonts w:ascii="Avenir Next" w:hAnsi="Avenir Next" w:cs="Arial"/>
          <w:color w:val="808080" w:themeColor="background1" w:themeShade="80"/>
          <w:sz w:val="22"/>
          <w:szCs w:val="22"/>
          <w:lang w:val="en-GB"/>
        </w:rPr>
        <w:t xml:space="preserve">tates. As noted by </w:t>
      </w:r>
      <w:r w:rsidR="007D70B2">
        <w:rPr>
          <w:rFonts w:ascii="Avenir Next" w:hAnsi="Avenir Next" w:cs="Arial"/>
          <w:color w:val="808080" w:themeColor="background1" w:themeShade="80"/>
          <w:sz w:val="22"/>
          <w:szCs w:val="22"/>
          <w:lang w:val="en-GB"/>
        </w:rPr>
        <w:t xml:space="preserve">the author, </w:t>
      </w:r>
      <w:r w:rsidRPr="0013646C">
        <w:rPr>
          <w:rFonts w:ascii="Avenir Next" w:hAnsi="Avenir Next" w:cs="Arial"/>
          <w:color w:val="808080" w:themeColor="background1" w:themeShade="80"/>
          <w:sz w:val="22"/>
          <w:szCs w:val="22"/>
          <w:lang w:val="en-GB"/>
        </w:rPr>
        <w:t>Fletcher, such multilateral arrangements are more likely to be successfully put in place "</w:t>
      </w:r>
      <w:r w:rsidRPr="007D70B2">
        <w:rPr>
          <w:rFonts w:ascii="Avenir Next" w:hAnsi="Avenir Next" w:cs="Arial"/>
          <w:i/>
          <w:color w:val="808080" w:themeColor="background1" w:themeShade="80"/>
          <w:sz w:val="22"/>
          <w:szCs w:val="22"/>
          <w:lang w:val="en-GB"/>
        </w:rPr>
        <w:t>among states that are regionally grouped in such a way that functional interaction takes place constantly, and at many levels.</w:t>
      </w:r>
      <w:r w:rsidRPr="0013646C">
        <w:rPr>
          <w:rFonts w:ascii="Avenir Next" w:hAnsi="Avenir Next" w:cs="Arial"/>
          <w:color w:val="808080" w:themeColor="background1" w:themeShade="80"/>
          <w:sz w:val="22"/>
          <w:szCs w:val="22"/>
          <w:lang w:val="en-GB"/>
        </w:rPr>
        <w:t>" Treaties and conventions have thus been more prevalent</w:t>
      </w:r>
      <w:r w:rsidR="007D70B2">
        <w:rPr>
          <w:rFonts w:ascii="Avenir Next" w:hAnsi="Avenir Next" w:cs="Arial"/>
          <w:color w:val="808080" w:themeColor="background1" w:themeShade="80"/>
          <w:sz w:val="22"/>
          <w:szCs w:val="22"/>
          <w:lang w:val="en-GB"/>
        </w:rPr>
        <w:t>, and mores successfully implemented,</w:t>
      </w:r>
      <w:r w:rsidRPr="0013646C">
        <w:rPr>
          <w:rFonts w:ascii="Avenir Next" w:hAnsi="Avenir Next" w:cs="Arial"/>
          <w:color w:val="808080" w:themeColor="background1" w:themeShade="80"/>
          <w:sz w:val="22"/>
          <w:szCs w:val="22"/>
          <w:lang w:val="en-GB"/>
        </w:rPr>
        <w:t xml:space="preserve"> at a regional level. Examples include:</w:t>
      </w:r>
    </w:p>
    <w:p w14:paraId="0B6AAFC6" w14:textId="77777777" w:rsidR="0013646C" w:rsidRDefault="0013646C" w:rsidP="0013646C">
      <w:pPr>
        <w:pStyle w:val="ListParagraph"/>
        <w:jc w:val="both"/>
        <w:rPr>
          <w:rFonts w:ascii="Avenir Next" w:hAnsi="Avenir Next" w:cs="Arial"/>
          <w:color w:val="808080" w:themeColor="background1" w:themeShade="80"/>
          <w:sz w:val="22"/>
          <w:szCs w:val="22"/>
          <w:lang w:val="en-GB"/>
        </w:rPr>
      </w:pPr>
    </w:p>
    <w:p w14:paraId="4807748F" w14:textId="3499C682" w:rsidR="0013646C" w:rsidRDefault="0013646C" w:rsidP="0013646C">
      <w:pPr>
        <w:pStyle w:val="ListParagraph"/>
        <w:numPr>
          <w:ilvl w:val="0"/>
          <w:numId w:val="31"/>
        </w:numPr>
        <w:jc w:val="both"/>
        <w:rPr>
          <w:rFonts w:ascii="Avenir Next" w:hAnsi="Avenir Next" w:cs="Arial"/>
          <w:color w:val="808080" w:themeColor="background1" w:themeShade="80"/>
          <w:sz w:val="22"/>
          <w:szCs w:val="22"/>
          <w:lang w:val="en-GB"/>
        </w:rPr>
      </w:pPr>
      <w:r w:rsidRPr="0013646C">
        <w:rPr>
          <w:rFonts w:ascii="Avenir Next" w:hAnsi="Avenir Next" w:cs="Arial"/>
          <w:color w:val="808080" w:themeColor="background1" w:themeShade="80"/>
          <w:sz w:val="22"/>
          <w:szCs w:val="22"/>
          <w:lang w:val="en-GB"/>
        </w:rPr>
        <w:t xml:space="preserve">In Latin America, the Montevideo Treaties (1889 and 1940), and the Havana Treaty on International Commercial Law (1928) have been (partially) successful in establishing a set of rules allowing for a single </w:t>
      </w:r>
      <w:r w:rsidR="007D70B2">
        <w:rPr>
          <w:rFonts w:ascii="Avenir Next" w:hAnsi="Avenir Next" w:cs="Arial"/>
          <w:color w:val="808080" w:themeColor="background1" w:themeShade="80"/>
          <w:sz w:val="22"/>
          <w:szCs w:val="22"/>
          <w:lang w:val="en-GB"/>
        </w:rPr>
        <w:t xml:space="preserve">insolvency </w:t>
      </w:r>
      <w:r w:rsidRPr="0013646C">
        <w:rPr>
          <w:rFonts w:ascii="Avenir Next" w:hAnsi="Avenir Next" w:cs="Arial"/>
          <w:color w:val="808080" w:themeColor="background1" w:themeShade="80"/>
          <w:sz w:val="22"/>
          <w:szCs w:val="22"/>
          <w:lang w:val="en-GB"/>
        </w:rPr>
        <w:t>proceeding in one of the member states, with universal effect throughout the region.</w:t>
      </w:r>
    </w:p>
    <w:p w14:paraId="37882726" w14:textId="77777777" w:rsidR="0013646C" w:rsidRPr="0013646C" w:rsidRDefault="0013646C" w:rsidP="0013646C">
      <w:pPr>
        <w:pStyle w:val="ListParagraph"/>
        <w:rPr>
          <w:rFonts w:ascii="Avenir Next" w:hAnsi="Avenir Next" w:cs="Arial"/>
          <w:color w:val="808080" w:themeColor="background1" w:themeShade="80"/>
          <w:sz w:val="22"/>
          <w:szCs w:val="22"/>
          <w:lang w:val="en-GB"/>
        </w:rPr>
      </w:pPr>
    </w:p>
    <w:p w14:paraId="2D650533" w14:textId="77777777" w:rsidR="0013646C" w:rsidRDefault="0013646C" w:rsidP="0013646C">
      <w:pPr>
        <w:pStyle w:val="ListParagraph"/>
        <w:numPr>
          <w:ilvl w:val="0"/>
          <w:numId w:val="31"/>
        </w:numPr>
        <w:jc w:val="both"/>
        <w:rPr>
          <w:rFonts w:ascii="Avenir Next" w:hAnsi="Avenir Next" w:cs="Arial"/>
          <w:color w:val="808080" w:themeColor="background1" w:themeShade="80"/>
          <w:sz w:val="22"/>
          <w:szCs w:val="22"/>
          <w:lang w:val="en-GB"/>
        </w:rPr>
      </w:pPr>
      <w:r w:rsidRPr="0013646C">
        <w:rPr>
          <w:rFonts w:ascii="Avenir Next" w:hAnsi="Avenir Next" w:cs="Arial"/>
          <w:color w:val="808080" w:themeColor="background1" w:themeShade="80"/>
          <w:sz w:val="22"/>
          <w:szCs w:val="22"/>
          <w:lang w:val="en-GB"/>
        </w:rPr>
        <w:t>The Nordic Convention was concluded in 1933 as between certain Scandinavian countries. The Nordic Convention has been very effective at establishing and promoting the principle of comity between the member States. As a result of the Nordic Convention, member States accord special recognition and enforcement of insolvency adjudications in other member States, for example, the recognition of a "</w:t>
      </w:r>
      <w:r w:rsidRPr="007D70B2">
        <w:rPr>
          <w:rFonts w:ascii="Avenir Next" w:hAnsi="Avenir Next" w:cs="Arial"/>
          <w:i/>
          <w:color w:val="808080" w:themeColor="background1" w:themeShade="80"/>
          <w:sz w:val="22"/>
          <w:szCs w:val="22"/>
          <w:lang w:val="en-GB"/>
        </w:rPr>
        <w:t>domiciliary</w:t>
      </w:r>
      <w:r w:rsidRPr="0013646C">
        <w:rPr>
          <w:rFonts w:ascii="Avenir Next" w:hAnsi="Avenir Next" w:cs="Arial"/>
          <w:color w:val="808080" w:themeColor="background1" w:themeShade="80"/>
          <w:sz w:val="22"/>
          <w:szCs w:val="22"/>
          <w:lang w:val="en-GB"/>
        </w:rPr>
        <w:t>" bankruptcy order being applicable to property situated throughout the member States.</w:t>
      </w:r>
    </w:p>
    <w:p w14:paraId="5A6984C8" w14:textId="77777777" w:rsidR="0013646C" w:rsidRPr="0013646C" w:rsidRDefault="0013646C" w:rsidP="0013646C">
      <w:pPr>
        <w:pStyle w:val="ListParagraph"/>
        <w:rPr>
          <w:rFonts w:ascii="Avenir Next" w:hAnsi="Avenir Next" w:cs="Arial"/>
          <w:color w:val="808080" w:themeColor="background1" w:themeShade="80"/>
          <w:sz w:val="22"/>
          <w:szCs w:val="22"/>
          <w:lang w:val="en-GB"/>
        </w:rPr>
      </w:pPr>
    </w:p>
    <w:p w14:paraId="46037864" w14:textId="77777777" w:rsidR="0013646C" w:rsidRDefault="0013646C" w:rsidP="0013646C">
      <w:pPr>
        <w:pStyle w:val="ListParagraph"/>
        <w:numPr>
          <w:ilvl w:val="0"/>
          <w:numId w:val="31"/>
        </w:numPr>
        <w:jc w:val="both"/>
        <w:rPr>
          <w:rFonts w:ascii="Avenir Next" w:hAnsi="Avenir Next" w:cs="Arial"/>
          <w:color w:val="808080" w:themeColor="background1" w:themeShade="80"/>
          <w:sz w:val="22"/>
          <w:szCs w:val="22"/>
          <w:lang w:val="en-GB"/>
        </w:rPr>
      </w:pPr>
      <w:r w:rsidRPr="0013646C">
        <w:rPr>
          <w:rFonts w:ascii="Avenir Next" w:hAnsi="Avenir Next" w:cs="Arial"/>
          <w:color w:val="808080" w:themeColor="background1" w:themeShade="80"/>
          <w:sz w:val="22"/>
          <w:szCs w:val="22"/>
          <w:lang w:val="en-GB"/>
        </w:rPr>
        <w:t>The EU Regulation on Insolvency Law 1346/2000 (EIR) was considered a milestone in the cross-border coordination of national insolvency proceedings between European States. The EIR Recast (2015) (effective from 26 June 2017) provides for wide-ranging clarifications as well as extensive new coordination rules to aid the recognition and enforcement of cross border insolvency proceedings between EU member states.</w:t>
      </w:r>
    </w:p>
    <w:p w14:paraId="667CB57F" w14:textId="77777777" w:rsidR="0013646C" w:rsidRPr="0013646C" w:rsidRDefault="0013646C" w:rsidP="0013646C">
      <w:pPr>
        <w:pStyle w:val="ListParagraph"/>
        <w:rPr>
          <w:rFonts w:ascii="Avenir Next" w:hAnsi="Avenir Next" w:cs="Arial"/>
          <w:color w:val="808080" w:themeColor="background1" w:themeShade="80"/>
          <w:sz w:val="22"/>
          <w:szCs w:val="22"/>
          <w:lang w:val="en-GB"/>
        </w:rPr>
      </w:pPr>
    </w:p>
    <w:p w14:paraId="492D35CC" w14:textId="3B83AFFE" w:rsidR="001E1C34" w:rsidRPr="0013646C" w:rsidRDefault="0013646C" w:rsidP="0013646C">
      <w:pPr>
        <w:pStyle w:val="ListParagraph"/>
        <w:numPr>
          <w:ilvl w:val="0"/>
          <w:numId w:val="31"/>
        </w:numPr>
        <w:jc w:val="both"/>
        <w:rPr>
          <w:rFonts w:ascii="Avenir Next" w:hAnsi="Avenir Next" w:cs="Arial"/>
          <w:color w:val="808080" w:themeColor="background1" w:themeShade="80"/>
          <w:sz w:val="22"/>
          <w:szCs w:val="22"/>
          <w:lang w:val="en-GB"/>
        </w:rPr>
      </w:pPr>
      <w:r w:rsidRPr="0013646C">
        <w:rPr>
          <w:rFonts w:ascii="Avenir Next" w:hAnsi="Avenir Next" w:cs="Arial"/>
          <w:color w:val="808080" w:themeColor="background1" w:themeShade="80"/>
          <w:sz w:val="22"/>
          <w:szCs w:val="22"/>
          <w:lang w:val="en-GB"/>
        </w:rPr>
        <w:t>The UNCITRAL MLCBI is designed to assist States in developing a modern and uniform insolvency framework to address instances of cross-border proceedings, however, it is neither a treaty nor a convention. It has, however, been adopted by numerous States as domestic legislation.</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C1351D0" w14:textId="6726D67B" w:rsidR="00337657" w:rsidRDefault="00337657" w:rsidP="00337657">
      <w:pPr>
        <w:pStyle w:val="ListParagraph"/>
        <w:numPr>
          <w:ilvl w:val="0"/>
          <w:numId w:val="33"/>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Formal</w:t>
      </w:r>
      <w:r>
        <w:rPr>
          <w:rFonts w:ascii="Avenir Next" w:hAnsi="Avenir Next" w:cs="Arial"/>
          <w:color w:val="808080" w:themeColor="background1" w:themeShade="80"/>
          <w:sz w:val="22"/>
          <w:szCs w:val="22"/>
          <w:lang w:val="en-GB"/>
        </w:rPr>
        <w:t xml:space="preserve"> insolvency proceedings involve</w:t>
      </w:r>
      <w:r w:rsidRPr="00337657">
        <w:rPr>
          <w:rFonts w:ascii="Avenir Next" w:hAnsi="Avenir Next" w:cs="Arial"/>
          <w:color w:val="808080" w:themeColor="background1" w:themeShade="80"/>
          <w:sz w:val="22"/>
          <w:szCs w:val="22"/>
          <w:lang w:val="en-GB"/>
        </w:rPr>
        <w:t xml:space="preserve"> legal proceedings commenced under, and governed by, the relevant insolvency laws</w:t>
      </w:r>
      <w:r>
        <w:rPr>
          <w:rFonts w:ascii="Avenir Next" w:hAnsi="Avenir Next" w:cs="Arial"/>
          <w:color w:val="808080" w:themeColor="background1" w:themeShade="80"/>
          <w:sz w:val="22"/>
          <w:szCs w:val="22"/>
          <w:lang w:val="en-GB"/>
        </w:rPr>
        <w:t xml:space="preserve"> of a particular State</w:t>
      </w:r>
      <w:r w:rsidRPr="00337657">
        <w:rPr>
          <w:rFonts w:ascii="Avenir Next" w:hAnsi="Avenir Next" w:cs="Arial"/>
          <w:color w:val="808080" w:themeColor="background1" w:themeShade="80"/>
          <w:sz w:val="22"/>
          <w:szCs w:val="22"/>
          <w:lang w:val="en-GB"/>
        </w:rPr>
        <w:t>. Formal insolvency proceedings have the advantage of obtaining protection</w:t>
      </w:r>
      <w:r>
        <w:rPr>
          <w:rFonts w:ascii="Avenir Next" w:hAnsi="Avenir Next" w:cs="Arial"/>
          <w:color w:val="808080" w:themeColor="background1" w:themeShade="80"/>
          <w:sz w:val="22"/>
          <w:szCs w:val="22"/>
          <w:lang w:val="en-GB"/>
        </w:rPr>
        <w:t xml:space="preserve"> </w:t>
      </w:r>
      <w:r w:rsidR="007D70B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for the debtor</w:t>
      </w:r>
      <w:r w:rsidR="007D70B2">
        <w:rPr>
          <w:rFonts w:ascii="Avenir Next" w:hAnsi="Avenir Next" w:cs="Arial"/>
          <w:color w:val="808080" w:themeColor="background1" w:themeShade="80"/>
          <w:sz w:val="22"/>
          <w:szCs w:val="22"/>
          <w:lang w:val="en-GB"/>
        </w:rPr>
        <w:t>)</w:t>
      </w:r>
      <w:r w:rsidRPr="00337657">
        <w:rPr>
          <w:rFonts w:ascii="Avenir Next" w:hAnsi="Avenir Next" w:cs="Arial"/>
          <w:color w:val="808080" w:themeColor="background1" w:themeShade="80"/>
          <w:sz w:val="22"/>
          <w:szCs w:val="22"/>
          <w:lang w:val="en-GB"/>
        </w:rPr>
        <w:t xml:space="preserve"> from creditors and debt collection and (usually) instituting a stay on </w:t>
      </w:r>
      <w:r w:rsidR="007D70B2">
        <w:rPr>
          <w:rFonts w:ascii="Avenir Next" w:hAnsi="Avenir Next" w:cs="Arial"/>
          <w:color w:val="808080" w:themeColor="background1" w:themeShade="80"/>
          <w:sz w:val="22"/>
          <w:szCs w:val="22"/>
          <w:lang w:val="en-GB"/>
        </w:rPr>
        <w:t xml:space="preserve">any </w:t>
      </w:r>
      <w:r w:rsidRPr="00337657">
        <w:rPr>
          <w:rFonts w:ascii="Avenir Next" w:hAnsi="Avenir Next" w:cs="Arial"/>
          <w:color w:val="808080" w:themeColor="background1" w:themeShade="80"/>
          <w:sz w:val="22"/>
          <w:szCs w:val="22"/>
          <w:lang w:val="en-GB"/>
        </w:rPr>
        <w:t>new legal proceedings</w:t>
      </w:r>
      <w:r w:rsidR="007D70B2">
        <w:rPr>
          <w:rFonts w:ascii="Avenir Next" w:hAnsi="Avenir Next" w:cs="Arial"/>
          <w:color w:val="808080" w:themeColor="background1" w:themeShade="80"/>
          <w:sz w:val="22"/>
          <w:szCs w:val="22"/>
          <w:lang w:val="en-GB"/>
        </w:rPr>
        <w:t xml:space="preserve"> being brought against the debtor. Formal </w:t>
      </w:r>
      <w:r w:rsidRPr="00337657">
        <w:rPr>
          <w:rFonts w:ascii="Avenir Next" w:hAnsi="Avenir Next" w:cs="Arial"/>
          <w:color w:val="808080" w:themeColor="background1" w:themeShade="80"/>
          <w:sz w:val="22"/>
          <w:szCs w:val="22"/>
          <w:lang w:val="en-GB"/>
        </w:rPr>
        <w:t>insolvency proceedings usually require oversight by a licensed insolvency professional and/ or the supervision of the Court. These procedures include liquidation and formal reorganisation and/ or restructuring. Formal insolvency proceedings can be disadvantageous due to the cost of engaging professionals</w:t>
      </w:r>
      <w:r w:rsidR="007D70B2">
        <w:rPr>
          <w:rFonts w:ascii="Avenir Next" w:hAnsi="Avenir Next" w:cs="Arial"/>
          <w:color w:val="808080" w:themeColor="background1" w:themeShade="80"/>
          <w:sz w:val="22"/>
          <w:szCs w:val="22"/>
          <w:lang w:val="en-GB"/>
        </w:rPr>
        <w:t>, delays arising out of the Court supervisory functions</w:t>
      </w:r>
      <w:r w:rsidRPr="00337657">
        <w:rPr>
          <w:rFonts w:ascii="Avenir Next" w:hAnsi="Avenir Next" w:cs="Arial"/>
          <w:color w:val="808080" w:themeColor="background1" w:themeShade="80"/>
          <w:sz w:val="22"/>
          <w:szCs w:val="22"/>
          <w:lang w:val="en-GB"/>
        </w:rPr>
        <w:t xml:space="preserve"> and due to the relative inflexibility of the procedure.</w:t>
      </w:r>
    </w:p>
    <w:p w14:paraId="7D856112" w14:textId="77777777" w:rsidR="00337657" w:rsidRDefault="00337657" w:rsidP="00337657">
      <w:pPr>
        <w:pStyle w:val="ListParagraph"/>
        <w:jc w:val="both"/>
        <w:rPr>
          <w:rFonts w:ascii="Avenir Next" w:hAnsi="Avenir Next" w:cs="Arial"/>
          <w:color w:val="808080" w:themeColor="background1" w:themeShade="80"/>
          <w:sz w:val="22"/>
          <w:szCs w:val="22"/>
          <w:lang w:val="en-GB"/>
        </w:rPr>
      </w:pPr>
    </w:p>
    <w:p w14:paraId="2FCD3B8D" w14:textId="7C622880" w:rsidR="00337657" w:rsidRDefault="00337657" w:rsidP="00337657">
      <w:pPr>
        <w:pStyle w:val="ListParagraph"/>
        <w:numPr>
          <w:ilvl w:val="0"/>
          <w:numId w:val="33"/>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An informal insolvency arrangement usually involves</w:t>
      </w:r>
      <w:r w:rsidR="007D70B2">
        <w:rPr>
          <w:rFonts w:ascii="Avenir Next" w:hAnsi="Avenir Next" w:cs="Arial"/>
          <w:color w:val="808080" w:themeColor="background1" w:themeShade="80"/>
          <w:sz w:val="22"/>
          <w:szCs w:val="22"/>
          <w:lang w:val="en-GB"/>
        </w:rPr>
        <w:t xml:space="preserve"> the debtor (or its agents/ advisors)</w:t>
      </w:r>
      <w:r w:rsidRPr="00337657">
        <w:rPr>
          <w:rFonts w:ascii="Avenir Next" w:hAnsi="Avenir Next" w:cs="Arial"/>
          <w:color w:val="808080" w:themeColor="background1" w:themeShade="80"/>
          <w:sz w:val="22"/>
          <w:szCs w:val="22"/>
          <w:lang w:val="en-GB"/>
        </w:rPr>
        <w:t xml:space="preserve"> negotiating directly with creditors in order to c</w:t>
      </w:r>
      <w:r w:rsidR="007D70B2">
        <w:rPr>
          <w:rFonts w:ascii="Avenir Next" w:hAnsi="Avenir Next" w:cs="Arial"/>
          <w:color w:val="808080" w:themeColor="background1" w:themeShade="80"/>
          <w:sz w:val="22"/>
          <w:szCs w:val="22"/>
          <w:lang w:val="en-GB"/>
        </w:rPr>
        <w:t>ome to some form of arrangement</w:t>
      </w:r>
      <w:r w:rsidRPr="00337657">
        <w:rPr>
          <w:rFonts w:ascii="Avenir Next" w:hAnsi="Avenir Next" w:cs="Arial"/>
          <w:color w:val="808080" w:themeColor="background1" w:themeShade="80"/>
          <w:sz w:val="22"/>
          <w:szCs w:val="22"/>
          <w:lang w:val="en-GB"/>
        </w:rPr>
        <w:t xml:space="preserve"> to repay debt. Informal insolvency arrangements are not necessarily governed by any particular insolvency laws. For informal restructuring/ arrangements to be successful it is important that there be a viable underlying business and some form of liquidity to keep the business afloat while the informal arrangements are being negotiated and implemented. Informal restructuring/ arrangements require</w:t>
      </w:r>
      <w:r w:rsidR="007D70B2">
        <w:rPr>
          <w:rFonts w:ascii="Avenir Next" w:hAnsi="Avenir Next" w:cs="Arial"/>
          <w:color w:val="808080" w:themeColor="background1" w:themeShade="80"/>
          <w:sz w:val="22"/>
          <w:szCs w:val="22"/>
          <w:lang w:val="en-GB"/>
        </w:rPr>
        <w:t>s</w:t>
      </w:r>
      <w:r w:rsidRPr="00337657">
        <w:rPr>
          <w:rFonts w:ascii="Avenir Next" w:hAnsi="Avenir Next" w:cs="Arial"/>
          <w:color w:val="808080" w:themeColor="background1" w:themeShade="80"/>
          <w:sz w:val="22"/>
          <w:szCs w:val="22"/>
          <w:lang w:val="en-GB"/>
        </w:rPr>
        <w:t xml:space="preserve"> support from the main stakeholders. Informal arrangements can be advantageous due to the flexibility of the arrangements and costs savings in engaging legal and insolvency professionals. </w:t>
      </w:r>
    </w:p>
    <w:p w14:paraId="2D9BC8AC" w14:textId="77777777" w:rsidR="00337657" w:rsidRPr="00337657" w:rsidRDefault="00337657" w:rsidP="00337657">
      <w:pPr>
        <w:pStyle w:val="ListParagraph"/>
        <w:rPr>
          <w:rFonts w:ascii="Avenir Next" w:hAnsi="Avenir Next" w:cs="Arial"/>
          <w:color w:val="808080" w:themeColor="background1" w:themeShade="80"/>
          <w:sz w:val="22"/>
          <w:szCs w:val="22"/>
          <w:lang w:val="en-GB"/>
        </w:rPr>
      </w:pPr>
    </w:p>
    <w:p w14:paraId="35EADEDD" w14:textId="69A95748" w:rsidR="00337657" w:rsidRDefault="00337657" w:rsidP="007D70B2">
      <w:pPr>
        <w:pStyle w:val="ListParagraph"/>
        <w:numPr>
          <w:ilvl w:val="0"/>
          <w:numId w:val="33"/>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In considering whether to engage with FPPL in relation to an informal arrangement, Lobo should consider the reasons for FPPL's current financial distress and carefully consider whether these are likely to result in short-term cash flow difficulties for FPPL, or longer-term difficulties that are likely to threaten the underlying business, for example</w:t>
      </w:r>
      <w:r w:rsidR="007D70B2">
        <w:rPr>
          <w:rFonts w:ascii="Avenir Next" w:hAnsi="Avenir Next" w:cs="Arial"/>
          <w:color w:val="808080" w:themeColor="background1" w:themeShade="80"/>
          <w:sz w:val="22"/>
          <w:szCs w:val="22"/>
          <w:lang w:val="en-GB"/>
        </w:rPr>
        <w:t xml:space="preserve"> </w:t>
      </w:r>
      <w:r w:rsidR="007D70B2" w:rsidRPr="007D70B2">
        <w:rPr>
          <w:rFonts w:ascii="Avenir Next" w:hAnsi="Avenir Next" w:cs="Arial"/>
          <w:color w:val="808080" w:themeColor="background1" w:themeShade="80"/>
          <w:sz w:val="22"/>
          <w:szCs w:val="22"/>
          <w:lang w:val="en-GB"/>
        </w:rPr>
        <w:t>(in addition to the staffing issues and market turndown)</w:t>
      </w:r>
      <w:r w:rsidRPr="00337657">
        <w:rPr>
          <w:rFonts w:ascii="Avenir Next" w:hAnsi="Avenir Next" w:cs="Arial"/>
          <w:color w:val="808080" w:themeColor="background1" w:themeShade="80"/>
          <w:sz w:val="22"/>
          <w:szCs w:val="22"/>
          <w:lang w:val="en-GB"/>
        </w:rPr>
        <w:t xml:space="preserve">: loss of a major supplier or customer and/ or increase in overhead costs and/ or growth by acquisition leading to cash flow difficulties and/ or evidence of fraud or improper practices. </w:t>
      </w:r>
    </w:p>
    <w:p w14:paraId="77EECD9A" w14:textId="77777777" w:rsidR="00337657" w:rsidRPr="00337657" w:rsidRDefault="00337657" w:rsidP="00337657">
      <w:pPr>
        <w:pStyle w:val="ListParagraph"/>
        <w:rPr>
          <w:rFonts w:ascii="Avenir Next" w:hAnsi="Avenir Next" w:cs="Arial"/>
          <w:color w:val="808080" w:themeColor="background1" w:themeShade="80"/>
          <w:sz w:val="22"/>
          <w:szCs w:val="22"/>
          <w:lang w:val="en-GB"/>
        </w:rPr>
      </w:pPr>
    </w:p>
    <w:p w14:paraId="1031D29E" w14:textId="76C78D43" w:rsidR="00337657" w:rsidRPr="00337657" w:rsidRDefault="00337657" w:rsidP="00337657">
      <w:pPr>
        <w:pStyle w:val="ListParagraph"/>
        <w:numPr>
          <w:ilvl w:val="0"/>
          <w:numId w:val="33"/>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Lobo must also consider whether  FPPL is likely to have any other creditors who may institute formal insolvency proceedings and whether FPPL has assets that are likely to be sufficient to meet its debts (or whether it is more viable as a going concern) and, in particular, the ability of FPPL to receive cash flow and/ or make payments from its Encanto office.</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05631CEE" w14:textId="43FBB84D" w:rsidR="00337657" w:rsidRDefault="00337657" w:rsidP="00337657">
      <w:pPr>
        <w:pStyle w:val="ListParagraph"/>
        <w:numPr>
          <w:ilvl w:val="0"/>
          <w:numId w:val="34"/>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Under the principles of modified universalism, the most appropriate State in which to wind up a company is likely to be the jurisdiction in which it is</w:t>
      </w:r>
      <w:r w:rsidR="00C05C20">
        <w:rPr>
          <w:rFonts w:ascii="Avenir Next" w:hAnsi="Avenir Next" w:cs="Arial"/>
          <w:color w:val="808080" w:themeColor="background1" w:themeShade="80"/>
          <w:sz w:val="22"/>
          <w:szCs w:val="22"/>
          <w:lang w:val="en-GB"/>
        </w:rPr>
        <w:t xml:space="preserve"> incorporated – in this case,</w:t>
      </w:r>
      <w:r w:rsidRPr="00337657">
        <w:rPr>
          <w:rFonts w:ascii="Avenir Next" w:hAnsi="Avenir Next" w:cs="Arial"/>
          <w:color w:val="808080" w:themeColor="background1" w:themeShade="80"/>
          <w:sz w:val="22"/>
          <w:szCs w:val="22"/>
          <w:lang w:val="en-GB"/>
        </w:rPr>
        <w:t xml:space="preserve"> </w:t>
      </w:r>
      <w:r w:rsidRPr="00337657">
        <w:rPr>
          <w:rFonts w:ascii="Avenir Next" w:hAnsi="Avenir Next" w:cs="Arial"/>
          <w:color w:val="808080" w:themeColor="background1" w:themeShade="80"/>
          <w:sz w:val="22"/>
          <w:szCs w:val="22"/>
          <w:lang w:val="en-GB"/>
        </w:rPr>
        <w:lastRenderedPageBreak/>
        <w:t xml:space="preserve">Encanto. The interests of FPPLs creditors are likely to </w:t>
      </w:r>
      <w:r w:rsidR="00C05C20">
        <w:rPr>
          <w:rFonts w:ascii="Avenir Next" w:hAnsi="Avenir Next" w:cs="Arial"/>
          <w:color w:val="808080" w:themeColor="background1" w:themeShade="80"/>
          <w:sz w:val="22"/>
          <w:szCs w:val="22"/>
          <w:lang w:val="en-GB"/>
        </w:rPr>
        <w:t xml:space="preserve">be </w:t>
      </w:r>
      <w:r w:rsidRPr="00337657">
        <w:rPr>
          <w:rFonts w:ascii="Avenir Next" w:hAnsi="Avenir Next" w:cs="Arial"/>
          <w:color w:val="808080" w:themeColor="background1" w:themeShade="80"/>
          <w:sz w:val="22"/>
          <w:szCs w:val="22"/>
          <w:lang w:val="en-GB"/>
        </w:rPr>
        <w:t>best served where the Courts of Asgard and Encanto co-operate with one another to ensure that all the company's assets are distributed under a single system of distribution.</w:t>
      </w:r>
    </w:p>
    <w:p w14:paraId="649D94BD" w14:textId="77777777" w:rsidR="00337657" w:rsidRDefault="00337657" w:rsidP="00337657">
      <w:pPr>
        <w:pStyle w:val="ListParagraph"/>
        <w:jc w:val="both"/>
        <w:rPr>
          <w:rFonts w:ascii="Avenir Next" w:hAnsi="Avenir Next" w:cs="Arial"/>
          <w:color w:val="808080" w:themeColor="background1" w:themeShade="80"/>
          <w:sz w:val="22"/>
          <w:szCs w:val="22"/>
          <w:lang w:val="en-GB"/>
        </w:rPr>
      </w:pPr>
    </w:p>
    <w:p w14:paraId="66F1E7A6" w14:textId="0E09CD79" w:rsidR="00337657" w:rsidRDefault="00337657" w:rsidP="00337657">
      <w:pPr>
        <w:pStyle w:val="ListParagraph"/>
        <w:numPr>
          <w:ilvl w:val="0"/>
          <w:numId w:val="34"/>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key difficulties facing the Asgardian insolvency representative will be the recognition of his/ her appointment in Encanto. Similarly, the appointment of the Encanto insolvency representative may not be automatically recognised in Asgard. The fact of the</w:t>
      </w:r>
      <w:r w:rsidR="00C05C20">
        <w:rPr>
          <w:rFonts w:ascii="Avenir Next" w:hAnsi="Avenir Next" w:cs="Arial"/>
          <w:color w:val="808080" w:themeColor="background1" w:themeShade="80"/>
          <w:sz w:val="22"/>
          <w:szCs w:val="22"/>
          <w:lang w:val="en-GB"/>
        </w:rPr>
        <w:t xml:space="preserve"> concurrent proceedings may raise</w:t>
      </w:r>
      <w:r w:rsidRPr="00337657">
        <w:rPr>
          <w:rFonts w:ascii="Avenir Next" w:hAnsi="Avenir Next" w:cs="Arial"/>
          <w:color w:val="808080" w:themeColor="background1" w:themeShade="80"/>
          <w:sz w:val="22"/>
          <w:szCs w:val="22"/>
          <w:lang w:val="en-GB"/>
        </w:rPr>
        <w:t xml:space="preserve"> numerous </w:t>
      </w:r>
      <w:r w:rsidR="00C05C20">
        <w:rPr>
          <w:rFonts w:ascii="Avenir Next" w:hAnsi="Avenir Next" w:cs="Arial"/>
          <w:color w:val="808080" w:themeColor="background1" w:themeShade="80"/>
          <w:sz w:val="22"/>
          <w:szCs w:val="22"/>
          <w:lang w:val="en-GB"/>
        </w:rPr>
        <w:t>practical consequences and</w:t>
      </w:r>
      <w:r w:rsidRPr="00337657">
        <w:rPr>
          <w:rFonts w:ascii="Avenir Next" w:hAnsi="Avenir Next" w:cs="Arial"/>
          <w:color w:val="808080" w:themeColor="background1" w:themeShade="80"/>
          <w:sz w:val="22"/>
          <w:szCs w:val="22"/>
          <w:lang w:val="en-GB"/>
        </w:rPr>
        <w:t xml:space="preserve"> complications, including:</w:t>
      </w:r>
    </w:p>
    <w:p w14:paraId="1D0A6A4A" w14:textId="77777777" w:rsidR="00337657" w:rsidRPr="00337657" w:rsidRDefault="00337657" w:rsidP="00337657">
      <w:pPr>
        <w:pStyle w:val="ListParagraph"/>
        <w:rPr>
          <w:rFonts w:ascii="Avenir Next" w:hAnsi="Avenir Next" w:cs="Arial"/>
          <w:color w:val="808080" w:themeColor="background1" w:themeShade="80"/>
          <w:sz w:val="22"/>
          <w:szCs w:val="22"/>
          <w:lang w:val="en-GB"/>
        </w:rPr>
      </w:pPr>
    </w:p>
    <w:p w14:paraId="7285BEAB" w14:textId="77777777" w:rsid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gathering in of assets from different jurisdictions;</w:t>
      </w:r>
    </w:p>
    <w:p w14:paraId="3BFEDAAA" w14:textId="77777777" w:rsid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costs arising out of running two concurrent proceedings, the payment of the fees of the insolvency representatives and professional advisors and avoiding duplication of work;</w:t>
      </w:r>
    </w:p>
    <w:p w14:paraId="2970B7B6" w14:textId="77777777" w:rsid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powers of the respective insolvency representatives to investigate the affairs of the company, including investigations into the conduct of the officers of the company and the sharing of information as between the two insolvency representatives;</w:t>
      </w:r>
    </w:p>
    <w:p w14:paraId="448BB854" w14:textId="77777777" w:rsid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sharing of resources (including funding) as between the two insolvency representatives;</w:t>
      </w:r>
    </w:p>
    <w:p w14:paraId="742518EE" w14:textId="77777777" w:rsid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establishment of procedures by which creditors (in either jurisdiction) are to file a claim and ensuring fairness for creditors (everywhere);</w:t>
      </w:r>
    </w:p>
    <w:p w14:paraId="16C4C2F7" w14:textId="43B53330" w:rsid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Determining which set of laws (Encanto or Asgard) applies to the distribution wat</w:t>
      </w:r>
      <w:r w:rsidR="00C05C20">
        <w:rPr>
          <w:rFonts w:ascii="Avenir Next" w:hAnsi="Avenir Next" w:cs="Arial"/>
          <w:color w:val="808080" w:themeColor="background1" w:themeShade="80"/>
          <w:sz w:val="22"/>
          <w:szCs w:val="22"/>
          <w:lang w:val="en-GB"/>
        </w:rPr>
        <w:t xml:space="preserve">erfall, </w:t>
      </w:r>
      <w:r w:rsidRPr="00337657">
        <w:rPr>
          <w:rFonts w:ascii="Avenir Next" w:hAnsi="Avenir Next" w:cs="Arial"/>
          <w:color w:val="808080" w:themeColor="background1" w:themeShade="80"/>
          <w:sz w:val="22"/>
          <w:szCs w:val="22"/>
          <w:lang w:val="en-GB"/>
        </w:rPr>
        <w:t xml:space="preserve">subordination of claims, preferred creditors, and </w:t>
      </w:r>
      <w:r w:rsidR="00C05C20">
        <w:rPr>
          <w:rFonts w:ascii="Avenir Next" w:hAnsi="Avenir Next" w:cs="Arial"/>
          <w:color w:val="808080" w:themeColor="background1" w:themeShade="80"/>
          <w:sz w:val="22"/>
          <w:szCs w:val="22"/>
          <w:lang w:val="en-GB"/>
        </w:rPr>
        <w:t xml:space="preserve">(possibly) </w:t>
      </w:r>
      <w:r w:rsidRPr="00337657">
        <w:rPr>
          <w:rFonts w:ascii="Avenir Next" w:hAnsi="Avenir Next" w:cs="Arial"/>
          <w:color w:val="808080" w:themeColor="background1" w:themeShade="80"/>
          <w:sz w:val="22"/>
          <w:szCs w:val="22"/>
          <w:lang w:val="en-GB"/>
        </w:rPr>
        <w:t>the treatment of employees;</w:t>
      </w:r>
    </w:p>
    <w:p w14:paraId="1C2B5C90" w14:textId="0E391CB1" w:rsid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treatment of contracts entered into by the Company and the choice of law provisions governing such contracts;</w:t>
      </w:r>
      <w:r>
        <w:rPr>
          <w:rFonts w:ascii="Avenir Next" w:hAnsi="Avenir Next" w:cs="Arial"/>
          <w:color w:val="808080" w:themeColor="background1" w:themeShade="80"/>
          <w:sz w:val="22"/>
          <w:szCs w:val="22"/>
          <w:lang w:val="en-GB"/>
        </w:rPr>
        <w:t xml:space="preserve"> and</w:t>
      </w:r>
    </w:p>
    <w:p w14:paraId="3780F3C7" w14:textId="2EE0A47F" w:rsidR="00337657" w:rsidRPr="00337657" w:rsidRDefault="00337657" w:rsidP="00337657">
      <w:pPr>
        <w:pStyle w:val="ListParagraph"/>
        <w:numPr>
          <w:ilvl w:val="0"/>
          <w:numId w:val="35"/>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application of foreign law (either Encanto or Asgard law) governing contracts an</w:t>
      </w:r>
      <w:r w:rsidR="00C05C20">
        <w:rPr>
          <w:rFonts w:ascii="Avenir Next" w:hAnsi="Avenir Next" w:cs="Arial"/>
          <w:color w:val="808080" w:themeColor="background1" w:themeShade="80"/>
          <w:sz w:val="22"/>
          <w:szCs w:val="22"/>
          <w:lang w:val="en-GB"/>
        </w:rPr>
        <w:t>d/ or security arrangements entered into by FPPL.</w:t>
      </w:r>
    </w:p>
    <w:p w14:paraId="6914F441" w14:textId="77777777" w:rsidR="00337657" w:rsidRPr="00337657" w:rsidRDefault="00337657" w:rsidP="00337657">
      <w:pPr>
        <w:ind w:left="720" w:hanging="720"/>
        <w:jc w:val="both"/>
        <w:rPr>
          <w:rFonts w:ascii="Avenir Next" w:hAnsi="Avenir Next" w:cs="Arial"/>
          <w:color w:val="808080" w:themeColor="background1" w:themeShade="80"/>
          <w:sz w:val="22"/>
          <w:szCs w:val="22"/>
          <w:lang w:val="en-GB"/>
        </w:rPr>
      </w:pPr>
    </w:p>
    <w:p w14:paraId="376E7AB1" w14:textId="64095DEC" w:rsid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 xml:space="preserve">It is unclear from the brief factual background whether there exist any treaties or conventions governing the application of insolvency laws between Encanto and Asgard, and (if such treaties or conventions exist) these are likely to have a significant impact as to the manner by which the Courts of Asgard and Encanto (and their respective appointees) cooperate together and co-ordinate the liquidation of the company. </w:t>
      </w:r>
    </w:p>
    <w:p w14:paraId="09B16773" w14:textId="77777777" w:rsidR="00337657" w:rsidRDefault="00337657" w:rsidP="00337657">
      <w:pPr>
        <w:pStyle w:val="ListParagraph"/>
        <w:jc w:val="both"/>
        <w:rPr>
          <w:rFonts w:ascii="Avenir Next" w:hAnsi="Avenir Next" w:cs="Arial"/>
          <w:color w:val="808080" w:themeColor="background1" w:themeShade="80"/>
          <w:sz w:val="22"/>
          <w:szCs w:val="22"/>
          <w:lang w:val="en-GB"/>
        </w:rPr>
      </w:pPr>
    </w:p>
    <w:p w14:paraId="16C41B21" w14:textId="0851276D" w:rsidR="001E1C34" w:rsidRP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adoption of the UNCITRAL Model Laws, rules of private international law, treaties and/or conventions may govern (and will likely have a significant impact on) the issues set out above. The existence and development of such international insolvency instruments is therefore extremely important to avoid conflict, uncertainty and duplication and ensure that the insolvency procedures are conducted for the best interests of the creditors and other stakeholders.</w:t>
      </w:r>
      <w:r w:rsidRPr="00337657">
        <w:rPr>
          <w:rFonts w:ascii="Avenir Next" w:hAnsi="Avenir Next" w:cs="Arial"/>
          <w:color w:val="808080" w:themeColor="background1" w:themeShade="80"/>
          <w:sz w:val="22"/>
          <w:szCs w:val="22"/>
          <w:lang w:val="en-GB"/>
        </w:rPr>
        <w:t xml:space="preserve">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Pr="00337657" w:rsidRDefault="004E1D03" w:rsidP="00337657">
      <w:pPr>
        <w:pStyle w:val="ListParagraph"/>
        <w:jc w:val="both"/>
        <w:rPr>
          <w:rFonts w:ascii="Avenir Next" w:hAnsi="Avenir Next" w:cs="Arial"/>
          <w:color w:val="808080" w:themeColor="background1" w:themeShade="80"/>
          <w:sz w:val="22"/>
          <w:szCs w:val="22"/>
          <w:lang w:val="en-GB"/>
        </w:rPr>
      </w:pPr>
    </w:p>
    <w:p w14:paraId="46941646" w14:textId="77777777" w:rsidR="00337657" w:rsidRP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Prior to the UK's departure from the EU Prior to 1 January 2021, recognition and enforcement of insolvency procedures between the UK and EU Member States was subject to the European Insolvency Regulation (Recast), 2015 (the "</w:t>
      </w:r>
      <w:r w:rsidRPr="005F57A6">
        <w:rPr>
          <w:rFonts w:ascii="Avenir Next" w:hAnsi="Avenir Next" w:cs="Arial"/>
          <w:b/>
          <w:color w:val="808080" w:themeColor="background1" w:themeShade="80"/>
          <w:sz w:val="22"/>
          <w:szCs w:val="22"/>
          <w:lang w:val="en-GB"/>
        </w:rPr>
        <w:t>EIR (Recast)</w:t>
      </w:r>
      <w:r w:rsidRPr="00337657">
        <w:rPr>
          <w:rFonts w:ascii="Avenir Next" w:hAnsi="Avenir Next" w:cs="Arial"/>
          <w:color w:val="808080" w:themeColor="background1" w:themeShade="80"/>
          <w:sz w:val="22"/>
          <w:szCs w:val="22"/>
          <w:lang w:val="en-GB"/>
        </w:rPr>
        <w:t>"). The EIR (Recast) determined the proper jurisdiction for a debtor's insolvency proceedings, the applicable law to be used in those proceedings and provided for the recognition of those proceedings in EU member states.</w:t>
      </w:r>
    </w:p>
    <w:p w14:paraId="3A2742C3" w14:textId="77777777" w:rsidR="00337657" w:rsidRPr="00337657" w:rsidRDefault="00337657" w:rsidP="00337657">
      <w:pPr>
        <w:pStyle w:val="ListParagraph"/>
        <w:jc w:val="both"/>
        <w:rPr>
          <w:rFonts w:ascii="Avenir Next" w:hAnsi="Avenir Next" w:cs="Arial"/>
          <w:color w:val="808080" w:themeColor="background1" w:themeShade="80"/>
          <w:sz w:val="22"/>
          <w:szCs w:val="22"/>
          <w:lang w:val="en-GB"/>
        </w:rPr>
      </w:pPr>
    </w:p>
    <w:p w14:paraId="0F3909AF" w14:textId="77777777" w:rsidR="00337657" w:rsidRP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 EIR (Recast) no longer applies to UK insolvencies where the main proceedings were opened after 11pm on 31 December 2020 (and thus does not apply to the UK proceedings commenced against FPPL on 30 June 2022).</w:t>
      </w:r>
    </w:p>
    <w:p w14:paraId="1A35460F" w14:textId="77777777" w:rsidR="00337657" w:rsidRPr="00337657" w:rsidRDefault="00337657" w:rsidP="00337657">
      <w:pPr>
        <w:pStyle w:val="ListParagraph"/>
        <w:jc w:val="both"/>
        <w:rPr>
          <w:rFonts w:ascii="Avenir Next" w:hAnsi="Avenir Next" w:cs="Arial"/>
          <w:color w:val="808080" w:themeColor="background1" w:themeShade="80"/>
          <w:sz w:val="22"/>
          <w:szCs w:val="22"/>
          <w:lang w:val="en-GB"/>
        </w:rPr>
      </w:pPr>
    </w:p>
    <w:p w14:paraId="08CD6BDE" w14:textId="20B77E39" w:rsidR="00337657" w:rsidRP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Although the EIR (Recast) is no longer in place, there remains an effective legal framework for recognition of proceedings and judgments from EU member states to the UK, including the Cross-Border Insolvency Regulations 2006 (UK's</w:t>
      </w:r>
      <w:r w:rsidR="005F57A6">
        <w:rPr>
          <w:rFonts w:ascii="Avenir Next" w:hAnsi="Avenir Next" w:cs="Arial"/>
          <w:color w:val="808080" w:themeColor="background1" w:themeShade="80"/>
          <w:sz w:val="22"/>
          <w:szCs w:val="22"/>
          <w:lang w:val="en-GB"/>
        </w:rPr>
        <w:t xml:space="preserve"> enactment of the UNCITRAL MLCBI</w:t>
      </w:r>
      <w:r w:rsidRPr="00337657">
        <w:rPr>
          <w:rFonts w:ascii="Avenir Next" w:hAnsi="Avenir Next" w:cs="Arial"/>
          <w:color w:val="808080" w:themeColor="background1" w:themeShade="80"/>
          <w:sz w:val="22"/>
          <w:szCs w:val="22"/>
          <w:lang w:val="en-GB"/>
        </w:rPr>
        <w:t xml:space="preserve">). </w:t>
      </w:r>
    </w:p>
    <w:p w14:paraId="4BAFE2E3" w14:textId="77777777" w:rsidR="00337657" w:rsidRPr="00337657" w:rsidRDefault="00337657" w:rsidP="00337657">
      <w:pPr>
        <w:pStyle w:val="ListParagraph"/>
        <w:jc w:val="both"/>
        <w:rPr>
          <w:rFonts w:ascii="Avenir Next" w:hAnsi="Avenir Next" w:cs="Arial"/>
          <w:color w:val="808080" w:themeColor="background1" w:themeShade="80"/>
          <w:sz w:val="22"/>
          <w:szCs w:val="22"/>
          <w:lang w:val="en-GB"/>
        </w:rPr>
      </w:pPr>
    </w:p>
    <w:p w14:paraId="35A003FE" w14:textId="769A8480" w:rsidR="00337657" w:rsidRP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Recognition of UK proceedings and judgments in the EU will be subject to the local laws of the individual member states and the recognition of FPPL's (E</w:t>
      </w:r>
      <w:r w:rsidR="005F57A6">
        <w:rPr>
          <w:rFonts w:ascii="Avenir Next" w:hAnsi="Avenir Next" w:cs="Arial"/>
          <w:color w:val="808080" w:themeColor="background1" w:themeShade="80"/>
          <w:sz w:val="22"/>
          <w:szCs w:val="22"/>
          <w:lang w:val="en-GB"/>
        </w:rPr>
        <w:t>ncanto) insolvency proceedings is</w:t>
      </w:r>
      <w:r w:rsidRPr="00337657">
        <w:rPr>
          <w:rFonts w:ascii="Avenir Next" w:hAnsi="Avenir Next" w:cs="Arial"/>
          <w:color w:val="808080" w:themeColor="background1" w:themeShade="80"/>
          <w:sz w:val="22"/>
          <w:szCs w:val="22"/>
          <w:lang w:val="en-GB"/>
        </w:rPr>
        <w:t xml:space="preserve"> likely to require court applications (and </w:t>
      </w:r>
      <w:r w:rsidR="005F57A6">
        <w:rPr>
          <w:rFonts w:ascii="Avenir Next" w:hAnsi="Avenir Next" w:cs="Arial"/>
          <w:color w:val="808080" w:themeColor="background1" w:themeShade="80"/>
          <w:sz w:val="22"/>
          <w:szCs w:val="22"/>
          <w:lang w:val="en-GB"/>
        </w:rPr>
        <w:t xml:space="preserve">encounter </w:t>
      </w:r>
      <w:r w:rsidRPr="00337657">
        <w:rPr>
          <w:rFonts w:ascii="Avenir Next" w:hAnsi="Avenir Next" w:cs="Arial"/>
          <w:color w:val="808080" w:themeColor="background1" w:themeShade="80"/>
          <w:sz w:val="22"/>
          <w:szCs w:val="22"/>
          <w:lang w:val="en-GB"/>
        </w:rPr>
        <w:t xml:space="preserve">possible procedural hurdles) that may not have been encountered under the EIR (Recast). </w:t>
      </w:r>
    </w:p>
    <w:p w14:paraId="56C605D5" w14:textId="77777777" w:rsidR="00337657" w:rsidRPr="00337657" w:rsidRDefault="00337657" w:rsidP="00337657">
      <w:pPr>
        <w:pStyle w:val="ListParagraph"/>
        <w:jc w:val="both"/>
        <w:rPr>
          <w:rFonts w:ascii="Avenir Next" w:hAnsi="Avenir Next" w:cs="Arial"/>
          <w:color w:val="808080" w:themeColor="background1" w:themeShade="80"/>
          <w:sz w:val="22"/>
          <w:szCs w:val="22"/>
          <w:lang w:val="en-GB"/>
        </w:rPr>
      </w:pPr>
    </w:p>
    <w:p w14:paraId="05DA9F10" w14:textId="711866B7" w:rsidR="00337657" w:rsidRP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 xml:space="preserve">In the event that Lobo seeks to institute legal proceedings against FPPL in a European country (other than the UK), it will </w:t>
      </w:r>
      <w:r w:rsidR="005F57A6">
        <w:rPr>
          <w:rFonts w:ascii="Avenir Next" w:hAnsi="Avenir Next" w:cs="Arial"/>
          <w:color w:val="808080" w:themeColor="background1" w:themeShade="80"/>
          <w:sz w:val="22"/>
          <w:szCs w:val="22"/>
          <w:lang w:val="en-GB"/>
        </w:rPr>
        <w:t xml:space="preserve">be </w:t>
      </w:r>
      <w:r w:rsidRPr="00337657">
        <w:rPr>
          <w:rFonts w:ascii="Avenir Next" w:hAnsi="Avenir Next" w:cs="Arial"/>
          <w:color w:val="808080" w:themeColor="background1" w:themeShade="80"/>
          <w:sz w:val="22"/>
          <w:szCs w:val="22"/>
          <w:lang w:val="en-GB"/>
        </w:rPr>
        <w:t>necessary to determine whether that European country has the necessary jurisdiction to wind up a foreign (UK) company. Further information necessary to answer this question may include whether:</w:t>
      </w:r>
    </w:p>
    <w:p w14:paraId="2F14E4C2" w14:textId="77777777" w:rsidR="00337657" w:rsidRPr="00337657" w:rsidRDefault="00337657" w:rsidP="00337657">
      <w:pPr>
        <w:pStyle w:val="ListParagraph"/>
        <w:jc w:val="both"/>
        <w:rPr>
          <w:rFonts w:ascii="Avenir Next" w:hAnsi="Avenir Next" w:cs="Arial"/>
          <w:color w:val="808080" w:themeColor="background1" w:themeShade="80"/>
          <w:sz w:val="22"/>
          <w:szCs w:val="22"/>
          <w:lang w:val="en-GB"/>
        </w:rPr>
      </w:pPr>
    </w:p>
    <w:p w14:paraId="07DDA019" w14:textId="77777777" w:rsidR="00337657" w:rsidRDefault="00337657" w:rsidP="00337657">
      <w:pPr>
        <w:pStyle w:val="ListParagraph"/>
        <w:numPr>
          <w:ilvl w:val="0"/>
          <w:numId w:val="39"/>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there is a sufficient connection between FPPL and the European country;</w:t>
      </w:r>
    </w:p>
    <w:p w14:paraId="4CF9A53E" w14:textId="77777777" w:rsidR="00337657" w:rsidRDefault="00337657" w:rsidP="00337657">
      <w:pPr>
        <w:pStyle w:val="ListParagraph"/>
        <w:numPr>
          <w:ilvl w:val="0"/>
          <w:numId w:val="39"/>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 xml:space="preserve">FPPL has assets within the European country; </w:t>
      </w:r>
    </w:p>
    <w:p w14:paraId="37F4059A" w14:textId="77777777" w:rsidR="00337657" w:rsidRDefault="00337657" w:rsidP="00337657">
      <w:pPr>
        <w:pStyle w:val="ListParagraph"/>
        <w:numPr>
          <w:ilvl w:val="0"/>
          <w:numId w:val="39"/>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there is likely to be a benefit to those applying for the insolvency proceedings in the European country; and</w:t>
      </w:r>
    </w:p>
    <w:p w14:paraId="003CFDD0" w14:textId="0F5E83D4" w:rsidR="00337657" w:rsidRPr="00337657" w:rsidRDefault="00337657" w:rsidP="00337657">
      <w:pPr>
        <w:pStyle w:val="ListParagraph"/>
        <w:numPr>
          <w:ilvl w:val="0"/>
          <w:numId w:val="39"/>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 xml:space="preserve">there are creditors (or other stakeholders) within the jurisdiction of the European court. </w:t>
      </w:r>
    </w:p>
    <w:p w14:paraId="3EE1C5F1" w14:textId="77777777" w:rsidR="00337657" w:rsidRPr="00337657" w:rsidRDefault="00337657" w:rsidP="00337657">
      <w:pPr>
        <w:pStyle w:val="ListParagraph"/>
        <w:jc w:val="both"/>
        <w:rPr>
          <w:rFonts w:ascii="Avenir Next" w:hAnsi="Avenir Next" w:cs="Arial"/>
          <w:color w:val="808080" w:themeColor="background1" w:themeShade="80"/>
          <w:sz w:val="22"/>
          <w:szCs w:val="22"/>
          <w:lang w:val="en-GB"/>
        </w:rPr>
      </w:pPr>
    </w:p>
    <w:p w14:paraId="76737CED" w14:textId="391C559A" w:rsidR="00337657" w:rsidRPr="00337657" w:rsidRDefault="00337657" w:rsidP="00337657">
      <w:pPr>
        <w:pStyle w:val="ListParagraph"/>
        <w:numPr>
          <w:ilvl w:val="0"/>
          <w:numId w:val="36"/>
        </w:numPr>
        <w:jc w:val="both"/>
        <w:rPr>
          <w:rFonts w:ascii="Avenir Next" w:hAnsi="Avenir Next" w:cs="Arial"/>
          <w:color w:val="808080" w:themeColor="background1" w:themeShade="80"/>
          <w:sz w:val="22"/>
          <w:szCs w:val="22"/>
          <w:lang w:val="en-GB"/>
        </w:rPr>
      </w:pPr>
      <w:r w:rsidRPr="00337657">
        <w:rPr>
          <w:rFonts w:ascii="Avenir Next" w:hAnsi="Avenir Next" w:cs="Arial"/>
          <w:color w:val="808080" w:themeColor="background1" w:themeShade="80"/>
          <w:sz w:val="22"/>
          <w:szCs w:val="22"/>
          <w:lang w:val="en-GB"/>
        </w:rPr>
        <w:t>In the event that</w:t>
      </w:r>
      <w:r w:rsidR="005F57A6">
        <w:rPr>
          <w:rFonts w:ascii="Avenir Next" w:hAnsi="Avenir Next" w:cs="Arial"/>
          <w:color w:val="808080" w:themeColor="background1" w:themeShade="80"/>
          <w:sz w:val="22"/>
          <w:szCs w:val="22"/>
          <w:lang w:val="en-GB"/>
        </w:rPr>
        <w:t xml:space="preserve"> an insolvency representative is</w:t>
      </w:r>
      <w:r w:rsidRPr="00337657">
        <w:rPr>
          <w:rFonts w:ascii="Avenir Next" w:hAnsi="Avenir Next" w:cs="Arial"/>
          <w:color w:val="808080" w:themeColor="background1" w:themeShade="80"/>
          <w:sz w:val="22"/>
          <w:szCs w:val="22"/>
          <w:lang w:val="en-GB"/>
        </w:rPr>
        <w:t xml:space="preserve"> appointed in a Europea</w:t>
      </w:r>
      <w:r w:rsidR="005F57A6">
        <w:rPr>
          <w:rFonts w:ascii="Avenir Next" w:hAnsi="Avenir Next" w:cs="Arial"/>
          <w:color w:val="808080" w:themeColor="background1" w:themeShade="80"/>
          <w:sz w:val="22"/>
          <w:szCs w:val="22"/>
          <w:lang w:val="en-GB"/>
        </w:rPr>
        <w:t>n country, any</w:t>
      </w:r>
      <w:r w:rsidRPr="00337657">
        <w:rPr>
          <w:rFonts w:ascii="Avenir Next" w:hAnsi="Avenir Next" w:cs="Arial"/>
          <w:color w:val="808080" w:themeColor="background1" w:themeShade="80"/>
          <w:sz w:val="22"/>
          <w:szCs w:val="22"/>
          <w:lang w:val="en-GB"/>
        </w:rPr>
        <w:t xml:space="preserve"> requests (to the UK Court) for assistance must come from the relevant European Court rather than from the European </w:t>
      </w:r>
      <w:r w:rsidR="005F57A6">
        <w:rPr>
          <w:rFonts w:ascii="Avenir Next" w:hAnsi="Avenir Next" w:cs="Arial"/>
          <w:color w:val="808080" w:themeColor="background1" w:themeShade="80"/>
          <w:sz w:val="22"/>
          <w:szCs w:val="22"/>
          <w:lang w:val="en-GB"/>
        </w:rPr>
        <w:t>insolvency representative. This will require the</w:t>
      </w:r>
      <w:r w:rsidRPr="00337657">
        <w:rPr>
          <w:rFonts w:ascii="Avenir Next" w:hAnsi="Avenir Next" w:cs="Arial"/>
          <w:color w:val="808080" w:themeColor="background1" w:themeShade="80"/>
          <w:sz w:val="22"/>
          <w:szCs w:val="22"/>
          <w:lang w:val="en-GB"/>
        </w:rPr>
        <w:t xml:space="preserve"> European insolvency representative to apply </w:t>
      </w:r>
      <w:r w:rsidR="005F57A6">
        <w:rPr>
          <w:rFonts w:ascii="Avenir Next" w:hAnsi="Avenir Next" w:cs="Arial"/>
          <w:color w:val="808080" w:themeColor="background1" w:themeShade="80"/>
          <w:sz w:val="22"/>
          <w:szCs w:val="22"/>
          <w:lang w:val="en-GB"/>
        </w:rPr>
        <w:t>(</w:t>
      </w:r>
      <w:r w:rsidRPr="00337657">
        <w:rPr>
          <w:rFonts w:ascii="Avenir Next" w:hAnsi="Avenir Next" w:cs="Arial"/>
          <w:color w:val="808080" w:themeColor="background1" w:themeShade="80"/>
          <w:sz w:val="22"/>
          <w:szCs w:val="22"/>
          <w:lang w:val="en-GB"/>
        </w:rPr>
        <w:t>to its home Court</w:t>
      </w:r>
      <w:r w:rsidR="005F57A6">
        <w:rPr>
          <w:rFonts w:ascii="Avenir Next" w:hAnsi="Avenir Next" w:cs="Arial"/>
          <w:color w:val="808080" w:themeColor="background1" w:themeShade="80"/>
          <w:sz w:val="22"/>
          <w:szCs w:val="22"/>
          <w:lang w:val="en-GB"/>
        </w:rPr>
        <w:t>)</w:t>
      </w:r>
      <w:r w:rsidRPr="00337657">
        <w:rPr>
          <w:rFonts w:ascii="Avenir Next" w:hAnsi="Avenir Next" w:cs="Arial"/>
          <w:color w:val="808080" w:themeColor="background1" w:themeShade="80"/>
          <w:sz w:val="22"/>
          <w:szCs w:val="22"/>
          <w:lang w:val="en-GB"/>
        </w:rPr>
        <w:t xml:space="preserve"> to request that a letter of request be sent to the relevant court in the UK.</w:t>
      </w:r>
      <w:bookmarkStart w:id="0" w:name="_GoBack"/>
      <w:bookmarkEnd w:id="0"/>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60B3854E"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5F57A6">
          <w:rPr>
            <w:rStyle w:val="PageNumber"/>
            <w:rFonts w:ascii="Avenir Next" w:hAnsi="Avenir Next" w:cs="Arial"/>
            <w:noProof/>
            <w:sz w:val="22"/>
            <w:szCs w:val="22"/>
          </w:rPr>
          <w:t>13</w:t>
        </w:r>
        <w:r w:rsidRPr="00297BDF">
          <w:rPr>
            <w:rStyle w:val="PageNumber"/>
            <w:rFonts w:ascii="Avenir Next" w:hAnsi="Avenir Next" w:cs="Arial"/>
            <w:sz w:val="22"/>
            <w:szCs w:val="22"/>
          </w:rPr>
          <w:fldChar w:fldCharType="end"/>
        </w:r>
      </w:p>
    </w:sdtContent>
  </w:sdt>
  <w:p w14:paraId="6D24245A" w14:textId="26A99D87" w:rsidR="004C1520" w:rsidRPr="004C1520" w:rsidRDefault="004C1520" w:rsidP="003B1F4D">
    <w:pPr>
      <w:pStyle w:val="Footer"/>
      <w:ind w:right="360"/>
    </w:pPr>
    <w:r>
      <w:rPr>
        <w:rFonts w:ascii="Avenir Next" w:hAnsi="Avenir Next" w:cs="Arial"/>
        <w:sz w:val="22"/>
        <w:szCs w:val="22"/>
      </w:rPr>
      <w:t>202223-758</w:t>
    </w:r>
    <w:r w:rsidR="003B1F4D">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EF31" w14:textId="77777777" w:rsidR="00F12225" w:rsidRPr="004C1520" w:rsidRDefault="00F12225" w:rsidP="00F12225">
    <w:pPr>
      <w:pStyle w:val="Footer"/>
      <w:ind w:right="360"/>
    </w:pPr>
    <w:r>
      <w:rPr>
        <w:rFonts w:ascii="Avenir Next" w:hAnsi="Avenir Next" w:cs="Arial"/>
        <w:sz w:val="22"/>
        <w:szCs w:val="22"/>
      </w:rPr>
      <w:t>202223-758.assessment1summative</w:t>
    </w:r>
  </w:p>
  <w:p w14:paraId="7EEB5A7F" w14:textId="7D9E8A98" w:rsidR="004C1520" w:rsidRPr="00F12225" w:rsidRDefault="004C1520" w:rsidP="00F1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C67"/>
    <w:multiLevelType w:val="hybridMultilevel"/>
    <w:tmpl w:val="03B219B4"/>
    <w:lvl w:ilvl="0" w:tplc="93E08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D75A0"/>
    <w:multiLevelType w:val="hybridMultilevel"/>
    <w:tmpl w:val="BB4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20565"/>
    <w:multiLevelType w:val="hybridMultilevel"/>
    <w:tmpl w:val="496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81B0A"/>
    <w:multiLevelType w:val="hybridMultilevel"/>
    <w:tmpl w:val="F8F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A1"/>
    <w:multiLevelType w:val="hybridMultilevel"/>
    <w:tmpl w:val="4A5E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F52"/>
    <w:multiLevelType w:val="hybridMultilevel"/>
    <w:tmpl w:val="126AC50E"/>
    <w:lvl w:ilvl="0" w:tplc="57328D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D75700"/>
    <w:multiLevelType w:val="hybridMultilevel"/>
    <w:tmpl w:val="E5C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D921EA4"/>
    <w:multiLevelType w:val="hybridMultilevel"/>
    <w:tmpl w:val="3E06B746"/>
    <w:lvl w:ilvl="0" w:tplc="3B86D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D60B77"/>
    <w:multiLevelType w:val="hybridMultilevel"/>
    <w:tmpl w:val="A09AD94A"/>
    <w:lvl w:ilvl="0" w:tplc="92C619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E41384"/>
    <w:multiLevelType w:val="hybridMultilevel"/>
    <w:tmpl w:val="A566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E03A6"/>
    <w:multiLevelType w:val="hybridMultilevel"/>
    <w:tmpl w:val="707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7F4250"/>
    <w:multiLevelType w:val="hybridMultilevel"/>
    <w:tmpl w:val="5F1A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0A7ACF"/>
    <w:multiLevelType w:val="hybridMultilevel"/>
    <w:tmpl w:val="69B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4B4E75"/>
    <w:multiLevelType w:val="hybridMultilevel"/>
    <w:tmpl w:val="2E52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B5B00"/>
    <w:multiLevelType w:val="hybridMultilevel"/>
    <w:tmpl w:val="B11E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7"/>
  </w:num>
  <w:num w:numId="3">
    <w:abstractNumId w:val="8"/>
  </w:num>
  <w:num w:numId="4">
    <w:abstractNumId w:val="10"/>
  </w:num>
  <w:num w:numId="5">
    <w:abstractNumId w:val="26"/>
  </w:num>
  <w:num w:numId="6">
    <w:abstractNumId w:val="32"/>
  </w:num>
  <w:num w:numId="7">
    <w:abstractNumId w:val="20"/>
  </w:num>
  <w:num w:numId="8">
    <w:abstractNumId w:val="38"/>
  </w:num>
  <w:num w:numId="9">
    <w:abstractNumId w:val="19"/>
  </w:num>
  <w:num w:numId="10">
    <w:abstractNumId w:val="33"/>
  </w:num>
  <w:num w:numId="11">
    <w:abstractNumId w:val="17"/>
  </w:num>
  <w:num w:numId="12">
    <w:abstractNumId w:val="34"/>
  </w:num>
  <w:num w:numId="13">
    <w:abstractNumId w:val="25"/>
  </w:num>
  <w:num w:numId="14">
    <w:abstractNumId w:val="24"/>
  </w:num>
  <w:num w:numId="15">
    <w:abstractNumId w:val="15"/>
  </w:num>
  <w:num w:numId="16">
    <w:abstractNumId w:val="27"/>
  </w:num>
  <w:num w:numId="17">
    <w:abstractNumId w:val="22"/>
  </w:num>
  <w:num w:numId="18">
    <w:abstractNumId w:val="23"/>
  </w:num>
  <w:num w:numId="19">
    <w:abstractNumId w:val="30"/>
  </w:num>
  <w:num w:numId="20">
    <w:abstractNumId w:val="16"/>
  </w:num>
  <w:num w:numId="21">
    <w:abstractNumId w:val="21"/>
  </w:num>
  <w:num w:numId="22">
    <w:abstractNumId w:val="3"/>
  </w:num>
  <w:num w:numId="23">
    <w:abstractNumId w:val="28"/>
  </w:num>
  <w:num w:numId="24">
    <w:abstractNumId w:val="4"/>
  </w:num>
  <w:num w:numId="25">
    <w:abstractNumId w:val="9"/>
  </w:num>
  <w:num w:numId="26">
    <w:abstractNumId w:val="6"/>
  </w:num>
  <w:num w:numId="27">
    <w:abstractNumId w:val="5"/>
  </w:num>
  <w:num w:numId="28">
    <w:abstractNumId w:val="0"/>
  </w:num>
  <w:num w:numId="29">
    <w:abstractNumId w:val="14"/>
  </w:num>
  <w:num w:numId="30">
    <w:abstractNumId w:val="13"/>
  </w:num>
  <w:num w:numId="31">
    <w:abstractNumId w:val="2"/>
  </w:num>
  <w:num w:numId="32">
    <w:abstractNumId w:val="36"/>
  </w:num>
  <w:num w:numId="33">
    <w:abstractNumId w:val="29"/>
  </w:num>
  <w:num w:numId="34">
    <w:abstractNumId w:val="1"/>
  </w:num>
  <w:num w:numId="35">
    <w:abstractNumId w:val="11"/>
  </w:num>
  <w:num w:numId="36">
    <w:abstractNumId w:val="35"/>
  </w:num>
  <w:num w:numId="37">
    <w:abstractNumId w:val="18"/>
  </w:num>
  <w:num w:numId="38">
    <w:abstractNumId w:val="12"/>
  </w:num>
  <w:num w:numId="3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045088"/>
    <w:rsid w:val="000009F5"/>
    <w:rsid w:val="00003D8F"/>
    <w:rsid w:val="0000420A"/>
    <w:rsid w:val="00004AE7"/>
    <w:rsid w:val="00007968"/>
    <w:rsid w:val="0001070D"/>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46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57"/>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1F4D"/>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520"/>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7A6"/>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2E8E"/>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0B2"/>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3EB2"/>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4B"/>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5C20"/>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225"/>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paragraph" w:customStyle="1" w:styleId="DocID">
    <w:name w:val="DocID"/>
    <w:basedOn w:val="Normal"/>
    <w:next w:val="Footer"/>
    <w:link w:val="DocIDChar"/>
    <w:rsid w:val="004C1520"/>
    <w:rPr>
      <w:rFonts w:ascii="Arial" w:hAnsi="Arial" w:cs="Arial"/>
      <w:color w:val="000000"/>
      <w:sz w:val="16"/>
      <w:szCs w:val="22"/>
      <w:lang w:val="en-GB"/>
    </w:rPr>
  </w:style>
  <w:style w:type="character" w:customStyle="1" w:styleId="DocIDChar">
    <w:name w:val="DocID Char"/>
    <w:basedOn w:val="DefaultParagraphFont"/>
    <w:link w:val="DocID"/>
    <w:rsid w:val="004C1520"/>
    <w:rPr>
      <w:rFonts w:ascii="Arial" w:eastAsia="Times New Roman" w:hAnsi="Arial" w:cs="Arial"/>
      <w:color w:val="000000"/>
      <w:sz w:val="1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purl.org/dc/elements/1.1/"/>
    <ds:schemaRef ds:uri="d0ad2d52-4869-465d-a93a-001fa21a593d"/>
    <ds:schemaRef ds:uri="http://schemas.openxmlformats.org/package/2006/metadata/core-properties"/>
    <ds:schemaRef ds:uri="http://purl.org/dc/terms/"/>
    <ds:schemaRef ds:uri="a21de7b9-cad9-43f2-8459-9b1b4f9894e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CFF8F4-FF9E-46F6-9456-B9BC02DE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Laing</cp:lastModifiedBy>
  <cp:revision>10</cp:revision>
  <cp:lastPrinted>2022-10-26T18:22:00Z</cp:lastPrinted>
  <dcterms:created xsi:type="dcterms:W3CDTF">2022-10-26T17:21:00Z</dcterms:created>
  <dcterms:modified xsi:type="dcterms:W3CDTF">2022-10-26T18:51:00Z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DocIDContent">
    <vt:lpwstr>1|.|2|&lt;space&gt;|25|.|26|</vt:lpwstr>
  </property>
  <property fmtid="{D5CDD505-2E9C-101B-9397-08002B2CF9AE}" pid="4" name="DocID">
    <vt:lpwstr>27335555.1 MLAING.</vt:lpwstr>
  </property>
</Properties>
</file>