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B32000">
        <w:rPr>
          <w:rFonts w:ascii="Avenir Next" w:hAnsi="Avenir Next" w:cs="Arial"/>
          <w:sz w:val="22"/>
          <w:szCs w:val="22"/>
          <w:highlight w:val="yellow"/>
          <w:lang w:val="en-GB"/>
        </w:rPr>
        <w:t>This statement is untrue since there are huge differences in both the approach and insolvency legislation of various jurisdictions</w:t>
      </w:r>
      <w:r w:rsidRPr="00827D56">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384972">
        <w:rPr>
          <w:rFonts w:ascii="Avenir Next" w:hAnsi="Avenir Next" w:cs="Arial"/>
          <w:sz w:val="22"/>
          <w:szCs w:val="22"/>
          <w:highlight w:val="yellow"/>
          <w:lang w:val="en-GB"/>
        </w:rPr>
        <w:t>This statement is true since it introduced the notion of discharge</w:t>
      </w:r>
      <w:r w:rsidRPr="00827D56">
        <w:rPr>
          <w:rFonts w:ascii="Avenir Next" w:hAnsi="Avenir Next" w:cs="Arial"/>
          <w:sz w:val="22"/>
          <w:szCs w:val="22"/>
          <w:lang w:val="en-GB"/>
        </w:rPr>
        <w:t>.</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B3200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r w:rsidRPr="00827D56">
        <w:rPr>
          <w:rFonts w:ascii="Avenir Next" w:hAnsi="Avenir Next" w:cs="Arial"/>
          <w:sz w:val="22"/>
          <w:szCs w:val="22"/>
          <w:lang w:val="en-GB"/>
        </w:rPr>
        <w:t>.</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384972">
        <w:rPr>
          <w:rFonts w:ascii="Avenir Next" w:hAnsi="Avenir Next" w:cs="Arial"/>
          <w:sz w:val="22"/>
          <w:szCs w:val="22"/>
          <w:highlight w:val="yellow"/>
          <w:lang w:val="en-GB"/>
        </w:rPr>
        <w:t>This statement is untrue since there is still a need for both liquidation and rescue procedures in insolvency systems</w:t>
      </w:r>
      <w:r w:rsidRPr="00827D56">
        <w:rPr>
          <w:rFonts w:ascii="Avenir Next" w:hAnsi="Avenir Next" w:cs="Arial"/>
          <w:sz w:val="22"/>
          <w:szCs w:val="22"/>
          <w:lang w:val="en-GB"/>
        </w:rPr>
        <w:t>.</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4627D1">
        <w:rPr>
          <w:rFonts w:ascii="Avenir Next" w:hAnsi="Avenir Next" w:cs="Arial"/>
          <w:sz w:val="22"/>
          <w:szCs w:val="22"/>
          <w:highlight w:val="yellow"/>
          <w:lang w:val="en-GB"/>
        </w:rPr>
        <w:t>The statement</w:t>
      </w:r>
      <w:r w:rsidR="0037465A" w:rsidRPr="004627D1">
        <w:rPr>
          <w:rFonts w:ascii="Avenir Next" w:hAnsi="Avenir Next" w:cs="Arial"/>
          <w:sz w:val="22"/>
          <w:szCs w:val="22"/>
          <w:highlight w:val="yellow"/>
          <w:lang w:val="en-GB"/>
        </w:rPr>
        <w:t xml:space="preserve"> is untrue, the requirements and principles do differ and pose problems in a cross-border case</w:t>
      </w:r>
      <w:r w:rsidR="0037465A" w:rsidRPr="00827D56">
        <w:rPr>
          <w:rFonts w:ascii="Avenir Next" w:hAnsi="Avenir Next" w:cs="Arial"/>
          <w:sz w:val="22"/>
          <w:szCs w:val="22"/>
          <w:lang w:val="en-GB"/>
        </w:rPr>
        <w:t>.</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argrafoda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4627D1">
        <w:rPr>
          <w:rFonts w:ascii="Avenir Next" w:eastAsiaTheme="minorHAnsi" w:hAnsi="Avenir Next" w:cs="Arial"/>
          <w:sz w:val="22"/>
          <w:szCs w:val="22"/>
          <w:highlight w:val="yellow"/>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argrafoda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argrafoda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PargrafodaLista"/>
        <w:numPr>
          <w:ilvl w:val="0"/>
          <w:numId w:val="18"/>
        </w:numPr>
        <w:ind w:left="426"/>
        <w:jc w:val="both"/>
        <w:rPr>
          <w:rFonts w:ascii="Avenir Next" w:hAnsi="Avenir Next" w:cs="Arial"/>
          <w:sz w:val="22"/>
          <w:szCs w:val="22"/>
          <w:lang w:val="en-GB"/>
        </w:rPr>
      </w:pPr>
      <w:r w:rsidRPr="004627D1">
        <w:rPr>
          <w:rFonts w:ascii="Avenir Next" w:hAnsi="Avenir Next" w:cs="Arial"/>
          <w:sz w:val="22"/>
          <w:szCs w:val="22"/>
          <w:highlight w:val="yellow"/>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Pargrafoda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FF6F39">
        <w:rPr>
          <w:rFonts w:ascii="Avenir Next" w:hAnsi="Avenir Next" w:cs="Arial"/>
          <w:sz w:val="22"/>
          <w:szCs w:val="22"/>
          <w:highlight w:val="yellow"/>
          <w:lang w:val="en-GB"/>
        </w:rPr>
        <w:t>Montevideo Treaty on International Procedural Law (1940)</w:t>
      </w:r>
      <w:r w:rsidRPr="00827D56">
        <w:rPr>
          <w:rFonts w:ascii="Avenir Next" w:hAnsi="Avenir Next" w:cs="Arial"/>
          <w:sz w:val="22"/>
          <w:szCs w:val="22"/>
          <w:lang w:val="en-GB"/>
        </w:rPr>
        <w:t>.</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PargrafodaLista"/>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1B271BED" w:rsidR="0082483F"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46670945" w14:textId="77777777" w:rsidR="00FF6F39" w:rsidRPr="00FF6F39" w:rsidRDefault="00FF6F39" w:rsidP="00FF6F39">
      <w:pPr>
        <w:jc w:val="both"/>
        <w:rPr>
          <w:rFonts w:ascii="Avenir Next" w:hAnsi="Avenir Next" w:cs="Arial"/>
          <w:sz w:val="22"/>
          <w:szCs w:val="22"/>
          <w:lang w:val="en-GB"/>
        </w:rPr>
      </w:pPr>
    </w:p>
    <w:p w14:paraId="67B60932" w14:textId="695E08E3"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FF6F39">
        <w:rPr>
          <w:rFonts w:ascii="Avenir Next" w:hAnsi="Avenir Next" w:cs="Arial"/>
          <w:sz w:val="22"/>
          <w:szCs w:val="22"/>
          <w:highlight w:val="yellow"/>
          <w:lang w:val="en-GB"/>
        </w:rPr>
        <w:t xml:space="preserve">A centralised insolvency </w:t>
      </w:r>
      <w:proofErr w:type="gramStart"/>
      <w:r w:rsidRPr="00FF6F39">
        <w:rPr>
          <w:rFonts w:ascii="Avenir Next" w:hAnsi="Avenir Next" w:cs="Arial"/>
          <w:sz w:val="22"/>
          <w:szCs w:val="22"/>
          <w:highlight w:val="yellow"/>
          <w:lang w:val="en-GB"/>
        </w:rPr>
        <w:t>register</w:t>
      </w:r>
      <w:proofErr w:type="gramEnd"/>
      <w:r w:rsidRPr="00FF6F39">
        <w:rPr>
          <w:rFonts w:ascii="Avenir Next" w:hAnsi="Avenir Next" w:cs="Arial"/>
          <w:sz w:val="22"/>
          <w:szCs w:val="22"/>
          <w:highlight w:val="yellow"/>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7419D9">
        <w:rPr>
          <w:rFonts w:ascii="Avenir Next" w:eastAsiaTheme="minorHAnsi" w:hAnsi="Avenir Next" w:cs="Arial"/>
          <w:sz w:val="22"/>
          <w:szCs w:val="22"/>
          <w:highlight w:val="yellow"/>
          <w:lang w:val="en-GB"/>
        </w:rPr>
        <w:t>The foreign liquidator’s standing to request a stay of the local proceedings</w:t>
      </w:r>
      <w:r w:rsidRPr="00827D56">
        <w:rPr>
          <w:rFonts w:ascii="Avenir Next" w:eastAsiaTheme="minorHAnsi" w:hAnsi="Avenir Next" w:cs="Arial"/>
          <w:sz w:val="22"/>
          <w:szCs w:val="22"/>
          <w:lang w:val="en-GB"/>
        </w:rPr>
        <w:t>.</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003A313" w:rsidR="009B07AD" w:rsidRPr="00827D56" w:rsidRDefault="004C7DA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According to Wessels</w:t>
      </w:r>
      <w:r>
        <w:rPr>
          <w:rStyle w:val="Refdenotaderodap"/>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international insolvency law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AF7D9B5" w:rsidR="009B07AD" w:rsidRPr="00827D56" w:rsidRDefault="00A13A2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the</w:t>
      </w:r>
      <w:r w:rsidR="004C7DAE">
        <w:rPr>
          <w:rFonts w:ascii="Avenir Next" w:hAnsi="Avenir Next" w:cs="Arial"/>
          <w:color w:val="7B7B7B" w:themeColor="accent3" w:themeShade="BF"/>
          <w:sz w:val="22"/>
          <w:szCs w:val="22"/>
          <w:lang w:val="en-GB"/>
        </w:rPr>
        <w:t xml:space="preserve"> concept of universality in cross-border insolvency</w:t>
      </w:r>
      <w:r>
        <w:rPr>
          <w:rFonts w:ascii="Avenir Next" w:hAnsi="Avenir Next" w:cs="Arial"/>
          <w:color w:val="7B7B7B" w:themeColor="accent3" w:themeShade="BF"/>
          <w:sz w:val="22"/>
          <w:szCs w:val="22"/>
          <w:lang w:val="en-GB"/>
        </w:rPr>
        <w:t>, there is a single insolvency proceeding responsible for all the debtor’s assets and debts. On the other hand, in territorialism, there shall be a proceeding in each jurisdiction where the debtor has assets.</w:t>
      </w:r>
      <w:r>
        <w:rPr>
          <w:rStyle w:val="Refdenotaderodap"/>
          <w:rFonts w:ascii="Avenir Next" w:hAnsi="Avenir Next" w:cs="Arial"/>
          <w:color w:val="7B7B7B" w:themeColor="accent3" w:themeShade="BF"/>
          <w:sz w:val="22"/>
          <w:szCs w:val="22"/>
          <w:lang w:val="en-GB"/>
        </w:rPr>
        <w:footnoteReference w:id="2"/>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705E90E" w:rsidR="00C72848" w:rsidRPr="00827D56" w:rsidRDefault="00C72848"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37EE66D" w:rsidR="00544127" w:rsidRPr="00827D56" w:rsidRDefault="00C143C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There are some differences between insolvency for individual and corporations</w:t>
      </w:r>
      <w:r w:rsidR="00BC47EA">
        <w:rPr>
          <w:rFonts w:ascii="Avenir Next" w:hAnsi="Avenir Next" w:cs="Arial"/>
          <w:color w:val="7B7B7B" w:themeColor="accent3" w:themeShade="BF"/>
          <w:sz w:val="22"/>
          <w:szCs w:val="22"/>
          <w:lang w:val="en-GB"/>
        </w:rPr>
        <w:t>, but there are two main ones. First, in terms of consequences and liability, the individual is personally liable, while the corporations can be held responsible by its directors or</w:t>
      </w:r>
      <w:r>
        <w:rPr>
          <w:rFonts w:ascii="Avenir Next" w:hAnsi="Avenir Next" w:cs="Arial"/>
          <w:color w:val="7B7B7B" w:themeColor="accent3" w:themeShade="BF"/>
          <w:sz w:val="22"/>
          <w:szCs w:val="22"/>
          <w:lang w:val="en-GB"/>
        </w:rPr>
        <w:t xml:space="preserve"> </w:t>
      </w:r>
      <w:r w:rsidR="00BC47EA">
        <w:rPr>
          <w:rFonts w:ascii="Avenir Next" w:hAnsi="Avenir Next" w:cs="Arial"/>
          <w:color w:val="7B7B7B" w:themeColor="accent3" w:themeShade="BF"/>
          <w:sz w:val="22"/>
          <w:szCs w:val="22"/>
          <w:lang w:val="en-GB"/>
        </w:rPr>
        <w:t xml:space="preserve">officers. In terms of rehabilitation, while the individual’s insolvency will aim at a fresh start, the </w:t>
      </w:r>
      <w:proofErr w:type="gramStart"/>
      <w:r w:rsidR="00BC47EA">
        <w:rPr>
          <w:rFonts w:ascii="Avenir Next" w:hAnsi="Avenir Next" w:cs="Arial"/>
          <w:color w:val="7B7B7B" w:themeColor="accent3" w:themeShade="BF"/>
          <w:sz w:val="22"/>
          <w:szCs w:val="22"/>
          <w:lang w:val="en-GB"/>
        </w:rPr>
        <w:t>company’s</w:t>
      </w:r>
      <w:proofErr w:type="gramEnd"/>
      <w:r w:rsidR="00BC47EA">
        <w:rPr>
          <w:rFonts w:ascii="Avenir Next" w:hAnsi="Avenir Next" w:cs="Arial"/>
          <w:color w:val="7B7B7B" w:themeColor="accent3" w:themeShade="BF"/>
          <w:sz w:val="22"/>
          <w:szCs w:val="22"/>
          <w:lang w:val="en-GB"/>
        </w:rPr>
        <w:t xml:space="preserve"> will seek to maintain the business.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2C7C820C" w:rsidR="00DF75F8" w:rsidRPr="00827D56" w:rsidRDefault="00BC47EA"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Although “all States with a developed legal system do have </w:t>
      </w:r>
      <w:proofErr w:type="gramStart"/>
      <w:r>
        <w:rPr>
          <w:rFonts w:ascii="Avenir Next" w:hAnsi="Avenir Next" w:cs="Arial"/>
          <w:color w:val="7B7B7B" w:themeColor="accent3" w:themeShade="BF"/>
          <w:sz w:val="22"/>
          <w:szCs w:val="22"/>
          <w:lang w:val="en-GB"/>
        </w:rPr>
        <w:t>some kind of bankruptcy</w:t>
      </w:r>
      <w:r w:rsidR="00F17C49">
        <w:rPr>
          <w:rFonts w:ascii="Avenir Next" w:hAnsi="Avenir Next" w:cs="Arial"/>
          <w:color w:val="7B7B7B" w:themeColor="accent3" w:themeShade="BF"/>
          <w:sz w:val="22"/>
          <w:szCs w:val="22"/>
          <w:lang w:val="en-GB"/>
        </w:rPr>
        <w:t>/insolvency</w:t>
      </w:r>
      <w:proofErr w:type="gramEnd"/>
      <w:r w:rsidR="00F17C49">
        <w:rPr>
          <w:rFonts w:ascii="Avenir Next" w:hAnsi="Avenir Next" w:cs="Arial"/>
          <w:color w:val="7B7B7B" w:themeColor="accent3" w:themeShade="BF"/>
          <w:sz w:val="22"/>
          <w:szCs w:val="22"/>
          <w:lang w:val="en-GB"/>
        </w:rPr>
        <w:t xml:space="preserve"> system”</w:t>
      </w:r>
      <w:r w:rsidR="00F17C49">
        <w:rPr>
          <w:rStyle w:val="Refdenotaderodap"/>
          <w:rFonts w:ascii="Avenir Next" w:hAnsi="Avenir Next" w:cs="Arial"/>
          <w:color w:val="7B7B7B" w:themeColor="accent3" w:themeShade="BF"/>
          <w:sz w:val="22"/>
          <w:szCs w:val="22"/>
          <w:lang w:val="en-GB"/>
        </w:rPr>
        <w:footnoteReference w:id="3"/>
      </w:r>
      <w:r w:rsidR="00F17C49">
        <w:rPr>
          <w:rFonts w:ascii="Avenir Next" w:hAnsi="Avenir Next" w:cs="Arial"/>
          <w:color w:val="7B7B7B" w:themeColor="accent3" w:themeShade="BF"/>
          <w:sz w:val="22"/>
          <w:szCs w:val="22"/>
          <w:lang w:val="en-GB"/>
        </w:rPr>
        <w:t>, “there are differences in approach and policy as well as differences in substantive and procedural rules”</w:t>
      </w:r>
      <w:r w:rsidR="00F17C49">
        <w:rPr>
          <w:rStyle w:val="Refdenotaderodap"/>
          <w:rFonts w:ascii="Avenir Next" w:hAnsi="Avenir Next" w:cs="Arial"/>
          <w:color w:val="7B7B7B" w:themeColor="accent3" w:themeShade="BF"/>
          <w:sz w:val="22"/>
          <w:szCs w:val="22"/>
          <w:lang w:val="en-GB"/>
        </w:rPr>
        <w:footnoteReference w:id="4"/>
      </w:r>
      <w:r w:rsidR="00F17C49">
        <w:rPr>
          <w:rFonts w:ascii="Avenir Next" w:hAnsi="Avenir Next" w:cs="Arial"/>
          <w:color w:val="7B7B7B" w:themeColor="accent3" w:themeShade="BF"/>
          <w:sz w:val="22"/>
          <w:szCs w:val="22"/>
          <w:lang w:val="en-GB"/>
        </w:rPr>
        <w:t xml:space="preserve">. In this sense, a system can be pro-debtor or pro-creditor, have different priority rules, specific rules of disposal, among other elements that require co-operation and co-ordination between jurisdictions.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04F7C8C"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E29B1ED"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73F197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0E1C" w14:textId="77777777" w:rsidR="002964DC" w:rsidRDefault="002964DC" w:rsidP="00241B44">
      <w:r>
        <w:separator/>
      </w:r>
    </w:p>
  </w:endnote>
  <w:endnote w:type="continuationSeparator" w:id="0">
    <w:p w14:paraId="52E50A6B" w14:textId="77777777" w:rsidR="002964DC" w:rsidRDefault="002964D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5FF93316" w:rsidR="00AD6A7D" w:rsidRPr="009634F4" w:rsidRDefault="00AD6A7D" w:rsidP="00B32000">
        <w:pPr>
          <w:pStyle w:val="Rodap"/>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3B4F2576" w:rsidR="00AD6A7D" w:rsidRPr="009634F4" w:rsidRDefault="004627D1" w:rsidP="00AD6A7D">
    <w:pPr>
      <w:pStyle w:val="Rodap"/>
      <w:ind w:right="360"/>
      <w:rPr>
        <w:rFonts w:ascii="Avenir Next" w:hAnsi="Avenir Next" w:cs="Arial"/>
        <w:sz w:val="22"/>
        <w:szCs w:val="22"/>
      </w:rPr>
    </w:pPr>
    <w:r>
      <w:rPr>
        <w:rFonts w:ascii="Avenir Next" w:hAnsi="Avenir Next" w:cs="Arial"/>
        <w:sz w:val="22"/>
        <w:szCs w:val="22"/>
      </w:rPr>
      <w:t>202223-981</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44AB" w14:textId="77777777" w:rsidR="002964DC" w:rsidRDefault="002964DC" w:rsidP="00241B44">
      <w:r>
        <w:separator/>
      </w:r>
    </w:p>
  </w:footnote>
  <w:footnote w:type="continuationSeparator" w:id="0">
    <w:p w14:paraId="6D72C8C2" w14:textId="77777777" w:rsidR="002964DC" w:rsidRDefault="002964DC" w:rsidP="00241B44">
      <w:r>
        <w:continuationSeparator/>
      </w:r>
    </w:p>
  </w:footnote>
  <w:footnote w:id="1">
    <w:p w14:paraId="5AB440DB" w14:textId="493B6C52" w:rsidR="004C7DAE" w:rsidRPr="004C7DAE" w:rsidRDefault="004C7DAE">
      <w:pPr>
        <w:pStyle w:val="Textodenotaderodap"/>
        <w:rPr>
          <w:lang w:val="pt-BR"/>
        </w:rPr>
      </w:pPr>
      <w:r>
        <w:rPr>
          <w:rStyle w:val="Refdenotaderodap"/>
        </w:rPr>
        <w:footnoteRef/>
      </w:r>
      <w:r>
        <w:t xml:space="preserve"> </w:t>
      </w:r>
      <w:r>
        <w:rPr>
          <w:lang w:val="pt-BR"/>
        </w:rPr>
        <w:t xml:space="preserve">B </w:t>
      </w:r>
      <w:proofErr w:type="spellStart"/>
      <w:r>
        <w:rPr>
          <w:lang w:val="pt-BR"/>
        </w:rPr>
        <w:t>Wessels</w:t>
      </w:r>
      <w:proofErr w:type="spellEnd"/>
      <w:r>
        <w:rPr>
          <w:lang w:val="pt-BR"/>
        </w:rPr>
        <w:t xml:space="preserve">, </w:t>
      </w:r>
      <w:proofErr w:type="spellStart"/>
      <w:r w:rsidRPr="004C7DAE">
        <w:rPr>
          <w:i/>
          <w:iCs/>
          <w:lang w:val="pt-BR"/>
        </w:rPr>
        <w:t>International</w:t>
      </w:r>
      <w:proofErr w:type="spellEnd"/>
      <w:r w:rsidRPr="004C7DAE">
        <w:rPr>
          <w:i/>
          <w:iCs/>
          <w:lang w:val="pt-BR"/>
        </w:rPr>
        <w:t xml:space="preserve"> </w:t>
      </w:r>
      <w:proofErr w:type="spellStart"/>
      <w:r w:rsidRPr="004C7DAE">
        <w:rPr>
          <w:i/>
          <w:iCs/>
          <w:lang w:val="pt-BR"/>
        </w:rPr>
        <w:t>Insolvency</w:t>
      </w:r>
      <w:proofErr w:type="spellEnd"/>
      <w:r w:rsidRPr="004C7DAE">
        <w:rPr>
          <w:i/>
          <w:iCs/>
          <w:lang w:val="pt-BR"/>
        </w:rPr>
        <w:t xml:space="preserve"> Law</w:t>
      </w:r>
      <w:r>
        <w:rPr>
          <w:lang w:val="pt-BR"/>
        </w:rPr>
        <w:t xml:space="preserve"> (</w:t>
      </w:r>
      <w:proofErr w:type="spellStart"/>
      <w:r>
        <w:rPr>
          <w:lang w:val="pt-BR"/>
        </w:rPr>
        <w:t>Kluwer</w:t>
      </w:r>
      <w:proofErr w:type="spellEnd"/>
      <w:r>
        <w:rPr>
          <w:lang w:val="pt-BR"/>
        </w:rPr>
        <w:t>, 2006), p 1.</w:t>
      </w:r>
    </w:p>
  </w:footnote>
  <w:footnote w:id="2">
    <w:p w14:paraId="2167C800" w14:textId="01A08E25" w:rsidR="00A13A2E" w:rsidRPr="00A13A2E" w:rsidRDefault="00A13A2E">
      <w:pPr>
        <w:pStyle w:val="Textodenotaderodap"/>
        <w:rPr>
          <w:lang w:val="pt-BR"/>
        </w:rPr>
      </w:pPr>
      <w:r>
        <w:rPr>
          <w:rStyle w:val="Refdenotaderodap"/>
        </w:rPr>
        <w:footnoteRef/>
      </w:r>
      <w:r>
        <w:t xml:space="preserve"> </w:t>
      </w:r>
      <w:r>
        <w:rPr>
          <w:lang w:val="pt-BR"/>
        </w:rPr>
        <w:t xml:space="preserve">BORAINE, André, MASON, </w:t>
      </w:r>
      <w:proofErr w:type="spellStart"/>
      <w:r>
        <w:rPr>
          <w:lang w:val="pt-BR"/>
        </w:rPr>
        <w:t>Rosalind</w:t>
      </w:r>
      <w:proofErr w:type="spellEnd"/>
      <w:r>
        <w:rPr>
          <w:lang w:val="pt-BR"/>
        </w:rPr>
        <w:t xml:space="preserve">, </w:t>
      </w:r>
      <w:proofErr w:type="gramStart"/>
      <w:r w:rsidRPr="00A13A2E">
        <w:rPr>
          <w:i/>
          <w:iCs/>
          <w:lang w:val="pt-BR"/>
        </w:rPr>
        <w:t>Module</w:t>
      </w:r>
      <w:proofErr w:type="gramEnd"/>
      <w:r w:rsidRPr="00A13A2E">
        <w:rPr>
          <w:i/>
          <w:iCs/>
          <w:lang w:val="pt-BR"/>
        </w:rPr>
        <w:t xml:space="preserve"> 1 </w:t>
      </w:r>
      <w:proofErr w:type="spellStart"/>
      <w:r w:rsidRPr="00A13A2E">
        <w:rPr>
          <w:i/>
          <w:iCs/>
          <w:lang w:val="pt-BR"/>
        </w:rPr>
        <w:t>Guidance</w:t>
      </w:r>
      <w:proofErr w:type="spellEnd"/>
      <w:r w:rsidRPr="00A13A2E">
        <w:rPr>
          <w:i/>
          <w:iCs/>
          <w:lang w:val="pt-BR"/>
        </w:rPr>
        <w:t xml:space="preserve"> </w:t>
      </w:r>
      <w:proofErr w:type="spellStart"/>
      <w:r w:rsidRPr="00A13A2E">
        <w:rPr>
          <w:i/>
          <w:iCs/>
          <w:lang w:val="pt-BR"/>
        </w:rPr>
        <w:t>Texte</w:t>
      </w:r>
      <w:proofErr w:type="spellEnd"/>
      <w:r>
        <w:rPr>
          <w:lang w:val="pt-BR"/>
        </w:rPr>
        <w:t xml:space="preserve">: </w:t>
      </w:r>
      <w:proofErr w:type="spellStart"/>
      <w:r>
        <w:rPr>
          <w:lang w:val="pt-BR"/>
        </w:rPr>
        <w:t>introduction</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international</w:t>
      </w:r>
      <w:proofErr w:type="spellEnd"/>
      <w:r>
        <w:rPr>
          <w:lang w:val="pt-BR"/>
        </w:rPr>
        <w:t xml:space="preserve"> </w:t>
      </w:r>
      <w:proofErr w:type="spellStart"/>
      <w:r>
        <w:rPr>
          <w:lang w:val="pt-BR"/>
        </w:rPr>
        <w:t>insolvency</w:t>
      </w:r>
      <w:proofErr w:type="spellEnd"/>
      <w:r>
        <w:rPr>
          <w:lang w:val="pt-BR"/>
        </w:rPr>
        <w:t xml:space="preserve"> </w:t>
      </w:r>
      <w:proofErr w:type="spellStart"/>
      <w:r>
        <w:rPr>
          <w:lang w:val="pt-BR"/>
        </w:rPr>
        <w:t>law</w:t>
      </w:r>
      <w:proofErr w:type="spellEnd"/>
      <w:r>
        <w:rPr>
          <w:lang w:val="pt-BR"/>
        </w:rPr>
        <w:t xml:space="preserve">, INSOL </w:t>
      </w:r>
      <w:proofErr w:type="spellStart"/>
      <w:r>
        <w:rPr>
          <w:lang w:val="pt-BR"/>
        </w:rPr>
        <w:t>International</w:t>
      </w:r>
      <w:proofErr w:type="spellEnd"/>
      <w:r>
        <w:rPr>
          <w:lang w:val="pt-BR"/>
        </w:rPr>
        <w:t xml:space="preserve">, London (2022), p. 37-39. </w:t>
      </w:r>
    </w:p>
  </w:footnote>
  <w:footnote w:id="3">
    <w:p w14:paraId="493B47FF" w14:textId="221C1833" w:rsidR="00F17C49" w:rsidRPr="00F17C49" w:rsidRDefault="00F17C49">
      <w:pPr>
        <w:pStyle w:val="Textodenotaderodap"/>
        <w:rPr>
          <w:lang w:val="pt-BR"/>
        </w:rPr>
      </w:pPr>
      <w:r>
        <w:rPr>
          <w:rStyle w:val="Refdenotaderodap"/>
        </w:rPr>
        <w:footnoteRef/>
      </w:r>
      <w:r>
        <w:t xml:space="preserve"> </w:t>
      </w:r>
      <w:r>
        <w:rPr>
          <w:lang w:val="pt-BR"/>
        </w:rPr>
        <w:t xml:space="preserve">BORAINE, André, MASON, </w:t>
      </w:r>
      <w:proofErr w:type="spellStart"/>
      <w:r>
        <w:rPr>
          <w:lang w:val="pt-BR"/>
        </w:rPr>
        <w:t>Rosalind</w:t>
      </w:r>
      <w:proofErr w:type="spellEnd"/>
      <w:r>
        <w:rPr>
          <w:lang w:val="pt-BR"/>
        </w:rPr>
        <w:t xml:space="preserve">, </w:t>
      </w:r>
      <w:proofErr w:type="gramStart"/>
      <w:r w:rsidRPr="00A13A2E">
        <w:rPr>
          <w:i/>
          <w:iCs/>
          <w:lang w:val="pt-BR"/>
        </w:rPr>
        <w:t>Module</w:t>
      </w:r>
      <w:proofErr w:type="gramEnd"/>
      <w:r w:rsidRPr="00A13A2E">
        <w:rPr>
          <w:i/>
          <w:iCs/>
          <w:lang w:val="pt-BR"/>
        </w:rPr>
        <w:t xml:space="preserve"> 1 </w:t>
      </w:r>
      <w:proofErr w:type="spellStart"/>
      <w:r w:rsidRPr="00A13A2E">
        <w:rPr>
          <w:i/>
          <w:iCs/>
          <w:lang w:val="pt-BR"/>
        </w:rPr>
        <w:t>Guidance</w:t>
      </w:r>
      <w:proofErr w:type="spellEnd"/>
      <w:r w:rsidRPr="00A13A2E">
        <w:rPr>
          <w:i/>
          <w:iCs/>
          <w:lang w:val="pt-BR"/>
        </w:rPr>
        <w:t xml:space="preserve"> </w:t>
      </w:r>
      <w:proofErr w:type="spellStart"/>
      <w:r w:rsidRPr="00A13A2E">
        <w:rPr>
          <w:i/>
          <w:iCs/>
          <w:lang w:val="pt-BR"/>
        </w:rPr>
        <w:t>Texte</w:t>
      </w:r>
      <w:proofErr w:type="spellEnd"/>
      <w:r>
        <w:rPr>
          <w:lang w:val="pt-BR"/>
        </w:rPr>
        <w:t xml:space="preserve">: </w:t>
      </w:r>
      <w:proofErr w:type="spellStart"/>
      <w:r>
        <w:rPr>
          <w:lang w:val="pt-BR"/>
        </w:rPr>
        <w:t>introduction</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international</w:t>
      </w:r>
      <w:proofErr w:type="spellEnd"/>
      <w:r>
        <w:rPr>
          <w:lang w:val="pt-BR"/>
        </w:rPr>
        <w:t xml:space="preserve"> </w:t>
      </w:r>
      <w:proofErr w:type="spellStart"/>
      <w:r>
        <w:rPr>
          <w:lang w:val="pt-BR"/>
        </w:rPr>
        <w:t>insolvency</w:t>
      </w:r>
      <w:proofErr w:type="spellEnd"/>
      <w:r>
        <w:rPr>
          <w:lang w:val="pt-BR"/>
        </w:rPr>
        <w:t xml:space="preserve"> </w:t>
      </w:r>
      <w:proofErr w:type="spellStart"/>
      <w:r>
        <w:rPr>
          <w:lang w:val="pt-BR"/>
        </w:rPr>
        <w:t>law</w:t>
      </w:r>
      <w:proofErr w:type="spellEnd"/>
      <w:r>
        <w:rPr>
          <w:lang w:val="pt-BR"/>
        </w:rPr>
        <w:t xml:space="preserve">, INSOL </w:t>
      </w:r>
      <w:proofErr w:type="spellStart"/>
      <w:r>
        <w:rPr>
          <w:lang w:val="pt-BR"/>
        </w:rPr>
        <w:t>International</w:t>
      </w:r>
      <w:proofErr w:type="spellEnd"/>
      <w:r>
        <w:rPr>
          <w:lang w:val="pt-BR"/>
        </w:rPr>
        <w:t>, London (2022), p. 3.</w:t>
      </w:r>
    </w:p>
  </w:footnote>
  <w:footnote w:id="4">
    <w:p w14:paraId="2AD26506" w14:textId="32D1FD57" w:rsidR="00F17C49" w:rsidRPr="00F17C49" w:rsidRDefault="00F17C49">
      <w:pPr>
        <w:pStyle w:val="Textodenotaderodap"/>
        <w:rPr>
          <w:lang w:val="pt-BR"/>
        </w:rPr>
      </w:pPr>
      <w:r>
        <w:rPr>
          <w:rStyle w:val="Refdenotaderodap"/>
        </w:rPr>
        <w:footnoteRef/>
      </w:r>
      <w:r>
        <w:t xml:space="preserve"> </w:t>
      </w:r>
      <w:r>
        <w:rPr>
          <w:lang w:val="pt-BR"/>
        </w:rPr>
        <w:t xml:space="preserve">BORAINE, André, MASON, </w:t>
      </w:r>
      <w:proofErr w:type="spellStart"/>
      <w:r>
        <w:rPr>
          <w:lang w:val="pt-BR"/>
        </w:rPr>
        <w:t>Rosalind</w:t>
      </w:r>
      <w:proofErr w:type="spellEnd"/>
      <w:r>
        <w:rPr>
          <w:lang w:val="pt-BR"/>
        </w:rPr>
        <w:t xml:space="preserve">, </w:t>
      </w:r>
      <w:proofErr w:type="gramStart"/>
      <w:r w:rsidRPr="00A13A2E">
        <w:rPr>
          <w:i/>
          <w:iCs/>
          <w:lang w:val="pt-BR"/>
        </w:rPr>
        <w:t>Module</w:t>
      </w:r>
      <w:proofErr w:type="gramEnd"/>
      <w:r w:rsidRPr="00A13A2E">
        <w:rPr>
          <w:i/>
          <w:iCs/>
          <w:lang w:val="pt-BR"/>
        </w:rPr>
        <w:t xml:space="preserve"> 1 </w:t>
      </w:r>
      <w:proofErr w:type="spellStart"/>
      <w:r w:rsidRPr="00A13A2E">
        <w:rPr>
          <w:i/>
          <w:iCs/>
          <w:lang w:val="pt-BR"/>
        </w:rPr>
        <w:t>Guidance</w:t>
      </w:r>
      <w:proofErr w:type="spellEnd"/>
      <w:r w:rsidRPr="00A13A2E">
        <w:rPr>
          <w:i/>
          <w:iCs/>
          <w:lang w:val="pt-BR"/>
        </w:rPr>
        <w:t xml:space="preserve"> </w:t>
      </w:r>
      <w:proofErr w:type="spellStart"/>
      <w:r w:rsidRPr="00A13A2E">
        <w:rPr>
          <w:i/>
          <w:iCs/>
          <w:lang w:val="pt-BR"/>
        </w:rPr>
        <w:t>Texte</w:t>
      </w:r>
      <w:proofErr w:type="spellEnd"/>
      <w:r>
        <w:rPr>
          <w:lang w:val="pt-BR"/>
        </w:rPr>
        <w:t xml:space="preserve">: </w:t>
      </w:r>
      <w:proofErr w:type="spellStart"/>
      <w:r>
        <w:rPr>
          <w:lang w:val="pt-BR"/>
        </w:rPr>
        <w:t>introduction</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international</w:t>
      </w:r>
      <w:proofErr w:type="spellEnd"/>
      <w:r>
        <w:rPr>
          <w:lang w:val="pt-BR"/>
        </w:rPr>
        <w:t xml:space="preserve"> </w:t>
      </w:r>
      <w:proofErr w:type="spellStart"/>
      <w:r>
        <w:rPr>
          <w:lang w:val="pt-BR"/>
        </w:rPr>
        <w:t>insolvency</w:t>
      </w:r>
      <w:proofErr w:type="spellEnd"/>
      <w:r>
        <w:rPr>
          <w:lang w:val="pt-BR"/>
        </w:rPr>
        <w:t xml:space="preserve"> </w:t>
      </w:r>
      <w:proofErr w:type="spellStart"/>
      <w:r>
        <w:rPr>
          <w:lang w:val="pt-BR"/>
        </w:rPr>
        <w:t>law</w:t>
      </w:r>
      <w:proofErr w:type="spellEnd"/>
      <w:r>
        <w:rPr>
          <w:lang w:val="pt-BR"/>
        </w:rPr>
        <w:t xml:space="preserve">, INSOL </w:t>
      </w:r>
      <w:proofErr w:type="spellStart"/>
      <w:r>
        <w:rPr>
          <w:lang w:val="pt-BR"/>
        </w:rPr>
        <w:t>International</w:t>
      </w:r>
      <w:proofErr w:type="spellEnd"/>
      <w:r>
        <w:rPr>
          <w:lang w:val="pt-BR"/>
        </w:rPr>
        <w:t>, London (2022), p.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22583193">
    <w:abstractNumId w:val="17"/>
  </w:num>
  <w:num w:numId="2" w16cid:durableId="1272477014">
    <w:abstractNumId w:val="19"/>
  </w:num>
  <w:num w:numId="3" w16cid:durableId="528180955">
    <w:abstractNumId w:val="5"/>
  </w:num>
  <w:num w:numId="4" w16cid:durableId="1596749869">
    <w:abstractNumId w:val="2"/>
  </w:num>
  <w:num w:numId="5" w16cid:durableId="2078277970">
    <w:abstractNumId w:val="8"/>
  </w:num>
  <w:num w:numId="6" w16cid:durableId="154347416">
    <w:abstractNumId w:val="14"/>
  </w:num>
  <w:num w:numId="7" w16cid:durableId="1909264293">
    <w:abstractNumId w:val="20"/>
  </w:num>
  <w:num w:numId="8" w16cid:durableId="949895652">
    <w:abstractNumId w:val="13"/>
  </w:num>
  <w:num w:numId="9" w16cid:durableId="662975611">
    <w:abstractNumId w:val="4"/>
  </w:num>
  <w:num w:numId="10" w16cid:durableId="1367409737">
    <w:abstractNumId w:val="7"/>
  </w:num>
  <w:num w:numId="11" w16cid:durableId="10574642">
    <w:abstractNumId w:val="6"/>
  </w:num>
  <w:num w:numId="12" w16cid:durableId="632104753">
    <w:abstractNumId w:val="3"/>
  </w:num>
  <w:num w:numId="13" w16cid:durableId="2041126744">
    <w:abstractNumId w:val="11"/>
  </w:num>
  <w:num w:numId="14" w16cid:durableId="1666934317">
    <w:abstractNumId w:val="0"/>
  </w:num>
  <w:num w:numId="15" w16cid:durableId="476413664">
    <w:abstractNumId w:val="1"/>
  </w:num>
  <w:num w:numId="16" w16cid:durableId="680278269">
    <w:abstractNumId w:val="12"/>
  </w:num>
  <w:num w:numId="17" w16cid:durableId="427392276">
    <w:abstractNumId w:val="10"/>
  </w:num>
  <w:num w:numId="18" w16cid:durableId="1524051109">
    <w:abstractNumId w:val="18"/>
  </w:num>
  <w:num w:numId="19" w16cid:durableId="1379937517">
    <w:abstractNumId w:val="15"/>
  </w:num>
  <w:num w:numId="20" w16cid:durableId="1858931563">
    <w:abstractNumId w:val="21"/>
  </w:num>
  <w:num w:numId="21" w16cid:durableId="1088959215">
    <w:abstractNumId w:val="16"/>
  </w:num>
  <w:num w:numId="22" w16cid:durableId="156795825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2785"/>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4DC"/>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4972"/>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27D1"/>
    <w:rsid w:val="00491675"/>
    <w:rsid w:val="00493855"/>
    <w:rsid w:val="004A16A3"/>
    <w:rsid w:val="004A57DD"/>
    <w:rsid w:val="004A7B51"/>
    <w:rsid w:val="004A7D71"/>
    <w:rsid w:val="004A7EF3"/>
    <w:rsid w:val="004B11FD"/>
    <w:rsid w:val="004B23A2"/>
    <w:rsid w:val="004C1306"/>
    <w:rsid w:val="004C7DAE"/>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77E90"/>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419D9"/>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57DEB"/>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3A2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32000"/>
    <w:rsid w:val="00B72AE1"/>
    <w:rsid w:val="00B736DF"/>
    <w:rsid w:val="00B74FBD"/>
    <w:rsid w:val="00B82586"/>
    <w:rsid w:val="00B86DB1"/>
    <w:rsid w:val="00B87869"/>
    <w:rsid w:val="00BB0F2B"/>
    <w:rsid w:val="00BC47EA"/>
    <w:rsid w:val="00BF1C6F"/>
    <w:rsid w:val="00BF50F7"/>
    <w:rsid w:val="00C02F29"/>
    <w:rsid w:val="00C053F7"/>
    <w:rsid w:val="00C143CE"/>
    <w:rsid w:val="00C22A25"/>
    <w:rsid w:val="00C33C6C"/>
    <w:rsid w:val="00C35671"/>
    <w:rsid w:val="00C35B77"/>
    <w:rsid w:val="00C376EB"/>
    <w:rsid w:val="00C46EC1"/>
    <w:rsid w:val="00C53E2C"/>
    <w:rsid w:val="00C550C8"/>
    <w:rsid w:val="00C606C3"/>
    <w:rsid w:val="00C72848"/>
    <w:rsid w:val="00C7736C"/>
    <w:rsid w:val="00C82D87"/>
    <w:rsid w:val="00C8712A"/>
    <w:rsid w:val="00C92F5F"/>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17C49"/>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6F3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4BD84408-10E4-402D-A582-7D042955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2597</Words>
  <Characters>14029</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GC</cp:lastModifiedBy>
  <cp:revision>2</cp:revision>
  <cp:lastPrinted>2019-09-04T15:45:00Z</cp:lastPrinted>
  <dcterms:created xsi:type="dcterms:W3CDTF">2022-07-28T08:04:00Z</dcterms:created>
  <dcterms:modified xsi:type="dcterms:W3CDTF">2022-10-15T21:55:00Z</dcterms:modified>
</cp:coreProperties>
</file>