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lastRenderedPageBreak/>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lastRenderedPageBreak/>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41662D" w:rsidRDefault="00B736DF" w:rsidP="009E1027">
      <w:pPr>
        <w:pStyle w:val="ListParagraph"/>
        <w:numPr>
          <w:ilvl w:val="0"/>
          <w:numId w:val="12"/>
        </w:numPr>
        <w:ind w:left="426"/>
        <w:jc w:val="both"/>
        <w:rPr>
          <w:rFonts w:ascii="Avenir Next" w:hAnsi="Avenir Next" w:cs="Arial"/>
          <w:sz w:val="22"/>
          <w:szCs w:val="22"/>
          <w:highlight w:val="yellow"/>
          <w:lang w:val="en-GB"/>
        </w:rPr>
      </w:pPr>
      <w:r w:rsidRPr="0041662D">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41662D" w:rsidRDefault="00161F1B" w:rsidP="009E1027">
      <w:pPr>
        <w:pStyle w:val="ListParagraph"/>
        <w:numPr>
          <w:ilvl w:val="0"/>
          <w:numId w:val="13"/>
        </w:numPr>
        <w:ind w:left="426"/>
        <w:jc w:val="both"/>
        <w:rPr>
          <w:rFonts w:ascii="Avenir Next" w:hAnsi="Avenir Next" w:cs="Arial"/>
          <w:sz w:val="22"/>
          <w:szCs w:val="22"/>
          <w:highlight w:val="yellow"/>
          <w:lang w:val="en-GB"/>
        </w:rPr>
      </w:pPr>
      <w:r w:rsidRPr="0041662D">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41662D" w:rsidRDefault="009E2E27" w:rsidP="008031A7">
      <w:pPr>
        <w:pStyle w:val="ListParagraph"/>
        <w:numPr>
          <w:ilvl w:val="0"/>
          <w:numId w:val="14"/>
        </w:numPr>
        <w:ind w:left="426"/>
        <w:jc w:val="both"/>
        <w:rPr>
          <w:rFonts w:ascii="Avenir Next" w:hAnsi="Avenir Next" w:cs="Arial"/>
          <w:sz w:val="22"/>
          <w:szCs w:val="22"/>
          <w:highlight w:val="yellow"/>
          <w:lang w:val="en-GB"/>
        </w:rPr>
      </w:pPr>
      <w:r w:rsidRPr="0041662D">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41662D" w:rsidRDefault="009E2E27" w:rsidP="008031A7">
      <w:pPr>
        <w:pStyle w:val="ListParagraph"/>
        <w:numPr>
          <w:ilvl w:val="0"/>
          <w:numId w:val="15"/>
        </w:numPr>
        <w:ind w:left="426"/>
        <w:jc w:val="both"/>
        <w:rPr>
          <w:rFonts w:ascii="Avenir Next" w:hAnsi="Avenir Next" w:cs="Arial"/>
          <w:sz w:val="22"/>
          <w:szCs w:val="22"/>
          <w:highlight w:val="yellow"/>
          <w:lang w:val="en-GB"/>
        </w:rPr>
      </w:pPr>
      <w:r w:rsidRPr="0041662D">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41662D">
        <w:rPr>
          <w:rFonts w:ascii="Avenir Next" w:hAnsi="Avenir Next" w:cs="Arial"/>
          <w:sz w:val="22"/>
          <w:szCs w:val="22"/>
          <w:highlight w:val="yellow"/>
          <w:lang w:val="en-GB"/>
        </w:rPr>
        <w:t>The statement</w:t>
      </w:r>
      <w:r w:rsidR="0037465A" w:rsidRPr="0041662D">
        <w:rPr>
          <w:rFonts w:ascii="Avenir Next" w:hAnsi="Avenir Next" w:cs="Arial"/>
          <w:sz w:val="22"/>
          <w:szCs w:val="22"/>
          <w:highlight w:val="yellow"/>
          <w:lang w:val="en-GB"/>
        </w:rPr>
        <w:t xml:space="preserve"> is untrue, the requirements and principles do differ and pose problems in a cross-border case</w:t>
      </w:r>
      <w:r w:rsidR="0037465A" w:rsidRPr="00827D56">
        <w:rPr>
          <w:rFonts w:ascii="Avenir Next" w:hAnsi="Avenir Next" w:cs="Arial"/>
          <w:sz w:val="22"/>
          <w:szCs w:val="22"/>
          <w:lang w:val="en-GB"/>
        </w:rPr>
        <w:t>.</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1E3AAC"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1E3AAC">
        <w:rPr>
          <w:rFonts w:ascii="Avenir Next" w:eastAsiaTheme="minorHAnsi" w:hAnsi="Avenir Next" w:cs="Arial"/>
          <w:sz w:val="22"/>
          <w:szCs w:val="22"/>
          <w:highlight w:val="yellow"/>
          <w:lang w:val="en-GB"/>
        </w:rPr>
        <w:t>Public International Law</w:t>
      </w:r>
      <w:r w:rsidR="00991428" w:rsidRPr="001E3AAC">
        <w:rPr>
          <w:rFonts w:ascii="Avenir Next" w:eastAsiaTheme="minorHAnsi" w:hAnsi="Avenir Next" w:cs="Arial"/>
          <w:sz w:val="22"/>
          <w:szCs w:val="22"/>
          <w:highlight w:val="yellow"/>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Private International Law</w:t>
      </w:r>
      <w:r w:rsidR="00991428" w:rsidRPr="00827D56">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27D56" w:rsidRDefault="004D1A5A" w:rsidP="006D01C2">
      <w:pPr>
        <w:pStyle w:val="ListParagraph"/>
        <w:numPr>
          <w:ilvl w:val="0"/>
          <w:numId w:val="18"/>
        </w:numPr>
        <w:ind w:left="426"/>
        <w:jc w:val="both"/>
        <w:rPr>
          <w:rFonts w:ascii="Avenir Next" w:hAnsi="Avenir Next" w:cs="Arial"/>
          <w:sz w:val="22"/>
          <w:szCs w:val="22"/>
          <w:lang w:val="en-GB"/>
        </w:rPr>
      </w:pPr>
      <w:r w:rsidRPr="001E3AAC">
        <w:rPr>
          <w:rFonts w:ascii="Avenir Next" w:hAnsi="Avenir Next" w:cs="Arial"/>
          <w:sz w:val="22"/>
          <w:szCs w:val="22"/>
          <w:highlight w:val="yellow"/>
          <w:lang w:val="en-GB"/>
        </w:rPr>
        <w:t>UNCITRAL Model Law on Cross-border Insolvency (1997)</w:t>
      </w:r>
      <w:r w:rsidR="00912C79" w:rsidRPr="001E3AAC">
        <w:rPr>
          <w:rFonts w:ascii="Avenir Next" w:hAnsi="Avenir Next" w:cs="Arial"/>
          <w:sz w:val="22"/>
          <w:szCs w:val="22"/>
          <w:highlight w:val="yellow"/>
          <w:lang w:val="en-GB"/>
        </w:rPr>
        <w:t>.</w:t>
      </w:r>
      <w:r w:rsidRPr="00827D56">
        <w:rPr>
          <w:rFonts w:ascii="Avenir Next" w:hAnsi="Avenir Next" w:cs="Arial"/>
          <w:sz w:val="22"/>
          <w:szCs w:val="22"/>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1E3AAC"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1E3AAC">
        <w:rPr>
          <w:rFonts w:ascii="Avenir Next" w:hAnsi="Avenir Next" w:cs="Arial"/>
          <w:sz w:val="22"/>
          <w:szCs w:val="22"/>
          <w:highlight w:val="yellow"/>
          <w:lang w:val="en-GB"/>
        </w:rPr>
        <w:t>Havana Convention on Private International Law (1928)</w:t>
      </w:r>
      <w:r w:rsidRPr="001E3AAC">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DB7E37" w:rsidRDefault="0082483F" w:rsidP="006D01C2">
      <w:pPr>
        <w:pStyle w:val="ListParagraph"/>
        <w:numPr>
          <w:ilvl w:val="0"/>
          <w:numId w:val="20"/>
        </w:numPr>
        <w:ind w:left="426"/>
        <w:jc w:val="both"/>
        <w:rPr>
          <w:rFonts w:ascii="Avenir Next" w:hAnsi="Avenir Next" w:cs="Arial"/>
          <w:sz w:val="22"/>
          <w:szCs w:val="22"/>
          <w:highlight w:val="yellow"/>
          <w:lang w:val="en-GB"/>
        </w:rPr>
      </w:pPr>
      <w:r w:rsidRPr="00DB7E37">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A centralised insolvency register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w:t>
      </w:r>
      <w:r w:rsidRPr="00827D56">
        <w:rPr>
          <w:rFonts w:ascii="Avenir Next" w:hAnsi="Avenir Next" w:cs="Arial"/>
          <w:sz w:val="22"/>
          <w:szCs w:val="22"/>
          <w:lang w:val="en-GB"/>
        </w:rPr>
        <w:lastRenderedPageBreak/>
        <w:t>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64291F"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64291F">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5887B22F" w:rsidR="009B07AD" w:rsidRPr="00827D56" w:rsidRDefault="00D44CF0"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There are various definitions but to summarise the definition provided by Fletcher (and referred to by Wessels), it is a situation which goes beyond the remit of a single legal </w:t>
      </w:r>
      <w:proofErr w:type="spellStart"/>
      <w:r>
        <w:rPr>
          <w:rFonts w:ascii="Avenir Next" w:hAnsi="Avenir Next" w:cs="Arial"/>
          <w:color w:val="7B7B7B" w:themeColor="accent3" w:themeShade="BF"/>
          <w:sz w:val="22"/>
          <w:szCs w:val="22"/>
          <w:lang w:val="en-GB"/>
        </w:rPr>
        <w:t>legal</w:t>
      </w:r>
      <w:proofErr w:type="spellEnd"/>
      <w:r>
        <w:rPr>
          <w:rFonts w:ascii="Avenir Next" w:hAnsi="Avenir Next" w:cs="Arial"/>
          <w:color w:val="7B7B7B" w:themeColor="accent3" w:themeShade="BF"/>
          <w:sz w:val="22"/>
          <w:szCs w:val="22"/>
          <w:lang w:val="en-GB"/>
        </w:rPr>
        <w:t xml:space="preserve"> system so that the single set of domestic insolvency law principles cannot be applied immediately and exclusively without consideration of the issues raised by the foreign aspects of the particular case.</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059367D5" w14:textId="1F5C761B" w:rsidR="00834CBA" w:rsidRDefault="00DA7953"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Universality is </w:t>
      </w:r>
      <w:r w:rsidR="00834CBA">
        <w:rPr>
          <w:rFonts w:ascii="Avenir Next" w:hAnsi="Avenir Next" w:cs="Arial"/>
          <w:color w:val="7B7B7B" w:themeColor="accent3" w:themeShade="BF"/>
          <w:sz w:val="22"/>
          <w:szCs w:val="22"/>
          <w:lang w:val="en-GB"/>
        </w:rPr>
        <w:t xml:space="preserve">the principle of only one insolvency proceedings which covers all of the Debtor’s assets and debts worldwide. This means that, once proceedings are commenced in one forum, no other insolvency proceedings should be commenced elsewhere, nor should any other form of execution against the Debtor’s assets occur. The premise of universality is that all the debtor’s assets should be included in the proceedings based in that one forum and the officeholder should have the tools to control, obtain and distribute those assets. All creditors worldwide should be able to participate in the proceedings on an equal basis. </w:t>
      </w:r>
    </w:p>
    <w:p w14:paraId="21DA786C" w14:textId="2DC1D861" w:rsidR="00834CBA" w:rsidRDefault="00834CBA"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br/>
        <w:t xml:space="preserve">There are difference approaches to the way in which this could take effect. For example, the State with jurisdiction could be that in which the Debtor’s Centre of Main Interests is located. Alternatively, there could be an insolvency law which applies worldwide. </w:t>
      </w:r>
    </w:p>
    <w:p w14:paraId="2F57801B" w14:textId="1663968D" w:rsidR="009B07AD" w:rsidRDefault="00834CBA"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 </w:t>
      </w:r>
    </w:p>
    <w:p w14:paraId="14D11863" w14:textId="056FA361" w:rsidR="00DA7953" w:rsidRPr="00827D56" w:rsidRDefault="00DA7953"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Territoriality is </w:t>
      </w:r>
      <w:r w:rsidR="00834CBA">
        <w:rPr>
          <w:rFonts w:ascii="Avenir Next" w:hAnsi="Avenir Next" w:cs="Arial"/>
          <w:color w:val="7B7B7B" w:themeColor="accent3" w:themeShade="BF"/>
          <w:sz w:val="22"/>
          <w:szCs w:val="22"/>
          <w:lang w:val="en-GB"/>
        </w:rPr>
        <w:t>based on the opposite principle, namely that proceedings may be commenced in any jurisdiction or State in which the Debtor has assets but that the proceedings must (</w:t>
      </w:r>
      <w:proofErr w:type="spellStart"/>
      <w:r w:rsidR="00834CBA">
        <w:rPr>
          <w:rFonts w:ascii="Avenir Next" w:hAnsi="Avenir Next" w:cs="Arial"/>
          <w:color w:val="7B7B7B" w:themeColor="accent3" w:themeShade="BF"/>
          <w:sz w:val="22"/>
          <w:szCs w:val="22"/>
          <w:lang w:val="en-GB"/>
        </w:rPr>
        <w:t>i</w:t>
      </w:r>
      <w:proofErr w:type="spellEnd"/>
      <w:r w:rsidR="00834CBA">
        <w:rPr>
          <w:rFonts w:ascii="Avenir Next" w:hAnsi="Avenir Next" w:cs="Arial"/>
          <w:color w:val="7B7B7B" w:themeColor="accent3" w:themeShade="BF"/>
          <w:sz w:val="22"/>
          <w:szCs w:val="22"/>
          <w:lang w:val="en-GB"/>
        </w:rPr>
        <w:t>) be limited to property in that State in which the proceedings are commenced and (ii) those proceedings should be territorially limited. As such, there may be multiple insolvency proceedings worldwide against the same Debtor.</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572227E7" w14:textId="03FB564F" w:rsidR="0045683E" w:rsidRDefault="00767FA7" w:rsidP="00767FA7">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Model Law on Cross-Border Insolvency was adopted by Bahrain in 2018 and by the Dubai International Financial Centre in 2019 to address international insolvency issues</w:t>
      </w:r>
    </w:p>
    <w:p w14:paraId="7FF098DB" w14:textId="4367DF36" w:rsidR="00767FA7" w:rsidRPr="00617BE9" w:rsidRDefault="00617BE9" w:rsidP="00617BE9">
      <w:pPr>
        <w:pStyle w:val="ListParagraph"/>
        <w:numPr>
          <w:ilvl w:val="0"/>
          <w:numId w:val="23"/>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w:t>
      </w:r>
      <w:r w:rsidRPr="00617BE9">
        <w:rPr>
          <w:rFonts w:ascii="Avenir Next" w:hAnsi="Avenir Next" w:cs="Arial"/>
          <w:color w:val="7B7B7B" w:themeColor="accent3" w:themeShade="BF"/>
          <w:sz w:val="22"/>
          <w:szCs w:val="22"/>
          <w:lang w:val="en-GB"/>
        </w:rPr>
        <w:t>he</w:t>
      </w:r>
      <w:r w:rsidR="00767FA7" w:rsidRPr="00617BE9">
        <w:rPr>
          <w:rFonts w:ascii="Avenir Next" w:hAnsi="Avenir Next" w:cs="Arial"/>
          <w:color w:val="7B7B7B" w:themeColor="accent3" w:themeShade="BF"/>
          <w:sz w:val="22"/>
          <w:szCs w:val="22"/>
          <w:lang w:val="en-GB"/>
        </w:rPr>
        <w:t xml:space="preserve"> UAE </w:t>
      </w:r>
      <w:r w:rsidRPr="00617BE9">
        <w:rPr>
          <w:rFonts w:ascii="Avenir Next" w:hAnsi="Avenir Next" w:cs="Arial"/>
          <w:color w:val="7B7B7B" w:themeColor="accent3" w:themeShade="BF"/>
          <w:sz w:val="22"/>
          <w:szCs w:val="22"/>
          <w:lang w:val="en-GB"/>
        </w:rPr>
        <w:t>enact</w:t>
      </w:r>
      <w:r>
        <w:rPr>
          <w:rFonts w:ascii="Avenir Next" w:hAnsi="Avenir Next" w:cs="Arial"/>
          <w:color w:val="7B7B7B" w:themeColor="accent3" w:themeShade="BF"/>
          <w:sz w:val="22"/>
          <w:szCs w:val="22"/>
          <w:lang w:val="en-GB"/>
        </w:rPr>
        <w:t>ed</w:t>
      </w:r>
      <w:r w:rsidRPr="00617BE9">
        <w:rPr>
          <w:rFonts w:ascii="Avenir Next" w:hAnsi="Avenir Next" w:cs="Arial"/>
          <w:color w:val="7B7B7B" w:themeColor="accent3" w:themeShade="BF"/>
          <w:sz w:val="22"/>
          <w:szCs w:val="22"/>
          <w:lang w:val="en-GB"/>
        </w:rPr>
        <w:t xml:space="preserve"> the </w:t>
      </w:r>
      <w:r>
        <w:rPr>
          <w:rFonts w:ascii="Avenir Next" w:hAnsi="Avenir Next" w:cs="Arial"/>
          <w:color w:val="7B7B7B" w:themeColor="accent3" w:themeShade="BF"/>
          <w:sz w:val="22"/>
          <w:szCs w:val="22"/>
          <w:lang w:val="en-GB"/>
        </w:rPr>
        <w:t xml:space="preserve">domestic </w:t>
      </w:r>
      <w:r w:rsidR="00767FA7" w:rsidRPr="00617BE9">
        <w:rPr>
          <w:rFonts w:ascii="Avenir Next" w:hAnsi="Avenir Next" w:cs="Arial"/>
          <w:color w:val="7B7B7B" w:themeColor="accent3" w:themeShade="BF"/>
          <w:sz w:val="22"/>
          <w:szCs w:val="22"/>
          <w:lang w:val="en-GB"/>
        </w:rPr>
        <w:t>Federal Law by Decree (no.9) of 2016 on Bankruptcy and Federal Decree</w:t>
      </w:r>
      <w:r w:rsidRPr="00617BE9">
        <w:rPr>
          <w:rFonts w:ascii="Avenir Next" w:hAnsi="Avenir Next" w:cs="Arial"/>
          <w:color w:val="7B7B7B" w:themeColor="accent3" w:themeShade="BF"/>
          <w:sz w:val="22"/>
          <w:szCs w:val="22"/>
          <w:lang w:val="en-GB"/>
        </w:rPr>
        <w:t xml:space="preserve"> Law No.(19) of 2019 on Insolvency in 2016 and 2019 respectively</w:t>
      </w:r>
    </w:p>
    <w:p w14:paraId="671D8F9A" w14:textId="48EABEE4" w:rsidR="00617BE9" w:rsidRPr="00827D56" w:rsidRDefault="00617BE9" w:rsidP="00617BE9">
      <w:pPr>
        <w:pStyle w:val="ListParagraph"/>
        <w:numPr>
          <w:ilvl w:val="0"/>
          <w:numId w:val="23"/>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Saudi Arabia enacted a new domestic Bankruptcy Law in 2018</w:t>
      </w:r>
    </w:p>
    <w:p w14:paraId="383B5930" w14:textId="77777777" w:rsidR="00C550C8" w:rsidRPr="00827D56" w:rsidRDefault="00C550C8" w:rsidP="00C053F7">
      <w:pPr>
        <w:jc w:val="both"/>
        <w:rPr>
          <w:rFonts w:ascii="Avenir Next" w:hAnsi="Avenir Next" w:cs="Arial"/>
          <w:sz w:val="22"/>
          <w:szCs w:val="22"/>
          <w:lang w:val="en-GB"/>
        </w:rPr>
      </w:pPr>
    </w:p>
    <w:p w14:paraId="608DD0BD" w14:textId="77777777" w:rsidR="00286AE6" w:rsidRPr="00827D56" w:rsidRDefault="00286AE6">
      <w:pPr>
        <w:rPr>
          <w:rFonts w:ascii="Avenir Next" w:hAnsi="Avenir Next" w:cs="Arial"/>
          <w:b/>
          <w:sz w:val="22"/>
          <w:szCs w:val="22"/>
          <w:lang w:val="en-GB"/>
        </w:rPr>
      </w:pPr>
      <w:r w:rsidRPr="00827D56">
        <w:rPr>
          <w:rFonts w:ascii="Avenir Next" w:hAnsi="Avenir Next" w:cs="Arial"/>
          <w:b/>
          <w:sz w:val="22"/>
          <w:szCs w:val="22"/>
          <w:lang w:val="en-GB"/>
        </w:rPr>
        <w:br w:type="page"/>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69EC9317" w:rsidR="00C550C8" w:rsidRPr="00827D56" w:rsidRDefault="00C550C8" w:rsidP="00C053F7">
      <w:pPr>
        <w:jc w:val="both"/>
        <w:rPr>
          <w:rFonts w:ascii="Avenir Next" w:hAnsi="Avenir Next" w:cs="Arial"/>
          <w:sz w:val="22"/>
          <w:szCs w:val="22"/>
          <w:lang w:val="en-GB"/>
        </w:rPr>
      </w:pPr>
    </w:p>
    <w:p w14:paraId="042AC82D" w14:textId="77777777" w:rsidR="00074CD9" w:rsidRDefault="00074CD9"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Sealy and Hooley describe the difference, which can be summarised as follows:</w:t>
      </w:r>
    </w:p>
    <w:p w14:paraId="4024A332" w14:textId="55D00C48" w:rsidR="00544127" w:rsidRDefault="00074CD9" w:rsidP="00074CD9">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individual bankruptcies; on the one hand, to protect the bankrupt from individual creditors harassing him or her for payment and to enable the bankrupt to make a fresh start (unless there is some reason for preventing or postponing the same in cases of blameworthy conduct). On the other hand, to reduce his or her indebtedness to creditors from assets and present and future income, whilst taking into account his or her personal circumstances.</w:t>
      </w:r>
    </w:p>
    <w:p w14:paraId="7BCE9424" w14:textId="291E0B89" w:rsidR="00074CD9" w:rsidRPr="00074CD9" w:rsidRDefault="00074CD9" w:rsidP="00074CD9">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corporate insolvencies; on the one hand to preserve the business, whether entirely or in part (which will not necessarily include preserving the company itself) and on the other hand to reduce its indebtedness to its creditors, which may include imposing personal liability on responsible people.  </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6C9CE57" w14:textId="4CB3681B" w:rsidR="004A6393" w:rsidRDefault="004A6393" w:rsidP="00C053F7">
      <w:pPr>
        <w:jc w:val="both"/>
        <w:rPr>
          <w:rFonts w:ascii="Avenir Next" w:hAnsi="Avenir Next" w:cs="Arial"/>
          <w:sz w:val="22"/>
          <w:szCs w:val="22"/>
          <w:lang w:val="en-GB"/>
        </w:rPr>
      </w:pPr>
    </w:p>
    <w:p w14:paraId="19ADB824" w14:textId="39FC54A3" w:rsidR="00944C5B" w:rsidRDefault="00944C5B" w:rsidP="00C053F7">
      <w:pPr>
        <w:jc w:val="both"/>
        <w:rPr>
          <w:rFonts w:ascii="Avenir Next" w:hAnsi="Avenir Next" w:cs="Arial"/>
          <w:sz w:val="22"/>
          <w:szCs w:val="22"/>
          <w:lang w:val="en-GB"/>
        </w:rPr>
      </w:pPr>
      <w:r>
        <w:rPr>
          <w:rFonts w:ascii="Avenir Next" w:hAnsi="Avenir Next" w:cs="Arial"/>
          <w:sz w:val="22"/>
          <w:szCs w:val="22"/>
          <w:lang w:val="en-GB"/>
        </w:rPr>
        <w:t>It may be difficult to define a common insolvency language. For example, the definition of “insolvency” in one jurisdiction may differ from another, particularly where the definition is dependent on, for example, the degree of a state of illiquidity.</w:t>
      </w:r>
    </w:p>
    <w:p w14:paraId="69C6B560" w14:textId="77777777" w:rsidR="004A6393" w:rsidRPr="00827D56" w:rsidRDefault="004A6393" w:rsidP="00C053F7">
      <w:pPr>
        <w:jc w:val="both"/>
        <w:rPr>
          <w:rFonts w:ascii="Avenir Next" w:hAnsi="Avenir Next" w:cs="Arial"/>
          <w:sz w:val="22"/>
          <w:szCs w:val="22"/>
          <w:lang w:val="en-GB"/>
        </w:rPr>
      </w:pPr>
    </w:p>
    <w:p w14:paraId="4FD8C34F" w14:textId="16B64D41" w:rsidR="004A6393" w:rsidRDefault="004A6393"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is a</w:t>
      </w:r>
      <w:r w:rsidR="00944C5B">
        <w:rPr>
          <w:rFonts w:ascii="Avenir Next" w:hAnsi="Avenir Next" w:cs="Arial"/>
          <w:color w:val="7B7B7B" w:themeColor="accent3" w:themeShade="BF"/>
          <w:sz w:val="22"/>
          <w:szCs w:val="22"/>
          <w:lang w:val="en-GB"/>
        </w:rPr>
        <w:t>lso a</w:t>
      </w:r>
      <w:r>
        <w:rPr>
          <w:rFonts w:ascii="Avenir Next" w:hAnsi="Avenir Next" w:cs="Arial"/>
          <w:color w:val="7B7B7B" w:themeColor="accent3" w:themeShade="BF"/>
          <w:sz w:val="22"/>
          <w:szCs w:val="22"/>
          <w:lang w:val="en-GB"/>
        </w:rPr>
        <w:t xml:space="preserve"> clear dividing line between ‘pro-creditor’ and ‘pro-debtor’ systems, which is difficult to reconcile across jurisdictions because of the inevitable impact this has on the importance placed on the interests of creditors and debtors, for example the balance of the interest of recovering the debt owed to creditors as against the interest in encouraging and enabling the debtor to continue to do business. </w:t>
      </w:r>
    </w:p>
    <w:p w14:paraId="39DEE7CB" w14:textId="77777777" w:rsidR="004A6393" w:rsidRDefault="004A6393" w:rsidP="00C053F7">
      <w:pPr>
        <w:jc w:val="both"/>
        <w:rPr>
          <w:rFonts w:ascii="Avenir Next" w:hAnsi="Avenir Next" w:cs="Arial"/>
          <w:color w:val="7B7B7B" w:themeColor="accent3" w:themeShade="BF"/>
          <w:sz w:val="22"/>
          <w:szCs w:val="22"/>
          <w:lang w:val="en-GB"/>
        </w:rPr>
      </w:pPr>
    </w:p>
    <w:p w14:paraId="31454975" w14:textId="07FBA9D5" w:rsidR="004A6393" w:rsidRDefault="004A6393"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Some jurisdictions may have a particular emphasis in their insolvency laws on areas of political and social importance, such as the emphasis on labour laws in France. </w:t>
      </w:r>
    </w:p>
    <w:p w14:paraId="5CAF0D5E" w14:textId="42A0C9CE" w:rsidR="004A6393" w:rsidRDefault="004A6393" w:rsidP="00C053F7">
      <w:pPr>
        <w:jc w:val="both"/>
        <w:rPr>
          <w:rFonts w:ascii="Avenir Next" w:hAnsi="Avenir Next" w:cs="Arial"/>
          <w:color w:val="7B7B7B" w:themeColor="accent3" w:themeShade="BF"/>
          <w:sz w:val="22"/>
          <w:szCs w:val="22"/>
          <w:lang w:val="en-GB"/>
        </w:rPr>
      </w:pPr>
    </w:p>
    <w:p w14:paraId="77C52FEB" w14:textId="77777777" w:rsidR="004A6393" w:rsidRDefault="004A6393"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Some jurisdictions may be more willing to protect the interests of local creditors as opposed to those based in foreign States. </w:t>
      </w:r>
    </w:p>
    <w:p w14:paraId="4FB51969" w14:textId="77777777" w:rsidR="004A6393" w:rsidRDefault="004A6393" w:rsidP="00C053F7">
      <w:pPr>
        <w:jc w:val="both"/>
        <w:rPr>
          <w:rFonts w:ascii="Avenir Next" w:hAnsi="Avenir Next" w:cs="Arial"/>
          <w:color w:val="7B7B7B" w:themeColor="accent3" w:themeShade="BF"/>
          <w:sz w:val="22"/>
          <w:szCs w:val="22"/>
          <w:lang w:val="en-GB"/>
        </w:rPr>
      </w:pPr>
    </w:p>
    <w:p w14:paraId="2D6ACAF0" w14:textId="3EB111F3" w:rsidR="004A6393" w:rsidRDefault="004A6393"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may also be a reluctance to promote the collection of foreign public claims, including taxes of a foreign State, especially if such claims might be deemed to take priority over the claims of, for example, a local creditor. </w:t>
      </w:r>
    </w:p>
    <w:p w14:paraId="2A0A78C3" w14:textId="6EC79060" w:rsidR="004A6393" w:rsidRDefault="004A6393" w:rsidP="00C053F7">
      <w:pPr>
        <w:jc w:val="both"/>
        <w:rPr>
          <w:rFonts w:ascii="Avenir Next" w:hAnsi="Avenir Next" w:cs="Arial"/>
          <w:color w:val="7B7B7B" w:themeColor="accent3" w:themeShade="BF"/>
          <w:sz w:val="22"/>
          <w:szCs w:val="22"/>
          <w:lang w:val="en-GB"/>
        </w:rPr>
      </w:pPr>
    </w:p>
    <w:p w14:paraId="78FAB446" w14:textId="68556275" w:rsidR="004A6393" w:rsidRPr="00827D56" w:rsidRDefault="004A6393"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lastRenderedPageBreak/>
        <w:t>There is an additional complicating factor in that insolvency proceedings relate not only to aspects of procedural law but also areas of both private and public substantive law</w:t>
      </w:r>
      <w:r w:rsidR="00944C5B">
        <w:rPr>
          <w:rFonts w:ascii="Avenir Next" w:hAnsi="Avenir Next" w:cs="Arial"/>
          <w:color w:val="7B7B7B" w:themeColor="accent3" w:themeShade="BF"/>
          <w:sz w:val="22"/>
          <w:szCs w:val="22"/>
          <w:lang w:val="en-GB"/>
        </w:rPr>
        <w:t xml:space="preserve"> which will inevitably differ widely across States.</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7ED16D77" w:rsidR="00DF75F8" w:rsidRDefault="00944C5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2004, the UNCITRAL adopted Parts one and two of the Legislative Guide on Insolvency Law, which was designed to be used as a reference point for national authorities and legislative bodies when revising and creating new insolvency laws and regulations. Part one of the Guide emphasised the need for a harmonised framework to address instances of cross-border insolvency.</w:t>
      </w:r>
    </w:p>
    <w:p w14:paraId="436171F4" w14:textId="0C5D8412" w:rsidR="00944C5B" w:rsidRDefault="00944C5B" w:rsidP="00C053F7">
      <w:pPr>
        <w:jc w:val="both"/>
        <w:rPr>
          <w:rFonts w:ascii="Avenir Next" w:hAnsi="Avenir Next" w:cs="Arial"/>
          <w:color w:val="7B7B7B" w:themeColor="accent3" w:themeShade="BF"/>
          <w:sz w:val="22"/>
          <w:szCs w:val="22"/>
          <w:lang w:val="en-GB"/>
        </w:rPr>
      </w:pPr>
    </w:p>
    <w:p w14:paraId="7AA065A0" w14:textId="65F7B968" w:rsidR="00944C5B" w:rsidRDefault="00944C5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From 2000, the World Bank published guidance (which was subsequently revised) in the Principles for Effective Insolvency and Creditor/Debtor Regimes which </w:t>
      </w:r>
      <w:r w:rsidR="00874E94">
        <w:rPr>
          <w:rFonts w:ascii="Avenir Next" w:hAnsi="Avenir Next" w:cs="Arial"/>
          <w:color w:val="7B7B7B" w:themeColor="accent3" w:themeShade="BF"/>
          <w:sz w:val="22"/>
          <w:szCs w:val="22"/>
          <w:lang w:val="en-GB"/>
        </w:rPr>
        <w:t>referred to its own principles as well as the Legislative Guide to promote a convergence of insolvency laws.</w:t>
      </w:r>
    </w:p>
    <w:p w14:paraId="6B90BB79" w14:textId="2A74F1FE" w:rsidR="00874E94" w:rsidRDefault="00874E94" w:rsidP="00C053F7">
      <w:pPr>
        <w:jc w:val="both"/>
        <w:rPr>
          <w:rFonts w:ascii="Avenir Next" w:hAnsi="Avenir Next" w:cs="Arial"/>
          <w:color w:val="7B7B7B" w:themeColor="accent3" w:themeShade="BF"/>
          <w:sz w:val="22"/>
          <w:szCs w:val="22"/>
          <w:lang w:val="en-GB"/>
        </w:rPr>
      </w:pPr>
    </w:p>
    <w:p w14:paraId="21CF30A7" w14:textId="732F9742" w:rsidR="00874E94" w:rsidRDefault="00874E94"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2010, the European Parliament published a report on the Harmonisation of Insolvency Law at EU level. This identified areas in which domestic insolvency laws of member states differ and identified a number of areas in which harmonisation of those laws was deemed worthwhile and achievable. </w:t>
      </w:r>
      <w:r w:rsidR="00301C6D">
        <w:rPr>
          <w:rFonts w:ascii="Avenir Next" w:hAnsi="Avenir Next" w:cs="Arial"/>
          <w:color w:val="7B7B7B" w:themeColor="accent3" w:themeShade="BF"/>
          <w:sz w:val="22"/>
          <w:szCs w:val="22"/>
          <w:lang w:val="en-GB"/>
        </w:rPr>
        <w:t xml:space="preserve">The report led to an action plan, which takes a further step towards harmonising domestic laws and lessening the impact of insolvencies crossing State borders. </w:t>
      </w:r>
    </w:p>
    <w:p w14:paraId="63741FA1" w14:textId="77777777" w:rsidR="00874E94" w:rsidRDefault="00874E94" w:rsidP="00C053F7">
      <w:pPr>
        <w:jc w:val="both"/>
        <w:rPr>
          <w:rFonts w:ascii="Avenir Next" w:hAnsi="Avenir Next" w:cs="Arial"/>
          <w:color w:val="7B7B7B" w:themeColor="accent3" w:themeShade="BF"/>
          <w:sz w:val="22"/>
          <w:szCs w:val="22"/>
          <w:lang w:val="en-GB"/>
        </w:rPr>
      </w:pPr>
    </w:p>
    <w:p w14:paraId="145126A7" w14:textId="77777777" w:rsidR="00301C6D" w:rsidRDefault="00874E94" w:rsidP="00301C6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guidance necessarily affects different States as there is no one organisation or Treaty which can provide guidance (or indeed policy) which applies to all States worldwide.  </w:t>
      </w:r>
    </w:p>
    <w:p w14:paraId="63745970" w14:textId="4A4E0782" w:rsidR="00874E94" w:rsidRPr="00301C6D" w:rsidRDefault="00301C6D"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Where these steps only identify areas of potential harmonisation, or provide guidance only, it might be said that they lack force in achieving real change.  </w:t>
      </w:r>
      <w:r w:rsidR="00874E94">
        <w:rPr>
          <w:rFonts w:ascii="Avenir Next" w:hAnsi="Avenir Next" w:cs="Arial"/>
          <w:color w:val="7B7B7B" w:themeColor="accent3" w:themeShade="BF"/>
          <w:sz w:val="22"/>
          <w:szCs w:val="22"/>
          <w:lang w:val="en-GB"/>
        </w:rPr>
        <w:t xml:space="preserve">However, the fact that these steps were taken across a number of different organisations worldwide at a similar time demonstrates a concerted worldwide effort to harmonise international insolvency law. </w:t>
      </w:r>
      <w:r>
        <w:rPr>
          <w:rFonts w:ascii="Avenir Next" w:hAnsi="Avenir Next" w:cs="Arial"/>
          <w:color w:val="7B7B7B" w:themeColor="accent3" w:themeShade="BF"/>
          <w:sz w:val="22"/>
          <w:szCs w:val="22"/>
          <w:lang w:val="en-GB"/>
        </w:rPr>
        <w:t xml:space="preserve">The impact that the guidance has had, in particular the Legislative Guide, can also be seen as reflected in the increased number of States adopting the UNICTRAL Model Law on Cross-Border Insolvency. </w:t>
      </w:r>
      <w:r w:rsidR="00E9092F">
        <w:rPr>
          <w:rFonts w:ascii="Avenir Next" w:hAnsi="Avenir Next" w:cs="Arial"/>
          <w:color w:val="7B7B7B" w:themeColor="accent3" w:themeShade="BF"/>
          <w:sz w:val="22"/>
          <w:szCs w:val="22"/>
          <w:lang w:val="en-GB"/>
        </w:rPr>
        <w:t xml:space="preserve">These steps alone will obviously not result in harmonisation of domestic laws worldwide, however, they are resulting in approval of principles of co-operation and communication across States, even across those with diverse domestic insolvency laws. </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C5240F"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before moving its registration and head office to Utopia one month ago.  Apex Pty Ltd (Apex) is incorporated and has its head office in </w:t>
      </w:r>
      <w:proofErr w:type="spellStart"/>
      <w:r w:rsidRPr="00827D56">
        <w:rPr>
          <w:rFonts w:ascii="Avenir Next" w:hAnsi="Avenir Next" w:cs="Arial"/>
          <w:sz w:val="22"/>
          <w:szCs w:val="22"/>
          <w:lang w:val="en-GB"/>
        </w:rPr>
        <w:lastRenderedPageBreak/>
        <w:t>Erewhon</w:t>
      </w:r>
      <w:proofErr w:type="spellEnd"/>
      <w:r w:rsidRPr="00827D56">
        <w:rPr>
          <w:rFonts w:ascii="Avenir Next" w:hAnsi="Avenir Next" w:cs="Arial"/>
          <w:sz w:val="22"/>
          <w:szCs w:val="22"/>
          <w:lang w:val="en-GB"/>
        </w:rPr>
        <w:t xml:space="preserve">. Apex and Nadir enter into a contract by exchange of emails between their head offices for Apex to supply goods to Nadir in Utopia.  Nadir has failed to pay for the goods which have been delivered in accordance with the contract. Apex issues court proceedings against </w:t>
      </w:r>
      <w:r w:rsidRPr="00C5240F">
        <w:rPr>
          <w:rFonts w:ascii="Avenir Next" w:hAnsi="Avenir Next" w:cs="Arial"/>
          <w:sz w:val="22"/>
          <w:szCs w:val="22"/>
          <w:lang w:val="en-GB"/>
        </w:rPr>
        <w:t xml:space="preserve">Nadir in Utopia for monies owing for the goods sold and delivered.  </w:t>
      </w:r>
    </w:p>
    <w:p w14:paraId="6963F1AF" w14:textId="77777777" w:rsidR="009B0723" w:rsidRPr="00C5240F"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C5240F" w:rsidRDefault="009B0723" w:rsidP="00C053F7">
      <w:pPr>
        <w:autoSpaceDE w:val="0"/>
        <w:autoSpaceDN w:val="0"/>
        <w:adjustRightInd w:val="0"/>
        <w:jc w:val="both"/>
        <w:rPr>
          <w:rFonts w:ascii="Avenir Next" w:hAnsi="Avenir Next" w:cs="Arial"/>
          <w:sz w:val="22"/>
          <w:szCs w:val="22"/>
          <w:lang w:val="en-GB"/>
        </w:rPr>
      </w:pPr>
      <w:r w:rsidRPr="00C5240F">
        <w:rPr>
          <w:rFonts w:ascii="Avenir Next" w:hAnsi="Avenir Next" w:cs="Arial"/>
          <w:sz w:val="22"/>
          <w:szCs w:val="22"/>
          <w:lang w:val="en-GB"/>
        </w:rPr>
        <w:t xml:space="preserve">Meanwhile, Nadir also owes monies to creditors in </w:t>
      </w:r>
      <w:proofErr w:type="spellStart"/>
      <w:r w:rsidRPr="00C5240F">
        <w:rPr>
          <w:rFonts w:ascii="Avenir Next" w:hAnsi="Avenir Next" w:cs="Arial"/>
          <w:sz w:val="22"/>
          <w:szCs w:val="22"/>
          <w:lang w:val="en-GB"/>
        </w:rPr>
        <w:t>Erewhon</w:t>
      </w:r>
      <w:proofErr w:type="spellEnd"/>
      <w:r w:rsidRPr="00C5240F">
        <w:rPr>
          <w:rFonts w:ascii="Avenir Next" w:hAnsi="Avenir Next" w:cs="Arial"/>
          <w:sz w:val="22"/>
          <w:szCs w:val="22"/>
          <w:lang w:val="en-GB"/>
        </w:rPr>
        <w:t xml:space="preserve">.  One </w:t>
      </w:r>
      <w:proofErr w:type="spellStart"/>
      <w:r w:rsidRPr="00C5240F">
        <w:rPr>
          <w:rFonts w:ascii="Avenir Next" w:hAnsi="Avenir Next" w:cs="Arial"/>
          <w:sz w:val="22"/>
          <w:szCs w:val="22"/>
          <w:lang w:val="en-GB"/>
        </w:rPr>
        <w:t>Erewhon</w:t>
      </w:r>
      <w:proofErr w:type="spellEnd"/>
      <w:r w:rsidRPr="00C5240F">
        <w:rPr>
          <w:rFonts w:ascii="Avenir Next" w:hAnsi="Avenir Next" w:cs="Arial"/>
          <w:sz w:val="22"/>
          <w:szCs w:val="22"/>
          <w:lang w:val="en-GB"/>
        </w:rPr>
        <w:t xml:space="preserve"> creditor obtains a court winding-up order against Nadir in </w:t>
      </w:r>
      <w:proofErr w:type="spellStart"/>
      <w:r w:rsidRPr="00C5240F">
        <w:rPr>
          <w:rFonts w:ascii="Avenir Next" w:hAnsi="Avenir Next" w:cs="Arial"/>
          <w:sz w:val="22"/>
          <w:szCs w:val="22"/>
          <w:lang w:val="en-GB"/>
        </w:rPr>
        <w:t>Erewhon</w:t>
      </w:r>
      <w:proofErr w:type="spellEnd"/>
      <w:r w:rsidRPr="00C5240F">
        <w:rPr>
          <w:rFonts w:ascii="Avenir Next" w:hAnsi="Avenir Next" w:cs="Arial"/>
          <w:sz w:val="22"/>
          <w:szCs w:val="22"/>
          <w:lang w:val="en-GB"/>
        </w:rPr>
        <w:t xml:space="preserve"> and a liquidator is also appointed by that court.  </w:t>
      </w:r>
    </w:p>
    <w:p w14:paraId="1EE738C4" w14:textId="77777777" w:rsidR="009B0723" w:rsidRPr="00C5240F"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C5240F" w:rsidRDefault="009B0723" w:rsidP="00C053F7">
      <w:pPr>
        <w:autoSpaceDE w:val="0"/>
        <w:autoSpaceDN w:val="0"/>
        <w:adjustRightInd w:val="0"/>
        <w:jc w:val="both"/>
        <w:rPr>
          <w:rFonts w:ascii="Avenir Next" w:hAnsi="Avenir Next" w:cs="Arial"/>
          <w:sz w:val="22"/>
          <w:szCs w:val="22"/>
          <w:lang w:val="en-GB"/>
        </w:rPr>
      </w:pPr>
      <w:r w:rsidRPr="00C5240F">
        <w:rPr>
          <w:rFonts w:ascii="Avenir Next" w:hAnsi="Avenir Next" w:cs="Arial"/>
          <w:sz w:val="22"/>
          <w:szCs w:val="22"/>
          <w:lang w:val="en-GB"/>
        </w:rPr>
        <w:t xml:space="preserve">If you require additional information to answer </w:t>
      </w:r>
      <w:r w:rsidR="002D0021" w:rsidRPr="00C5240F">
        <w:rPr>
          <w:rFonts w:ascii="Avenir Next" w:hAnsi="Avenir Next" w:cs="Arial"/>
          <w:sz w:val="22"/>
          <w:szCs w:val="22"/>
          <w:lang w:val="en-GB"/>
        </w:rPr>
        <w:t>the questions</w:t>
      </w:r>
      <w:r w:rsidR="00D17FDC" w:rsidRPr="00C5240F">
        <w:rPr>
          <w:rFonts w:ascii="Avenir Next" w:hAnsi="Avenir Next" w:cs="Arial"/>
          <w:sz w:val="22"/>
          <w:szCs w:val="22"/>
          <w:lang w:val="en-GB"/>
        </w:rPr>
        <w:t xml:space="preserve"> that follow</w:t>
      </w:r>
      <w:r w:rsidRPr="00C5240F">
        <w:rPr>
          <w:rFonts w:ascii="Avenir Next" w:hAnsi="Avenir Next" w:cs="Arial"/>
          <w:sz w:val="22"/>
          <w:szCs w:val="22"/>
          <w:lang w:val="en-GB"/>
        </w:rPr>
        <w:t xml:space="preserve">, briefly state what </w:t>
      </w:r>
      <w:r w:rsidR="00D17FDC" w:rsidRPr="00C5240F">
        <w:rPr>
          <w:rFonts w:ascii="Avenir Next" w:hAnsi="Avenir Next" w:cs="Arial"/>
          <w:sz w:val="22"/>
          <w:szCs w:val="22"/>
          <w:lang w:val="en-GB"/>
        </w:rPr>
        <w:t xml:space="preserve">information </w:t>
      </w:r>
      <w:r w:rsidRPr="00C5240F">
        <w:rPr>
          <w:rFonts w:ascii="Avenir Next" w:hAnsi="Avenir Next" w:cs="Arial"/>
          <w:sz w:val="22"/>
          <w:szCs w:val="22"/>
          <w:lang w:val="en-GB"/>
        </w:rPr>
        <w:t xml:space="preserve">it is </w:t>
      </w:r>
      <w:r w:rsidR="00D17FDC" w:rsidRPr="00C5240F">
        <w:rPr>
          <w:rFonts w:ascii="Avenir Next" w:hAnsi="Avenir Next" w:cs="Arial"/>
          <w:sz w:val="22"/>
          <w:szCs w:val="22"/>
          <w:lang w:val="en-GB"/>
        </w:rPr>
        <w:t xml:space="preserve">you require </w:t>
      </w:r>
      <w:r w:rsidRPr="00C5240F">
        <w:rPr>
          <w:rFonts w:ascii="Avenir Next" w:hAnsi="Avenir Next" w:cs="Arial"/>
          <w:sz w:val="22"/>
          <w:szCs w:val="22"/>
          <w:lang w:val="en-GB"/>
        </w:rPr>
        <w:t xml:space="preserve">and why it is relevant. </w:t>
      </w:r>
    </w:p>
    <w:p w14:paraId="793A98A7" w14:textId="5D21A41F" w:rsidR="009B0723" w:rsidRPr="00C5240F"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Pr="00C5240F" w:rsidRDefault="00827D56" w:rsidP="00C053F7">
      <w:pPr>
        <w:autoSpaceDE w:val="0"/>
        <w:autoSpaceDN w:val="0"/>
        <w:adjustRightInd w:val="0"/>
        <w:jc w:val="both"/>
        <w:rPr>
          <w:rFonts w:ascii="Avenir Next" w:hAnsi="Avenir Next" w:cs="Arial"/>
          <w:sz w:val="22"/>
          <w:szCs w:val="22"/>
          <w:lang w:val="en-GB"/>
        </w:rPr>
      </w:pPr>
    </w:p>
    <w:p w14:paraId="51741BC1" w14:textId="77777777" w:rsidR="00301C6D" w:rsidRPr="00C5240F" w:rsidRDefault="00301C6D" w:rsidP="00C053F7">
      <w:pPr>
        <w:autoSpaceDE w:val="0"/>
        <w:autoSpaceDN w:val="0"/>
        <w:adjustRightInd w:val="0"/>
        <w:jc w:val="both"/>
        <w:rPr>
          <w:rFonts w:ascii="Avenir Next" w:hAnsi="Avenir Next" w:cs="Arial"/>
          <w:sz w:val="22"/>
          <w:szCs w:val="22"/>
          <w:lang w:val="en-GB"/>
        </w:rPr>
      </w:pPr>
    </w:p>
    <w:p w14:paraId="3EEBCF39" w14:textId="33DECB09" w:rsidR="002F75A3" w:rsidRPr="00C5240F" w:rsidRDefault="009B0723" w:rsidP="00C053F7">
      <w:pPr>
        <w:jc w:val="both"/>
        <w:rPr>
          <w:rFonts w:ascii="Avenir Next Demi Bold" w:hAnsi="Avenir Next Demi Bold" w:cs="Arial"/>
          <w:b/>
          <w:bCs/>
          <w:sz w:val="22"/>
          <w:szCs w:val="22"/>
          <w:lang w:val="en-GB"/>
        </w:rPr>
      </w:pPr>
      <w:bookmarkStart w:id="0" w:name="_Hlk17745211"/>
      <w:r w:rsidRPr="00C5240F">
        <w:rPr>
          <w:rFonts w:ascii="Avenir Next Demi Bold" w:hAnsi="Avenir Next Demi Bold" w:cs="Arial"/>
          <w:b/>
          <w:bCs/>
          <w:sz w:val="22"/>
          <w:szCs w:val="22"/>
          <w:lang w:val="en-GB"/>
        </w:rPr>
        <w:t>Question 4.1 [</w:t>
      </w:r>
      <w:r w:rsidR="00D17FDC" w:rsidRPr="00C5240F">
        <w:rPr>
          <w:rFonts w:ascii="Avenir Next Demi Bold" w:hAnsi="Avenir Next Demi Bold" w:cs="Arial"/>
          <w:b/>
          <w:bCs/>
          <w:sz w:val="22"/>
          <w:szCs w:val="22"/>
          <w:lang w:val="en-GB"/>
        </w:rPr>
        <w:t>m</w:t>
      </w:r>
      <w:r w:rsidRPr="00C5240F">
        <w:rPr>
          <w:rFonts w:ascii="Avenir Next Demi Bold" w:hAnsi="Avenir Next Demi Bold" w:cs="Arial"/>
          <w:b/>
          <w:bCs/>
          <w:sz w:val="22"/>
          <w:szCs w:val="22"/>
          <w:lang w:val="en-GB"/>
        </w:rPr>
        <w:t xml:space="preserve">aximum 5 marks] </w:t>
      </w:r>
    </w:p>
    <w:p w14:paraId="0FD43ABB" w14:textId="77777777" w:rsidR="002F75A3" w:rsidRPr="00C5240F"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C5240F">
        <w:rPr>
          <w:rFonts w:ascii="Avenir Next" w:hAnsi="Avenir Next" w:cs="Arial"/>
          <w:sz w:val="22"/>
          <w:szCs w:val="22"/>
          <w:lang w:val="en-GB"/>
        </w:rPr>
        <w:t>Assume the UNCITRAL Model Law on Cross-border Insolvency has been adopted by Utopia</w:t>
      </w:r>
      <w:r w:rsidRPr="00827D56">
        <w:rPr>
          <w:rFonts w:ascii="Avenir Next" w:hAnsi="Avenir Next" w:cs="Arial"/>
          <w:sz w:val="22"/>
          <w:szCs w:val="22"/>
          <w:lang w:val="en-GB"/>
        </w:rPr>
        <w:t xml:space="preserve"> without modification, except as required to domesticate it. For example, the Cross-border Insolvency Act of Utopia names its local laws relating to insolvency and its competent court under the Act.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liquidator’s investigations detect that Apex is suing Nadir in Utopia.  The liquidator would like to stop Apex court action against Nadir in Utopia.  Advise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3373F286" w:rsidR="002F75A3" w:rsidRDefault="002F75A3" w:rsidP="00C053F7">
      <w:pPr>
        <w:jc w:val="both"/>
        <w:rPr>
          <w:rFonts w:ascii="Avenir Next" w:hAnsi="Avenir Next" w:cs="Arial"/>
          <w:color w:val="7B7B7B" w:themeColor="accent3" w:themeShade="BF"/>
          <w:sz w:val="22"/>
          <w:szCs w:val="22"/>
          <w:lang w:val="en-GB"/>
        </w:rPr>
      </w:pPr>
    </w:p>
    <w:p w14:paraId="022BDAEC" w14:textId="127EE211" w:rsidR="00301C6D" w:rsidRPr="00EA40D3" w:rsidRDefault="00377798" w:rsidP="00C053F7">
      <w:pPr>
        <w:jc w:val="both"/>
        <w:rPr>
          <w:rFonts w:ascii="Avenir Next" w:hAnsi="Avenir Next" w:cs="Arial"/>
          <w:color w:val="000000" w:themeColor="text1"/>
          <w:sz w:val="22"/>
          <w:szCs w:val="22"/>
          <w:lang w:val="en-GB"/>
        </w:rPr>
      </w:pPr>
      <w:r w:rsidRPr="00EA40D3">
        <w:rPr>
          <w:rFonts w:ascii="Avenir Next" w:hAnsi="Avenir Next" w:cs="Arial"/>
          <w:color w:val="000000" w:themeColor="text1"/>
          <w:sz w:val="22"/>
          <w:szCs w:val="22"/>
          <w:lang w:val="en-GB"/>
        </w:rPr>
        <w:t xml:space="preserve">The question does not state whether </w:t>
      </w:r>
      <w:proofErr w:type="spellStart"/>
      <w:r w:rsidRPr="00EA40D3">
        <w:rPr>
          <w:rFonts w:ascii="Avenir Next" w:hAnsi="Avenir Next" w:cs="Arial"/>
          <w:color w:val="000000" w:themeColor="text1"/>
          <w:sz w:val="22"/>
          <w:szCs w:val="22"/>
          <w:lang w:val="en-GB"/>
        </w:rPr>
        <w:t>Erewhon</w:t>
      </w:r>
      <w:proofErr w:type="spellEnd"/>
      <w:r w:rsidRPr="00EA40D3">
        <w:rPr>
          <w:rFonts w:ascii="Avenir Next" w:hAnsi="Avenir Next" w:cs="Arial"/>
          <w:color w:val="000000" w:themeColor="text1"/>
          <w:sz w:val="22"/>
          <w:szCs w:val="22"/>
          <w:lang w:val="en-GB"/>
        </w:rPr>
        <w:t xml:space="preserve"> has also adopted the UNICTRAL Model Law on Cross-border Insolvency</w:t>
      </w:r>
      <w:r w:rsidR="00EA40D3" w:rsidRPr="00EA40D3">
        <w:rPr>
          <w:rFonts w:ascii="Avenir Next" w:hAnsi="Avenir Next" w:cs="Arial"/>
          <w:color w:val="000000" w:themeColor="text1"/>
          <w:sz w:val="22"/>
          <w:szCs w:val="22"/>
          <w:lang w:val="en-GB"/>
        </w:rPr>
        <w:t xml:space="preserve"> or whether the cross-border element is outside the ambit of the MCBI</w:t>
      </w:r>
    </w:p>
    <w:p w14:paraId="5B521957" w14:textId="77A30A20" w:rsidR="00377798" w:rsidRPr="00EA40D3" w:rsidRDefault="00377798" w:rsidP="00C053F7">
      <w:pPr>
        <w:jc w:val="both"/>
        <w:rPr>
          <w:rFonts w:ascii="Avenir Next" w:hAnsi="Avenir Next" w:cs="Arial"/>
          <w:color w:val="000000" w:themeColor="text1"/>
          <w:sz w:val="22"/>
          <w:szCs w:val="22"/>
          <w:lang w:val="en-GB"/>
        </w:rPr>
      </w:pPr>
    </w:p>
    <w:p w14:paraId="44C86091" w14:textId="0C765E79" w:rsidR="00377798" w:rsidRPr="00EA40D3" w:rsidRDefault="00377798" w:rsidP="00C053F7">
      <w:pPr>
        <w:jc w:val="both"/>
        <w:rPr>
          <w:rFonts w:ascii="Avenir Next" w:hAnsi="Avenir Next" w:cs="Arial"/>
          <w:color w:val="000000" w:themeColor="text1"/>
          <w:sz w:val="22"/>
          <w:szCs w:val="22"/>
          <w:lang w:val="en-GB"/>
        </w:rPr>
      </w:pPr>
      <w:r w:rsidRPr="00EA40D3">
        <w:rPr>
          <w:rFonts w:ascii="Avenir Next" w:hAnsi="Avenir Next" w:cs="Arial"/>
          <w:color w:val="000000" w:themeColor="text1"/>
          <w:sz w:val="22"/>
          <w:szCs w:val="22"/>
          <w:lang w:val="en-GB"/>
        </w:rPr>
        <w:t>The effect of the Cross-border Insolvency Act of Utopia is as follows:</w:t>
      </w:r>
    </w:p>
    <w:p w14:paraId="341311FD" w14:textId="069AD25C" w:rsidR="00377798" w:rsidRPr="00C5240F" w:rsidRDefault="00EA40D3" w:rsidP="00377798">
      <w:pPr>
        <w:pStyle w:val="ListParagraph"/>
        <w:numPr>
          <w:ilvl w:val="0"/>
          <w:numId w:val="25"/>
        </w:numPr>
        <w:jc w:val="both"/>
        <w:rPr>
          <w:rFonts w:ascii="Avenir Next" w:hAnsi="Avenir Next" w:cs="Arial"/>
          <w:color w:val="000000" w:themeColor="text1"/>
          <w:sz w:val="22"/>
          <w:szCs w:val="22"/>
          <w:lang w:val="en-GB"/>
        </w:rPr>
      </w:pPr>
      <w:r w:rsidRPr="00C5240F">
        <w:rPr>
          <w:rFonts w:ascii="Avenir Next" w:hAnsi="Avenir Next" w:cs="Arial"/>
          <w:color w:val="000000" w:themeColor="text1"/>
          <w:sz w:val="22"/>
          <w:szCs w:val="22"/>
          <w:lang w:val="en-GB"/>
        </w:rPr>
        <w:t>The Court of Utopia will recognise winding up proceedings of a foreign Court and will refuse, if requested, to grant a local winding up order</w:t>
      </w:r>
    </w:p>
    <w:p w14:paraId="7C84C732" w14:textId="4FF14A30" w:rsidR="00EA40D3" w:rsidRPr="00EA40D3" w:rsidRDefault="00EA40D3" w:rsidP="00377798">
      <w:pPr>
        <w:pStyle w:val="ListParagraph"/>
        <w:numPr>
          <w:ilvl w:val="0"/>
          <w:numId w:val="25"/>
        </w:numPr>
        <w:jc w:val="both"/>
        <w:rPr>
          <w:rFonts w:ascii="Avenir Next" w:hAnsi="Avenir Next" w:cs="Arial"/>
          <w:color w:val="000000" w:themeColor="text1"/>
          <w:sz w:val="22"/>
          <w:szCs w:val="22"/>
          <w:lang w:val="en-GB"/>
        </w:rPr>
      </w:pPr>
      <w:r w:rsidRPr="00C5240F">
        <w:rPr>
          <w:rFonts w:ascii="Avenir Next" w:hAnsi="Avenir Next" w:cs="Arial"/>
          <w:color w:val="000000" w:themeColor="text1"/>
          <w:sz w:val="22"/>
          <w:szCs w:val="22"/>
          <w:lang w:val="en-GB"/>
        </w:rPr>
        <w:t>The Court of Utopia will co-operate with the Court and liquidator</w:t>
      </w:r>
      <w:r w:rsidRPr="00EA40D3">
        <w:rPr>
          <w:rFonts w:ascii="Avenir Next" w:hAnsi="Avenir Next" w:cs="Arial"/>
          <w:color w:val="000000" w:themeColor="text1"/>
          <w:sz w:val="22"/>
          <w:szCs w:val="22"/>
          <w:lang w:val="en-GB"/>
        </w:rPr>
        <w:t xml:space="preserve"> of </w:t>
      </w:r>
      <w:proofErr w:type="spellStart"/>
      <w:r w:rsidRPr="00EA40D3">
        <w:rPr>
          <w:rFonts w:ascii="Avenir Next" w:hAnsi="Avenir Next" w:cs="Arial"/>
          <w:color w:val="000000" w:themeColor="text1"/>
          <w:sz w:val="22"/>
          <w:szCs w:val="22"/>
          <w:lang w:val="en-GB"/>
        </w:rPr>
        <w:t>Erewhon</w:t>
      </w:r>
      <w:proofErr w:type="spellEnd"/>
      <w:r w:rsidRPr="00EA40D3">
        <w:rPr>
          <w:rFonts w:ascii="Avenir Next" w:hAnsi="Avenir Next" w:cs="Arial"/>
          <w:color w:val="000000" w:themeColor="text1"/>
          <w:sz w:val="22"/>
          <w:szCs w:val="22"/>
          <w:lang w:val="en-GB"/>
        </w:rPr>
        <w:t xml:space="preserve"> in external administration matters</w:t>
      </w:r>
      <w:r>
        <w:rPr>
          <w:rFonts w:ascii="Avenir Next" w:hAnsi="Avenir Next" w:cs="Arial"/>
          <w:color w:val="000000" w:themeColor="text1"/>
          <w:sz w:val="22"/>
          <w:szCs w:val="22"/>
          <w:lang w:val="en-GB"/>
        </w:rPr>
        <w:t xml:space="preserve"> and will recognise the power of the liquidator in </w:t>
      </w:r>
      <w:proofErr w:type="spellStart"/>
      <w:r>
        <w:rPr>
          <w:rFonts w:ascii="Avenir Next" w:hAnsi="Avenir Next" w:cs="Arial"/>
          <w:color w:val="000000" w:themeColor="text1"/>
          <w:sz w:val="22"/>
          <w:szCs w:val="22"/>
          <w:lang w:val="en-GB"/>
        </w:rPr>
        <w:t>Erewhon</w:t>
      </w:r>
      <w:proofErr w:type="spellEnd"/>
      <w:r>
        <w:rPr>
          <w:rFonts w:ascii="Avenir Next" w:hAnsi="Avenir Next" w:cs="Arial"/>
          <w:color w:val="000000" w:themeColor="text1"/>
          <w:sz w:val="22"/>
          <w:szCs w:val="22"/>
          <w:lang w:val="en-GB"/>
        </w:rPr>
        <w:t xml:space="preserve"> to gain control over </w:t>
      </w:r>
      <w:r w:rsidR="00C5240F">
        <w:rPr>
          <w:rFonts w:ascii="Avenir Next" w:hAnsi="Avenir Next" w:cs="Arial"/>
          <w:color w:val="000000" w:themeColor="text1"/>
          <w:sz w:val="22"/>
          <w:szCs w:val="22"/>
          <w:lang w:val="en-GB"/>
        </w:rPr>
        <w:t>local</w:t>
      </w:r>
      <w:r>
        <w:rPr>
          <w:rFonts w:ascii="Avenir Next" w:hAnsi="Avenir Next" w:cs="Arial"/>
          <w:color w:val="000000" w:themeColor="text1"/>
          <w:sz w:val="22"/>
          <w:szCs w:val="22"/>
          <w:lang w:val="en-GB"/>
        </w:rPr>
        <w:t xml:space="preserve"> assets</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51B9D09E" w:rsidR="002D3473" w:rsidRPr="00827D56" w:rsidRDefault="00EA40D3" w:rsidP="00055893">
      <w:pPr>
        <w:ind w:left="426"/>
        <w:jc w:val="both"/>
        <w:rPr>
          <w:rFonts w:ascii="Avenir Next" w:hAnsi="Avenir Next" w:cs="Arial"/>
          <w:sz w:val="22"/>
          <w:szCs w:val="22"/>
          <w:lang w:val="en-GB"/>
        </w:rPr>
      </w:pPr>
      <w:r>
        <w:rPr>
          <w:rFonts w:ascii="Avenir Next" w:hAnsi="Avenir Next" w:cs="Arial"/>
          <w:sz w:val="22"/>
          <w:szCs w:val="22"/>
          <w:lang w:val="en-GB"/>
        </w:rPr>
        <w:t xml:space="preserve">In this case the Court of Utopia would recognise the winding up proceedings of the </w:t>
      </w:r>
      <w:proofErr w:type="spellStart"/>
      <w:r>
        <w:rPr>
          <w:rFonts w:ascii="Avenir Next" w:hAnsi="Avenir Next" w:cs="Arial"/>
          <w:sz w:val="22"/>
          <w:szCs w:val="22"/>
          <w:lang w:val="en-GB"/>
        </w:rPr>
        <w:t>Erewhon</w:t>
      </w:r>
      <w:proofErr w:type="spellEnd"/>
      <w:r>
        <w:rPr>
          <w:rFonts w:ascii="Avenir Next" w:hAnsi="Avenir Next" w:cs="Arial"/>
          <w:sz w:val="22"/>
          <w:szCs w:val="22"/>
          <w:lang w:val="en-GB"/>
        </w:rPr>
        <w:t xml:space="preserve"> Court and would refuse to grant a local winding up order. </w:t>
      </w: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Apex had obtained a court order to wind-up Nadir in Utopia prior to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winding-up order. </w:t>
      </w:r>
    </w:p>
    <w:p w14:paraId="67BB985E" w14:textId="6085125E" w:rsidR="009B0723" w:rsidRDefault="009B0723" w:rsidP="00EA40D3">
      <w:pPr>
        <w:autoSpaceDE w:val="0"/>
        <w:autoSpaceDN w:val="0"/>
        <w:adjustRightInd w:val="0"/>
        <w:spacing w:line="276" w:lineRule="auto"/>
        <w:ind w:left="66"/>
        <w:jc w:val="both"/>
        <w:rPr>
          <w:rFonts w:ascii="Avenir Next" w:hAnsi="Avenir Next" w:cs="Arial"/>
          <w:sz w:val="22"/>
          <w:szCs w:val="22"/>
          <w:lang w:val="en-GB"/>
        </w:rPr>
      </w:pPr>
    </w:p>
    <w:p w14:paraId="6C1E793C" w14:textId="6A5FA6BE" w:rsidR="00EA40D3" w:rsidRPr="00827D56" w:rsidRDefault="00EA40D3" w:rsidP="00EA40D3">
      <w:pPr>
        <w:autoSpaceDE w:val="0"/>
        <w:autoSpaceDN w:val="0"/>
        <w:adjustRightInd w:val="0"/>
        <w:spacing w:line="276" w:lineRule="auto"/>
        <w:ind w:left="426"/>
        <w:jc w:val="both"/>
        <w:rPr>
          <w:rFonts w:ascii="Avenir Next" w:hAnsi="Avenir Next" w:cs="Arial"/>
          <w:sz w:val="22"/>
          <w:szCs w:val="22"/>
          <w:lang w:val="en-GB"/>
        </w:rPr>
      </w:pPr>
      <w:r>
        <w:rPr>
          <w:rFonts w:ascii="Avenir Next" w:hAnsi="Avenir Next" w:cs="Arial"/>
          <w:sz w:val="22"/>
          <w:szCs w:val="22"/>
          <w:lang w:val="en-GB"/>
        </w:rPr>
        <w:t>Yes, the Court of Utopia would have jurisdiction to wind up Nadir in Utopia even though it was incorporated in a foreign state</w:t>
      </w:r>
      <w:r w:rsidR="00C5240F">
        <w:rPr>
          <w:rFonts w:ascii="Avenir Next" w:hAnsi="Avenir Next" w:cs="Arial"/>
          <w:sz w:val="22"/>
          <w:szCs w:val="22"/>
          <w:lang w:val="en-GB"/>
        </w:rPr>
        <w:t>.</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6CFA757A" w:rsidR="0077498C" w:rsidRDefault="00923ABF" w:rsidP="00C053F7">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[INCOMPLETE]</w:t>
      </w:r>
    </w:p>
    <w:p w14:paraId="5550E44A" w14:textId="77777777" w:rsidR="00C5240F" w:rsidRPr="00827D56" w:rsidRDefault="00C5240F" w:rsidP="00C053F7">
      <w:pPr>
        <w:jc w:val="both"/>
        <w:rPr>
          <w:rFonts w:ascii="Avenir Next" w:hAnsi="Avenir Next" w:cs="Arial"/>
          <w:color w:val="000000" w:themeColor="text1"/>
          <w:sz w:val="22"/>
          <w:szCs w:val="22"/>
          <w:lang w:val="en-GB"/>
        </w:rPr>
      </w:pP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3C982" w14:textId="77777777" w:rsidR="00674BCA" w:rsidRDefault="00674BCA" w:rsidP="00241B44">
      <w:r>
        <w:separator/>
      </w:r>
    </w:p>
  </w:endnote>
  <w:endnote w:type="continuationSeparator" w:id="0">
    <w:p w14:paraId="1B15DA0D" w14:textId="77777777" w:rsidR="00674BCA" w:rsidRDefault="00674BC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Demi Bold">
    <w:altName w:val="Avenir Next Demi Bold"/>
    <w:panose1 w:val="020B0703020202020204"/>
    <w:charset w:val="00"/>
    <w:family w:val="swiss"/>
    <w:pitch w:val="variable"/>
    <w:sig w:usb0="8000002F" w:usb1="5000204A" w:usb2="00000000" w:usb3="00000000" w:csb0="0000009B" w:csb1="00000000"/>
  </w:font>
  <w:font w:name="Avenir Next">
    <w:altName w:val="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3143F119" w:rsidR="00AD6A7D" w:rsidRPr="009634F4" w:rsidRDefault="0058634F" w:rsidP="00AD6A7D">
    <w:pPr>
      <w:pStyle w:val="Footer"/>
      <w:ind w:right="360"/>
      <w:rPr>
        <w:rFonts w:ascii="Avenir Next" w:hAnsi="Avenir Next" w:cs="Arial"/>
        <w:sz w:val="22"/>
        <w:szCs w:val="22"/>
      </w:rPr>
    </w:pPr>
    <w:r>
      <w:rPr>
        <w:rFonts w:ascii="Arial" w:hAnsi="Arial" w:cs="Arial"/>
        <w:color w:val="FFFFFF"/>
        <w:sz w:val="21"/>
        <w:szCs w:val="21"/>
        <w:shd w:val="clear" w:color="auto" w:fill="10273D"/>
      </w:rPr>
      <w:t>202223-963</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E621B" w14:textId="77777777" w:rsidR="00674BCA" w:rsidRDefault="00674BCA" w:rsidP="00241B44">
      <w:r>
        <w:separator/>
      </w:r>
    </w:p>
  </w:footnote>
  <w:footnote w:type="continuationSeparator" w:id="0">
    <w:p w14:paraId="34926C5F" w14:textId="77777777" w:rsidR="00674BCA" w:rsidRDefault="00674BC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F34766B"/>
    <w:multiLevelType w:val="hybridMultilevel"/>
    <w:tmpl w:val="4EAA46F2"/>
    <w:lvl w:ilvl="0" w:tplc="A47CD85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003193"/>
    <w:multiLevelType w:val="hybridMultilevel"/>
    <w:tmpl w:val="7C1A8E98"/>
    <w:lvl w:ilvl="0" w:tplc="9D02E0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B34DBD"/>
    <w:multiLevelType w:val="hybridMultilevel"/>
    <w:tmpl w:val="FD2872A8"/>
    <w:lvl w:ilvl="0" w:tplc="321483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76080452">
    <w:abstractNumId w:val="20"/>
  </w:num>
  <w:num w:numId="2" w16cid:durableId="1727029891">
    <w:abstractNumId w:val="22"/>
  </w:num>
  <w:num w:numId="3" w16cid:durableId="1780641908">
    <w:abstractNumId w:val="7"/>
  </w:num>
  <w:num w:numId="4" w16cid:durableId="1802385003">
    <w:abstractNumId w:val="3"/>
  </w:num>
  <w:num w:numId="5" w16cid:durableId="1937400167">
    <w:abstractNumId w:val="10"/>
  </w:num>
  <w:num w:numId="6" w16cid:durableId="1019621065">
    <w:abstractNumId w:val="17"/>
  </w:num>
  <w:num w:numId="7" w16cid:durableId="2008243272">
    <w:abstractNumId w:val="23"/>
  </w:num>
  <w:num w:numId="8" w16cid:durableId="1353796888">
    <w:abstractNumId w:val="16"/>
  </w:num>
  <w:num w:numId="9" w16cid:durableId="501356630">
    <w:abstractNumId w:val="6"/>
  </w:num>
  <w:num w:numId="10" w16cid:durableId="1979992929">
    <w:abstractNumId w:val="9"/>
  </w:num>
  <w:num w:numId="11" w16cid:durableId="2119830115">
    <w:abstractNumId w:val="8"/>
  </w:num>
  <w:num w:numId="12" w16cid:durableId="933168277">
    <w:abstractNumId w:val="5"/>
  </w:num>
  <w:num w:numId="13" w16cid:durableId="1124808142">
    <w:abstractNumId w:val="14"/>
  </w:num>
  <w:num w:numId="14" w16cid:durableId="1772049548">
    <w:abstractNumId w:val="0"/>
  </w:num>
  <w:num w:numId="15" w16cid:durableId="1697080997">
    <w:abstractNumId w:val="2"/>
  </w:num>
  <w:num w:numId="16" w16cid:durableId="684786044">
    <w:abstractNumId w:val="15"/>
  </w:num>
  <w:num w:numId="17" w16cid:durableId="210963871">
    <w:abstractNumId w:val="13"/>
  </w:num>
  <w:num w:numId="18" w16cid:durableId="1652514401">
    <w:abstractNumId w:val="21"/>
  </w:num>
  <w:num w:numId="19" w16cid:durableId="161823952">
    <w:abstractNumId w:val="18"/>
  </w:num>
  <w:num w:numId="20" w16cid:durableId="1074543950">
    <w:abstractNumId w:val="24"/>
  </w:num>
  <w:num w:numId="21" w16cid:durableId="1382246932">
    <w:abstractNumId w:val="19"/>
  </w:num>
  <w:num w:numId="22" w16cid:durableId="2037848988">
    <w:abstractNumId w:val="12"/>
  </w:num>
  <w:num w:numId="23" w16cid:durableId="42295511">
    <w:abstractNumId w:val="1"/>
  </w:num>
  <w:num w:numId="24" w16cid:durableId="1208643721">
    <w:abstractNumId w:val="11"/>
  </w:num>
  <w:num w:numId="25" w16cid:durableId="131421990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5166"/>
    <w:rsid w:val="00074CD9"/>
    <w:rsid w:val="00082609"/>
    <w:rsid w:val="000851CC"/>
    <w:rsid w:val="00093BE8"/>
    <w:rsid w:val="000A68ED"/>
    <w:rsid w:val="000B5FF1"/>
    <w:rsid w:val="000B609F"/>
    <w:rsid w:val="000D55A8"/>
    <w:rsid w:val="000E329C"/>
    <w:rsid w:val="000E4841"/>
    <w:rsid w:val="000F1677"/>
    <w:rsid w:val="000F3D6C"/>
    <w:rsid w:val="00101707"/>
    <w:rsid w:val="00110DA3"/>
    <w:rsid w:val="0011473D"/>
    <w:rsid w:val="00115C85"/>
    <w:rsid w:val="00123661"/>
    <w:rsid w:val="00123855"/>
    <w:rsid w:val="00126A4D"/>
    <w:rsid w:val="0014622C"/>
    <w:rsid w:val="001500E8"/>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3AAC"/>
    <w:rsid w:val="001E49E0"/>
    <w:rsid w:val="001E7B5A"/>
    <w:rsid w:val="001F7412"/>
    <w:rsid w:val="0020725B"/>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75A3"/>
    <w:rsid w:val="00301C6D"/>
    <w:rsid w:val="00303C2F"/>
    <w:rsid w:val="003144EF"/>
    <w:rsid w:val="00320CEF"/>
    <w:rsid w:val="00330937"/>
    <w:rsid w:val="00330F31"/>
    <w:rsid w:val="00334648"/>
    <w:rsid w:val="0033768C"/>
    <w:rsid w:val="00337938"/>
    <w:rsid w:val="00340769"/>
    <w:rsid w:val="00341AA6"/>
    <w:rsid w:val="00361A0A"/>
    <w:rsid w:val="0036565C"/>
    <w:rsid w:val="0036625E"/>
    <w:rsid w:val="0037465A"/>
    <w:rsid w:val="00374696"/>
    <w:rsid w:val="00377798"/>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1662D"/>
    <w:rsid w:val="0042108F"/>
    <w:rsid w:val="00430FED"/>
    <w:rsid w:val="0043427C"/>
    <w:rsid w:val="00434A8C"/>
    <w:rsid w:val="00444284"/>
    <w:rsid w:val="00445CE6"/>
    <w:rsid w:val="004534C2"/>
    <w:rsid w:val="0045683E"/>
    <w:rsid w:val="00491675"/>
    <w:rsid w:val="00493855"/>
    <w:rsid w:val="004A16A3"/>
    <w:rsid w:val="004A57DD"/>
    <w:rsid w:val="004A6393"/>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8634F"/>
    <w:rsid w:val="00592F82"/>
    <w:rsid w:val="005A0CCA"/>
    <w:rsid w:val="005A726D"/>
    <w:rsid w:val="005B67AC"/>
    <w:rsid w:val="005D43E0"/>
    <w:rsid w:val="005D58A3"/>
    <w:rsid w:val="005E1B79"/>
    <w:rsid w:val="005F026D"/>
    <w:rsid w:val="005F2D0B"/>
    <w:rsid w:val="005F4B31"/>
    <w:rsid w:val="005F6250"/>
    <w:rsid w:val="00610388"/>
    <w:rsid w:val="00612CA5"/>
    <w:rsid w:val="006153EC"/>
    <w:rsid w:val="00617BE9"/>
    <w:rsid w:val="00621A17"/>
    <w:rsid w:val="00627CC9"/>
    <w:rsid w:val="00627E7B"/>
    <w:rsid w:val="00630542"/>
    <w:rsid w:val="00632E44"/>
    <w:rsid w:val="00634622"/>
    <w:rsid w:val="00636110"/>
    <w:rsid w:val="00636808"/>
    <w:rsid w:val="00641515"/>
    <w:rsid w:val="0064291F"/>
    <w:rsid w:val="00654C2F"/>
    <w:rsid w:val="00657087"/>
    <w:rsid w:val="00674BCA"/>
    <w:rsid w:val="00677AEB"/>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3459E"/>
    <w:rsid w:val="007603F5"/>
    <w:rsid w:val="00764DB0"/>
    <w:rsid w:val="0076764D"/>
    <w:rsid w:val="00767FA7"/>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27D56"/>
    <w:rsid w:val="00834CBA"/>
    <w:rsid w:val="008723F3"/>
    <w:rsid w:val="00874E94"/>
    <w:rsid w:val="00875FCA"/>
    <w:rsid w:val="00881DE6"/>
    <w:rsid w:val="008837A6"/>
    <w:rsid w:val="0089145D"/>
    <w:rsid w:val="008A6CFE"/>
    <w:rsid w:val="008B5333"/>
    <w:rsid w:val="008B6223"/>
    <w:rsid w:val="008C66E0"/>
    <w:rsid w:val="008E3339"/>
    <w:rsid w:val="008F20FC"/>
    <w:rsid w:val="008F6301"/>
    <w:rsid w:val="00905A43"/>
    <w:rsid w:val="00912C79"/>
    <w:rsid w:val="00923ABF"/>
    <w:rsid w:val="00942123"/>
    <w:rsid w:val="00944C5B"/>
    <w:rsid w:val="0095207B"/>
    <w:rsid w:val="00955AF1"/>
    <w:rsid w:val="00962045"/>
    <w:rsid w:val="009634F4"/>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407EF"/>
    <w:rsid w:val="00A458BE"/>
    <w:rsid w:val="00A46B4C"/>
    <w:rsid w:val="00A5117B"/>
    <w:rsid w:val="00A54909"/>
    <w:rsid w:val="00A60074"/>
    <w:rsid w:val="00A6627C"/>
    <w:rsid w:val="00A71019"/>
    <w:rsid w:val="00A81029"/>
    <w:rsid w:val="00A83A2F"/>
    <w:rsid w:val="00A96489"/>
    <w:rsid w:val="00A97725"/>
    <w:rsid w:val="00AB685C"/>
    <w:rsid w:val="00AB6C2D"/>
    <w:rsid w:val="00AC3839"/>
    <w:rsid w:val="00AC7082"/>
    <w:rsid w:val="00AD6A7D"/>
    <w:rsid w:val="00AF228E"/>
    <w:rsid w:val="00B14819"/>
    <w:rsid w:val="00B17AA9"/>
    <w:rsid w:val="00B72AE1"/>
    <w:rsid w:val="00B736DF"/>
    <w:rsid w:val="00B74FBD"/>
    <w:rsid w:val="00B82586"/>
    <w:rsid w:val="00B86DB1"/>
    <w:rsid w:val="00B87869"/>
    <w:rsid w:val="00BB0F2B"/>
    <w:rsid w:val="00BF1C6F"/>
    <w:rsid w:val="00BF50F7"/>
    <w:rsid w:val="00C02F29"/>
    <w:rsid w:val="00C053F7"/>
    <w:rsid w:val="00C22A25"/>
    <w:rsid w:val="00C33C6C"/>
    <w:rsid w:val="00C35671"/>
    <w:rsid w:val="00C35B77"/>
    <w:rsid w:val="00C376EB"/>
    <w:rsid w:val="00C46EC1"/>
    <w:rsid w:val="00C5240F"/>
    <w:rsid w:val="00C53E2C"/>
    <w:rsid w:val="00C550C8"/>
    <w:rsid w:val="00C606C3"/>
    <w:rsid w:val="00C72848"/>
    <w:rsid w:val="00C7736C"/>
    <w:rsid w:val="00C82D87"/>
    <w:rsid w:val="00C8712A"/>
    <w:rsid w:val="00C932DE"/>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44CF0"/>
    <w:rsid w:val="00D63EFD"/>
    <w:rsid w:val="00D84205"/>
    <w:rsid w:val="00D84752"/>
    <w:rsid w:val="00D86B3B"/>
    <w:rsid w:val="00D8748A"/>
    <w:rsid w:val="00D93196"/>
    <w:rsid w:val="00DA7953"/>
    <w:rsid w:val="00DB243C"/>
    <w:rsid w:val="00DB482A"/>
    <w:rsid w:val="00DB56F2"/>
    <w:rsid w:val="00DB6EF5"/>
    <w:rsid w:val="00DB7E37"/>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C3D"/>
    <w:rsid w:val="00E9092F"/>
    <w:rsid w:val="00E909F0"/>
    <w:rsid w:val="00E93993"/>
    <w:rsid w:val="00EA0913"/>
    <w:rsid w:val="00EA40D3"/>
    <w:rsid w:val="00EB45AC"/>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3337</Words>
  <Characters>19027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 C</cp:lastModifiedBy>
  <cp:revision>2</cp:revision>
  <cp:lastPrinted>2019-09-04T15:45:00Z</cp:lastPrinted>
  <dcterms:created xsi:type="dcterms:W3CDTF">2022-10-15T21:50:00Z</dcterms:created>
  <dcterms:modified xsi:type="dcterms:W3CDTF">2022-10-15T21:50:00Z</dcterms:modified>
</cp:coreProperties>
</file>