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02AFB" w:rsidRDefault="00B736DF" w:rsidP="009E1027">
      <w:pPr>
        <w:pStyle w:val="ListParagraph"/>
        <w:numPr>
          <w:ilvl w:val="0"/>
          <w:numId w:val="12"/>
        </w:numPr>
        <w:ind w:left="426"/>
        <w:jc w:val="both"/>
        <w:rPr>
          <w:rFonts w:ascii="Avenir Next" w:hAnsi="Avenir Next" w:cs="Arial"/>
          <w:sz w:val="22"/>
          <w:szCs w:val="22"/>
          <w:highlight w:val="yellow"/>
          <w:lang w:val="en-GB"/>
        </w:rPr>
      </w:pPr>
      <w:r w:rsidRPr="00402AFB">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B75F6" w:rsidRDefault="00161F1B" w:rsidP="009E1027">
      <w:pPr>
        <w:pStyle w:val="ListParagraph"/>
        <w:numPr>
          <w:ilvl w:val="0"/>
          <w:numId w:val="13"/>
        </w:numPr>
        <w:ind w:left="426"/>
        <w:jc w:val="both"/>
        <w:rPr>
          <w:rFonts w:ascii="Avenir Next" w:hAnsi="Avenir Next" w:cs="Arial"/>
          <w:sz w:val="22"/>
          <w:szCs w:val="22"/>
          <w:highlight w:val="yellow"/>
          <w:lang w:val="en-GB"/>
        </w:rPr>
      </w:pPr>
      <w:r w:rsidRPr="00BB75F6">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F35B1F" w:rsidRDefault="009E2E27" w:rsidP="008031A7">
      <w:pPr>
        <w:pStyle w:val="ListParagraph"/>
        <w:numPr>
          <w:ilvl w:val="0"/>
          <w:numId w:val="14"/>
        </w:numPr>
        <w:ind w:left="426"/>
        <w:jc w:val="both"/>
        <w:rPr>
          <w:rFonts w:ascii="Avenir Next" w:hAnsi="Avenir Next" w:cs="Arial"/>
          <w:sz w:val="22"/>
          <w:szCs w:val="22"/>
          <w:highlight w:val="yellow"/>
          <w:lang w:val="en-GB"/>
        </w:rPr>
      </w:pPr>
      <w:r w:rsidRPr="00F35B1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608D0" w:rsidRDefault="009E2E27" w:rsidP="008031A7">
      <w:pPr>
        <w:pStyle w:val="ListParagraph"/>
        <w:numPr>
          <w:ilvl w:val="0"/>
          <w:numId w:val="15"/>
        </w:numPr>
        <w:ind w:left="426"/>
        <w:jc w:val="both"/>
        <w:rPr>
          <w:rFonts w:ascii="Avenir Next" w:hAnsi="Avenir Next" w:cs="Arial"/>
          <w:sz w:val="22"/>
          <w:szCs w:val="22"/>
          <w:highlight w:val="yellow"/>
          <w:lang w:val="en-GB"/>
        </w:rPr>
      </w:pPr>
      <w:r w:rsidRPr="001608D0">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F28E5" w:rsidRDefault="00A235B7" w:rsidP="006D01C2">
      <w:pPr>
        <w:pStyle w:val="ListParagraph"/>
        <w:numPr>
          <w:ilvl w:val="0"/>
          <w:numId w:val="16"/>
        </w:numPr>
        <w:ind w:left="426"/>
        <w:jc w:val="both"/>
        <w:rPr>
          <w:rFonts w:ascii="Avenir Next" w:hAnsi="Avenir Next" w:cs="Arial"/>
          <w:sz w:val="22"/>
          <w:szCs w:val="22"/>
          <w:highlight w:val="yellow"/>
          <w:lang w:val="en-GB"/>
        </w:rPr>
      </w:pPr>
      <w:r w:rsidRPr="008F28E5">
        <w:rPr>
          <w:rFonts w:ascii="Avenir Next" w:hAnsi="Avenir Next" w:cs="Arial"/>
          <w:sz w:val="22"/>
          <w:szCs w:val="22"/>
          <w:highlight w:val="yellow"/>
          <w:lang w:val="en-GB"/>
        </w:rPr>
        <w:t>The statement</w:t>
      </w:r>
      <w:r w:rsidR="0037465A" w:rsidRPr="008F28E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516E79"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516E79">
        <w:rPr>
          <w:rFonts w:ascii="Avenir Next" w:eastAsiaTheme="minorHAnsi" w:hAnsi="Avenir Next" w:cs="Arial"/>
          <w:sz w:val="22"/>
          <w:szCs w:val="22"/>
          <w:lang w:val="en-GB"/>
        </w:rPr>
        <w:t>UNCITRAL Legislative Guide on Insolvency Law</w:t>
      </w:r>
      <w:r w:rsidR="00991428" w:rsidRPr="00516E79">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516E79"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516E79">
        <w:rPr>
          <w:rFonts w:ascii="Avenir Next" w:eastAsiaTheme="minorHAnsi" w:hAnsi="Avenir Next" w:cs="Arial"/>
          <w:sz w:val="22"/>
          <w:szCs w:val="22"/>
          <w:highlight w:val="yellow"/>
          <w:lang w:val="en-GB"/>
        </w:rPr>
        <w:t>Private International Law</w:t>
      </w:r>
      <w:r w:rsidR="00991428" w:rsidRPr="00516E79">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7F0893" w:rsidRDefault="004D1A5A" w:rsidP="006D01C2">
      <w:pPr>
        <w:pStyle w:val="ListParagraph"/>
        <w:numPr>
          <w:ilvl w:val="0"/>
          <w:numId w:val="18"/>
        </w:numPr>
        <w:ind w:left="426"/>
        <w:jc w:val="both"/>
        <w:rPr>
          <w:rFonts w:ascii="Avenir Next" w:hAnsi="Avenir Next" w:cs="Arial"/>
          <w:sz w:val="22"/>
          <w:szCs w:val="22"/>
          <w:highlight w:val="yellow"/>
          <w:lang w:val="en-GB"/>
        </w:rPr>
      </w:pPr>
      <w:r w:rsidRPr="007F0893">
        <w:rPr>
          <w:rFonts w:ascii="Avenir Next" w:hAnsi="Avenir Next" w:cs="Arial"/>
          <w:sz w:val="22"/>
          <w:szCs w:val="22"/>
          <w:highlight w:val="yellow"/>
          <w:lang w:val="en-GB"/>
        </w:rPr>
        <w:t>UNCITRAL Model Law on Cross-border Insolvency (1997)</w:t>
      </w:r>
      <w:r w:rsidR="00912C79" w:rsidRPr="007F0893">
        <w:rPr>
          <w:rFonts w:ascii="Avenir Next" w:hAnsi="Avenir Next" w:cs="Arial"/>
          <w:sz w:val="22"/>
          <w:szCs w:val="22"/>
          <w:highlight w:val="yellow"/>
          <w:lang w:val="en-GB"/>
        </w:rPr>
        <w:t>.</w:t>
      </w:r>
      <w:r w:rsidRPr="007F0893">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F057AA"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F057AA">
        <w:rPr>
          <w:rFonts w:ascii="Avenir Next" w:hAnsi="Avenir Next" w:cs="Arial"/>
          <w:sz w:val="22"/>
          <w:szCs w:val="22"/>
          <w:highlight w:val="yellow"/>
          <w:lang w:val="en-GB"/>
        </w:rPr>
        <w:t>Havana Convention on Private International Law (1928)</w:t>
      </w:r>
      <w:r w:rsidRPr="00F057AA">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5A303A" w:rsidRDefault="0082483F" w:rsidP="006D01C2">
      <w:pPr>
        <w:pStyle w:val="ListParagraph"/>
        <w:numPr>
          <w:ilvl w:val="0"/>
          <w:numId w:val="20"/>
        </w:numPr>
        <w:ind w:left="426"/>
        <w:jc w:val="both"/>
        <w:rPr>
          <w:rFonts w:ascii="Avenir Next" w:hAnsi="Avenir Next" w:cs="Arial"/>
          <w:sz w:val="22"/>
          <w:szCs w:val="22"/>
          <w:highlight w:val="yellow"/>
          <w:lang w:val="en-GB"/>
        </w:rPr>
      </w:pPr>
      <w:r w:rsidRPr="005A303A">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A876BC"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A876BC">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00EF9C03" w14:textId="77777777" w:rsidR="006A2C0C" w:rsidRDefault="006A2C0C">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2F6997C1"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38D1AF17" w14:textId="131C5162" w:rsidR="00675C9B" w:rsidRDefault="0013685D" w:rsidP="004723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45300E">
        <w:rPr>
          <w:rFonts w:ascii="Avenir Next" w:hAnsi="Avenir Next" w:cs="Arial"/>
          <w:color w:val="7B7B7B" w:themeColor="accent3" w:themeShade="BF"/>
          <w:sz w:val="22"/>
          <w:szCs w:val="22"/>
          <w:lang w:val="en-GB"/>
        </w:rPr>
        <w:t xml:space="preserve"> number of </w:t>
      </w:r>
      <w:r w:rsidR="0047236B">
        <w:rPr>
          <w:rFonts w:ascii="Avenir Next" w:hAnsi="Avenir Next" w:cs="Arial"/>
          <w:color w:val="7B7B7B" w:themeColor="accent3" w:themeShade="BF"/>
          <w:sz w:val="22"/>
          <w:szCs w:val="22"/>
          <w:lang w:val="en-GB"/>
        </w:rPr>
        <w:t>author</w:t>
      </w:r>
      <w:r w:rsidR="007D56C9">
        <w:rPr>
          <w:rFonts w:ascii="Avenir Next" w:hAnsi="Avenir Next" w:cs="Arial"/>
          <w:color w:val="7B7B7B" w:themeColor="accent3" w:themeShade="BF"/>
          <w:sz w:val="22"/>
          <w:szCs w:val="22"/>
          <w:lang w:val="en-GB"/>
        </w:rPr>
        <w:t>s</w:t>
      </w:r>
      <w:r w:rsidR="0047236B">
        <w:rPr>
          <w:rFonts w:ascii="Avenir Next" w:hAnsi="Avenir Next" w:cs="Arial"/>
          <w:color w:val="7B7B7B" w:themeColor="accent3" w:themeShade="BF"/>
          <w:sz w:val="22"/>
          <w:szCs w:val="22"/>
          <w:lang w:val="en-GB"/>
        </w:rPr>
        <w:t xml:space="preserve"> attempt to define </w:t>
      </w:r>
      <w:r w:rsidR="0047236B" w:rsidRPr="0047236B">
        <w:rPr>
          <w:rFonts w:ascii="Avenir Next" w:hAnsi="Avenir Next" w:cs="Arial"/>
          <w:color w:val="7B7B7B" w:themeColor="accent3" w:themeShade="BF"/>
          <w:sz w:val="22"/>
          <w:szCs w:val="22"/>
          <w:lang w:val="en-GB"/>
        </w:rPr>
        <w:t>international insolvency law</w:t>
      </w:r>
      <w:r w:rsidR="0047236B">
        <w:rPr>
          <w:rFonts w:ascii="Avenir Next" w:hAnsi="Avenir Next" w:cs="Arial"/>
          <w:color w:val="7B7B7B" w:themeColor="accent3" w:themeShade="BF"/>
          <w:sz w:val="22"/>
          <w:szCs w:val="22"/>
          <w:lang w:val="en-GB"/>
        </w:rPr>
        <w:t xml:space="preserve"> (</w:t>
      </w:r>
      <w:r w:rsidR="0047236B" w:rsidRPr="0047236B">
        <w:rPr>
          <w:rFonts w:ascii="Avenir Next" w:hAnsi="Avenir Next" w:cs="Arial"/>
          <w:b/>
          <w:bCs/>
          <w:color w:val="7B7B7B" w:themeColor="accent3" w:themeShade="BF"/>
          <w:sz w:val="22"/>
          <w:szCs w:val="22"/>
          <w:lang w:val="en-GB"/>
        </w:rPr>
        <w:t>IIL</w:t>
      </w:r>
      <w:r w:rsidR="0047236B">
        <w:rPr>
          <w:rFonts w:ascii="Avenir Next" w:hAnsi="Avenir Next" w:cs="Arial"/>
          <w:color w:val="7B7B7B" w:themeColor="accent3" w:themeShade="BF"/>
          <w:sz w:val="22"/>
          <w:szCs w:val="22"/>
          <w:lang w:val="en-GB"/>
        </w:rPr>
        <w:t>),</w:t>
      </w:r>
      <w:r w:rsidR="00783A6C">
        <w:rPr>
          <w:rStyle w:val="FootnoteReference"/>
          <w:rFonts w:ascii="Avenir Next" w:hAnsi="Avenir Next" w:cs="Arial"/>
          <w:color w:val="7B7B7B" w:themeColor="accent3" w:themeShade="BF"/>
          <w:sz w:val="22"/>
          <w:szCs w:val="22"/>
          <w:lang w:val="en-GB"/>
        </w:rPr>
        <w:footnoteReference w:id="1"/>
      </w:r>
      <w:r w:rsidR="0047236B">
        <w:rPr>
          <w:rFonts w:ascii="Avenir Next" w:hAnsi="Avenir Next" w:cs="Arial"/>
          <w:color w:val="7B7B7B" w:themeColor="accent3" w:themeShade="BF"/>
          <w:sz w:val="22"/>
          <w:szCs w:val="22"/>
          <w:lang w:val="en-GB"/>
        </w:rPr>
        <w:t xml:space="preserve"> </w:t>
      </w:r>
      <w:r w:rsidR="008E2790">
        <w:rPr>
          <w:rFonts w:ascii="Avenir Next" w:hAnsi="Avenir Next" w:cs="Arial"/>
          <w:color w:val="7B7B7B" w:themeColor="accent3" w:themeShade="BF"/>
          <w:sz w:val="22"/>
          <w:szCs w:val="22"/>
          <w:lang w:val="en-GB"/>
        </w:rPr>
        <w:t xml:space="preserve">by </w:t>
      </w:r>
      <w:r w:rsidR="00783A6C">
        <w:rPr>
          <w:rFonts w:ascii="Avenir Next" w:hAnsi="Avenir Next" w:cs="Arial"/>
          <w:color w:val="7B7B7B" w:themeColor="accent3" w:themeShade="BF"/>
          <w:sz w:val="22"/>
          <w:szCs w:val="22"/>
          <w:lang w:val="en-GB"/>
        </w:rPr>
        <w:t>explain</w:t>
      </w:r>
      <w:r w:rsidR="00741A7B">
        <w:rPr>
          <w:rFonts w:ascii="Avenir Next" w:hAnsi="Avenir Next" w:cs="Arial"/>
          <w:color w:val="7B7B7B" w:themeColor="accent3" w:themeShade="BF"/>
          <w:sz w:val="22"/>
          <w:szCs w:val="22"/>
          <w:lang w:val="en-GB"/>
        </w:rPr>
        <w:t>ing the limitations of applying domestic insolvency law</w:t>
      </w:r>
      <w:r w:rsidR="00783A6C">
        <w:rPr>
          <w:rFonts w:ascii="Avenir Next" w:hAnsi="Avenir Next" w:cs="Arial"/>
          <w:color w:val="7B7B7B" w:themeColor="accent3" w:themeShade="BF"/>
          <w:sz w:val="22"/>
          <w:szCs w:val="22"/>
          <w:lang w:val="en-GB"/>
        </w:rPr>
        <w:t xml:space="preserve"> </w:t>
      </w:r>
      <w:r w:rsidR="0093435C">
        <w:rPr>
          <w:rFonts w:ascii="Avenir Next" w:hAnsi="Avenir Next" w:cs="Arial"/>
          <w:color w:val="7B7B7B" w:themeColor="accent3" w:themeShade="BF"/>
          <w:sz w:val="22"/>
          <w:szCs w:val="22"/>
          <w:lang w:val="en-GB"/>
        </w:rPr>
        <w:t>where there are</w:t>
      </w:r>
      <w:r w:rsidR="00360E06">
        <w:rPr>
          <w:rFonts w:ascii="Avenir Next" w:hAnsi="Avenir Next" w:cs="Arial"/>
          <w:color w:val="7B7B7B" w:themeColor="accent3" w:themeShade="BF"/>
          <w:sz w:val="22"/>
          <w:szCs w:val="22"/>
          <w:lang w:val="en-GB"/>
        </w:rPr>
        <w:t xml:space="preserve"> </w:t>
      </w:r>
      <w:r w:rsidR="006A2C0C">
        <w:rPr>
          <w:rFonts w:ascii="Avenir Next" w:hAnsi="Avenir Next" w:cs="Arial"/>
          <w:color w:val="7B7B7B" w:themeColor="accent3" w:themeShade="BF"/>
          <w:sz w:val="22"/>
          <w:szCs w:val="22"/>
          <w:lang w:val="en-GB"/>
        </w:rPr>
        <w:t xml:space="preserve">international elements to </w:t>
      </w:r>
      <w:r w:rsidR="0093435C">
        <w:rPr>
          <w:rFonts w:ascii="Avenir Next" w:hAnsi="Avenir Next" w:cs="Arial"/>
          <w:color w:val="7B7B7B" w:themeColor="accent3" w:themeShade="BF"/>
          <w:sz w:val="22"/>
          <w:szCs w:val="22"/>
          <w:lang w:val="en-GB"/>
        </w:rPr>
        <w:t>the specific case</w:t>
      </w:r>
      <w:r w:rsidR="006A2C0C">
        <w:rPr>
          <w:rFonts w:ascii="Avenir Next" w:hAnsi="Avenir Next" w:cs="Arial"/>
          <w:color w:val="7B7B7B" w:themeColor="accent3" w:themeShade="BF"/>
          <w:sz w:val="22"/>
          <w:szCs w:val="22"/>
          <w:lang w:val="en-GB"/>
        </w:rPr>
        <w:t>.</w:t>
      </w:r>
      <w:r w:rsidR="0093435C">
        <w:rPr>
          <w:rFonts w:ascii="Avenir Next" w:hAnsi="Avenir Next" w:cs="Arial"/>
          <w:color w:val="7B7B7B" w:themeColor="accent3" w:themeShade="BF"/>
          <w:sz w:val="22"/>
          <w:szCs w:val="22"/>
          <w:lang w:val="en-GB"/>
        </w:rPr>
        <w:t xml:space="preserve"> </w:t>
      </w:r>
      <w:r w:rsidR="008533D0">
        <w:rPr>
          <w:rFonts w:ascii="Avenir Next" w:hAnsi="Avenir Next" w:cs="Arial"/>
          <w:color w:val="7B7B7B" w:themeColor="accent3" w:themeShade="BF"/>
          <w:sz w:val="22"/>
          <w:szCs w:val="22"/>
          <w:lang w:val="en-GB"/>
        </w:rPr>
        <w:t xml:space="preserve">Generally, this is because </w:t>
      </w:r>
      <w:r w:rsidR="00BE4043">
        <w:rPr>
          <w:rFonts w:ascii="Avenir Next" w:hAnsi="Avenir Next" w:cs="Arial"/>
          <w:color w:val="7B7B7B" w:themeColor="accent3" w:themeShade="BF"/>
          <w:sz w:val="22"/>
          <w:szCs w:val="22"/>
          <w:lang w:val="en-GB"/>
        </w:rPr>
        <w:t>each country has its own rules, laws, approaches</w:t>
      </w:r>
      <w:r w:rsidR="00FB377C">
        <w:rPr>
          <w:rFonts w:ascii="Avenir Next" w:hAnsi="Avenir Next" w:cs="Arial"/>
          <w:color w:val="7B7B7B" w:themeColor="accent3" w:themeShade="BF"/>
          <w:sz w:val="22"/>
          <w:szCs w:val="22"/>
          <w:lang w:val="en-GB"/>
        </w:rPr>
        <w:t xml:space="preserve">, cultures, politics, </w:t>
      </w:r>
      <w:r w:rsidR="007D1825">
        <w:rPr>
          <w:rFonts w:ascii="Avenir Next" w:hAnsi="Avenir Next" w:cs="Arial"/>
          <w:color w:val="7B7B7B" w:themeColor="accent3" w:themeShade="BF"/>
          <w:sz w:val="22"/>
          <w:szCs w:val="22"/>
          <w:lang w:val="en-GB"/>
        </w:rPr>
        <w:t xml:space="preserve">customs, </w:t>
      </w:r>
      <w:r w:rsidR="00BE4043">
        <w:rPr>
          <w:rFonts w:ascii="Avenir Next" w:hAnsi="Avenir Next" w:cs="Arial"/>
          <w:color w:val="7B7B7B" w:themeColor="accent3" w:themeShade="BF"/>
          <w:sz w:val="22"/>
          <w:szCs w:val="22"/>
          <w:lang w:val="en-GB"/>
        </w:rPr>
        <w:t>policies</w:t>
      </w:r>
      <w:r w:rsidR="007D1825">
        <w:rPr>
          <w:rFonts w:ascii="Avenir Next" w:hAnsi="Avenir Next" w:cs="Arial"/>
          <w:color w:val="7B7B7B" w:themeColor="accent3" w:themeShade="BF"/>
          <w:sz w:val="22"/>
          <w:szCs w:val="22"/>
          <w:lang w:val="en-GB"/>
        </w:rPr>
        <w:t>, etc, and</w:t>
      </w:r>
      <w:r w:rsidR="00BE4043">
        <w:rPr>
          <w:rFonts w:ascii="Avenir Next" w:hAnsi="Avenir Next" w:cs="Arial"/>
          <w:color w:val="7B7B7B" w:themeColor="accent3" w:themeShade="BF"/>
          <w:sz w:val="22"/>
          <w:szCs w:val="22"/>
          <w:lang w:val="en-GB"/>
        </w:rPr>
        <w:t xml:space="preserve"> </w:t>
      </w:r>
      <w:r w:rsidR="008533D0">
        <w:rPr>
          <w:rFonts w:ascii="Avenir Next" w:hAnsi="Avenir Next" w:cs="Arial"/>
          <w:color w:val="7B7B7B" w:themeColor="accent3" w:themeShade="BF"/>
          <w:sz w:val="22"/>
          <w:szCs w:val="22"/>
          <w:lang w:val="en-GB"/>
        </w:rPr>
        <w:t>there is no global set of insolvency laws</w:t>
      </w:r>
      <w:r w:rsidR="007D1825">
        <w:rPr>
          <w:rFonts w:ascii="Avenir Next" w:hAnsi="Avenir Next" w:cs="Arial"/>
          <w:color w:val="7B7B7B" w:themeColor="accent3" w:themeShade="BF"/>
          <w:sz w:val="22"/>
          <w:szCs w:val="22"/>
          <w:lang w:val="en-GB"/>
        </w:rPr>
        <w:t>.</w:t>
      </w:r>
      <w:r w:rsidR="007D1825">
        <w:rPr>
          <w:rStyle w:val="FootnoteReference"/>
          <w:rFonts w:ascii="Avenir Next" w:hAnsi="Avenir Next" w:cs="Arial"/>
          <w:color w:val="7B7B7B" w:themeColor="accent3" w:themeShade="BF"/>
          <w:sz w:val="22"/>
          <w:szCs w:val="22"/>
          <w:lang w:val="en-GB"/>
        </w:rPr>
        <w:footnoteReference w:id="2"/>
      </w:r>
      <w:r w:rsidR="00B152AB">
        <w:rPr>
          <w:rFonts w:ascii="Avenir Next" w:hAnsi="Avenir Next" w:cs="Arial"/>
          <w:color w:val="7B7B7B" w:themeColor="accent3" w:themeShade="BF"/>
          <w:sz w:val="22"/>
          <w:szCs w:val="22"/>
          <w:lang w:val="en-GB"/>
        </w:rPr>
        <w:t xml:space="preserve"> Fletcher </w:t>
      </w:r>
      <w:r w:rsidR="0008356B">
        <w:rPr>
          <w:rFonts w:ascii="Avenir Next" w:hAnsi="Avenir Next" w:cs="Arial"/>
          <w:color w:val="7B7B7B" w:themeColor="accent3" w:themeShade="BF"/>
          <w:sz w:val="22"/>
          <w:szCs w:val="22"/>
          <w:lang w:val="en-GB"/>
        </w:rPr>
        <w:t xml:space="preserve">opines that although this is true of domestic laws, it </w:t>
      </w:r>
      <w:r w:rsidR="0009167D">
        <w:rPr>
          <w:rFonts w:ascii="Avenir Next" w:hAnsi="Avenir Next" w:cs="Arial"/>
          <w:color w:val="7B7B7B" w:themeColor="accent3" w:themeShade="BF"/>
          <w:sz w:val="22"/>
          <w:szCs w:val="22"/>
          <w:lang w:val="en-GB"/>
        </w:rPr>
        <w:t xml:space="preserve">is also true </w:t>
      </w:r>
      <w:r w:rsidR="0026073C">
        <w:rPr>
          <w:rFonts w:ascii="Avenir Next" w:hAnsi="Avenir Next" w:cs="Arial"/>
          <w:color w:val="7B7B7B" w:themeColor="accent3" w:themeShade="BF"/>
          <w:sz w:val="22"/>
          <w:szCs w:val="22"/>
          <w:lang w:val="en-GB"/>
        </w:rPr>
        <w:t>of each country’s</w:t>
      </w:r>
      <w:r w:rsidR="0009167D">
        <w:rPr>
          <w:rFonts w:ascii="Avenir Next" w:hAnsi="Avenir Next" w:cs="Arial"/>
          <w:color w:val="7B7B7B" w:themeColor="accent3" w:themeShade="BF"/>
          <w:sz w:val="22"/>
          <w:szCs w:val="22"/>
          <w:lang w:val="en-GB"/>
        </w:rPr>
        <w:t xml:space="preserve"> divergence “</w:t>
      </w:r>
      <w:r w:rsidR="0009167D" w:rsidRPr="0009167D">
        <w:rPr>
          <w:rFonts w:ascii="Avenir Next" w:hAnsi="Avenir Next" w:cs="Arial"/>
          <w:i/>
          <w:iCs/>
          <w:color w:val="7B7B7B" w:themeColor="accent3" w:themeShade="BF"/>
          <w:sz w:val="22"/>
          <w:szCs w:val="22"/>
          <w:lang w:val="en-GB"/>
        </w:rPr>
        <w:t>on many of the private international law aspects of insolvency</w:t>
      </w:r>
      <w:r w:rsidR="0009167D">
        <w:rPr>
          <w:rFonts w:ascii="Avenir Next" w:hAnsi="Avenir Next" w:cs="Arial"/>
          <w:color w:val="7B7B7B" w:themeColor="accent3" w:themeShade="BF"/>
          <w:sz w:val="22"/>
          <w:szCs w:val="22"/>
          <w:lang w:val="en-GB"/>
        </w:rPr>
        <w:t>.”</w:t>
      </w:r>
      <w:r w:rsidR="0009167D">
        <w:rPr>
          <w:rStyle w:val="FootnoteReference"/>
          <w:rFonts w:ascii="Avenir Next" w:hAnsi="Avenir Next" w:cs="Arial"/>
          <w:color w:val="7B7B7B" w:themeColor="accent3" w:themeShade="BF"/>
          <w:sz w:val="22"/>
          <w:szCs w:val="22"/>
          <w:lang w:val="en-GB"/>
        </w:rPr>
        <w:footnoteReference w:id="3"/>
      </w:r>
    </w:p>
    <w:p w14:paraId="572E920F" w14:textId="77777777" w:rsidR="00675C9B" w:rsidRDefault="00675C9B" w:rsidP="0047236B">
      <w:pPr>
        <w:jc w:val="both"/>
        <w:rPr>
          <w:rFonts w:ascii="Avenir Next" w:hAnsi="Avenir Next" w:cs="Arial"/>
          <w:color w:val="7B7B7B" w:themeColor="accent3" w:themeShade="BF"/>
          <w:sz w:val="22"/>
          <w:szCs w:val="22"/>
          <w:lang w:val="en-GB"/>
        </w:rPr>
      </w:pPr>
    </w:p>
    <w:p w14:paraId="761C6230" w14:textId="027629F3" w:rsidR="006A2C0C" w:rsidRDefault="00836639" w:rsidP="004723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note that t</w:t>
      </w:r>
      <w:r w:rsidR="0093435C">
        <w:rPr>
          <w:rFonts w:ascii="Avenir Next" w:hAnsi="Avenir Next" w:cs="Arial"/>
          <w:color w:val="7B7B7B" w:themeColor="accent3" w:themeShade="BF"/>
          <w:sz w:val="22"/>
          <w:szCs w:val="22"/>
          <w:lang w:val="en-GB"/>
        </w:rPr>
        <w:t>he international elements may include</w:t>
      </w:r>
      <w:r w:rsidR="006A2C0C">
        <w:rPr>
          <w:rFonts w:ascii="Avenir Next" w:hAnsi="Avenir Next" w:cs="Arial"/>
          <w:color w:val="7B7B7B" w:themeColor="accent3" w:themeShade="BF"/>
          <w:sz w:val="22"/>
          <w:szCs w:val="22"/>
          <w:lang w:val="en-GB"/>
        </w:rPr>
        <w:t xml:space="preserve"> </w:t>
      </w:r>
      <w:r w:rsidR="00084397">
        <w:rPr>
          <w:rFonts w:ascii="Avenir Next" w:hAnsi="Avenir Next" w:cs="Arial"/>
          <w:color w:val="7B7B7B" w:themeColor="accent3" w:themeShade="BF"/>
          <w:sz w:val="22"/>
          <w:szCs w:val="22"/>
          <w:lang w:val="en-GB"/>
        </w:rPr>
        <w:t xml:space="preserve">(without meaning to be </w:t>
      </w:r>
      <w:r>
        <w:rPr>
          <w:rFonts w:ascii="Avenir Next" w:hAnsi="Avenir Next" w:cs="Arial"/>
          <w:color w:val="7B7B7B" w:themeColor="accent3" w:themeShade="BF"/>
          <w:sz w:val="22"/>
          <w:szCs w:val="22"/>
          <w:lang w:val="en-GB"/>
        </w:rPr>
        <w:t xml:space="preserve">an exclusive list) </w:t>
      </w:r>
      <w:r w:rsidR="008621DA">
        <w:rPr>
          <w:rFonts w:ascii="Avenir Next" w:hAnsi="Avenir Next" w:cs="Arial"/>
          <w:color w:val="7B7B7B" w:themeColor="accent3" w:themeShade="BF"/>
          <w:sz w:val="22"/>
          <w:szCs w:val="22"/>
          <w:lang w:val="en-GB"/>
        </w:rPr>
        <w:t xml:space="preserve">choice of forum disputes (which may arise from </w:t>
      </w:r>
      <w:r w:rsidR="00084397">
        <w:rPr>
          <w:rFonts w:ascii="Avenir Next" w:hAnsi="Avenir Next" w:cs="Arial"/>
          <w:color w:val="7B7B7B" w:themeColor="accent3" w:themeShade="BF"/>
          <w:sz w:val="22"/>
          <w:szCs w:val="22"/>
          <w:lang w:val="en-GB"/>
        </w:rPr>
        <w:t>contractual jurisdictional clauses)</w:t>
      </w:r>
      <w:r w:rsidR="00F713D7">
        <w:rPr>
          <w:rFonts w:ascii="Avenir Next" w:hAnsi="Avenir Next" w:cs="Arial"/>
          <w:color w:val="7B7B7B" w:themeColor="accent3" w:themeShade="BF"/>
          <w:sz w:val="22"/>
          <w:szCs w:val="22"/>
          <w:lang w:val="en-GB"/>
        </w:rPr>
        <w:t>,</w:t>
      </w:r>
      <w:r w:rsidR="00084397">
        <w:rPr>
          <w:rFonts w:ascii="Avenir Next" w:hAnsi="Avenir Next" w:cs="Arial"/>
          <w:color w:val="7B7B7B" w:themeColor="accent3" w:themeShade="BF"/>
          <w:sz w:val="22"/>
          <w:szCs w:val="22"/>
          <w:lang w:val="en-GB"/>
        </w:rPr>
        <w:t xml:space="preserve"> </w:t>
      </w:r>
      <w:r w:rsidR="00F545D9">
        <w:rPr>
          <w:rFonts w:ascii="Avenir Next" w:hAnsi="Avenir Next" w:cs="Arial"/>
          <w:color w:val="7B7B7B" w:themeColor="accent3" w:themeShade="BF"/>
          <w:sz w:val="22"/>
          <w:szCs w:val="22"/>
          <w:lang w:val="en-GB"/>
        </w:rPr>
        <w:t>location of assets or business</w:t>
      </w:r>
      <w:r w:rsidR="00F713D7">
        <w:rPr>
          <w:rFonts w:ascii="Avenir Next" w:hAnsi="Avenir Next" w:cs="Arial"/>
          <w:color w:val="7B7B7B" w:themeColor="accent3" w:themeShade="BF"/>
          <w:sz w:val="22"/>
          <w:szCs w:val="22"/>
          <w:lang w:val="en-GB"/>
        </w:rPr>
        <w:t>es</w:t>
      </w:r>
      <w:r w:rsidR="00F545D9">
        <w:rPr>
          <w:rFonts w:ascii="Avenir Next" w:hAnsi="Avenir Next" w:cs="Arial"/>
          <w:color w:val="7B7B7B" w:themeColor="accent3" w:themeShade="BF"/>
          <w:sz w:val="22"/>
          <w:szCs w:val="22"/>
          <w:lang w:val="en-GB"/>
        </w:rPr>
        <w:t xml:space="preserve"> of the debtor that may be recoverable </w:t>
      </w:r>
      <w:r w:rsidR="00FE0371">
        <w:rPr>
          <w:rFonts w:ascii="Avenir Next" w:hAnsi="Avenir Next" w:cs="Arial"/>
          <w:color w:val="7B7B7B" w:themeColor="accent3" w:themeShade="BF"/>
          <w:sz w:val="22"/>
          <w:szCs w:val="22"/>
          <w:lang w:val="en-GB"/>
        </w:rPr>
        <w:t>by an insolvency representative</w:t>
      </w:r>
      <w:r w:rsidR="00F713D7">
        <w:rPr>
          <w:rFonts w:ascii="Avenir Next" w:hAnsi="Avenir Next" w:cs="Arial"/>
          <w:color w:val="7B7B7B" w:themeColor="accent3" w:themeShade="BF"/>
          <w:sz w:val="22"/>
          <w:szCs w:val="22"/>
          <w:lang w:val="en-GB"/>
        </w:rPr>
        <w:t>,</w:t>
      </w:r>
      <w:r w:rsidR="004320F0">
        <w:rPr>
          <w:rStyle w:val="FootnoteReference"/>
          <w:rFonts w:ascii="Avenir Next" w:hAnsi="Avenir Next" w:cs="Arial"/>
          <w:color w:val="7B7B7B" w:themeColor="accent3" w:themeShade="BF"/>
          <w:sz w:val="22"/>
          <w:szCs w:val="22"/>
          <w:lang w:val="en-GB"/>
        </w:rPr>
        <w:footnoteReference w:id="4"/>
      </w:r>
      <w:r w:rsidR="00FE0371">
        <w:rPr>
          <w:rFonts w:ascii="Avenir Next" w:hAnsi="Avenir Next" w:cs="Arial"/>
          <w:color w:val="7B7B7B" w:themeColor="accent3" w:themeShade="BF"/>
          <w:sz w:val="22"/>
          <w:szCs w:val="22"/>
          <w:lang w:val="en-GB"/>
        </w:rPr>
        <w:t xml:space="preserve"> </w:t>
      </w:r>
      <w:r w:rsidR="00F713D7">
        <w:rPr>
          <w:rFonts w:ascii="Avenir Next" w:hAnsi="Avenir Next" w:cs="Arial"/>
          <w:color w:val="7B7B7B" w:themeColor="accent3" w:themeShade="BF"/>
          <w:sz w:val="22"/>
          <w:szCs w:val="22"/>
          <w:lang w:val="en-GB"/>
        </w:rPr>
        <w:t>foreign</w:t>
      </w:r>
      <w:r w:rsidR="000B0B98">
        <w:rPr>
          <w:rFonts w:ascii="Avenir Next" w:hAnsi="Avenir Next" w:cs="Arial"/>
          <w:color w:val="7B7B7B" w:themeColor="accent3" w:themeShade="BF"/>
          <w:sz w:val="22"/>
          <w:szCs w:val="22"/>
          <w:lang w:val="en-GB"/>
        </w:rPr>
        <w:t xml:space="preserve"> pre-appointment</w:t>
      </w:r>
      <w:r w:rsidR="00F713D7">
        <w:rPr>
          <w:rFonts w:ascii="Avenir Next" w:hAnsi="Avenir Next" w:cs="Arial"/>
          <w:color w:val="7B7B7B" w:themeColor="accent3" w:themeShade="BF"/>
          <w:sz w:val="22"/>
          <w:szCs w:val="22"/>
          <w:lang w:val="en-GB"/>
        </w:rPr>
        <w:t xml:space="preserve"> in</w:t>
      </w:r>
      <w:r w:rsidR="000B0B98">
        <w:rPr>
          <w:rFonts w:ascii="Avenir Next" w:hAnsi="Avenir Next" w:cs="Arial"/>
          <w:color w:val="7B7B7B" w:themeColor="accent3" w:themeShade="BF"/>
          <w:sz w:val="22"/>
          <w:szCs w:val="22"/>
          <w:lang w:val="en-GB"/>
        </w:rPr>
        <w:t xml:space="preserve">solvency proceedings, </w:t>
      </w:r>
      <w:r w:rsidR="006746A5">
        <w:rPr>
          <w:rFonts w:ascii="Avenir Next" w:hAnsi="Avenir Next" w:cs="Arial"/>
          <w:color w:val="7B7B7B" w:themeColor="accent3" w:themeShade="BF"/>
          <w:sz w:val="22"/>
          <w:szCs w:val="22"/>
          <w:lang w:val="en-GB"/>
        </w:rPr>
        <w:t>executory contracts, avoidance provisions, etc.</w:t>
      </w:r>
      <w:r w:rsidR="009F6BA9">
        <w:rPr>
          <w:rStyle w:val="FootnoteReference"/>
          <w:rFonts w:ascii="Avenir Next" w:hAnsi="Avenir Next" w:cs="Arial"/>
          <w:color w:val="7B7B7B" w:themeColor="accent3" w:themeShade="BF"/>
          <w:sz w:val="22"/>
          <w:szCs w:val="22"/>
          <w:lang w:val="en-GB"/>
        </w:rPr>
        <w:footnoteReference w:id="5"/>
      </w:r>
      <w:r w:rsidR="006746A5">
        <w:rPr>
          <w:rFonts w:ascii="Avenir Next" w:hAnsi="Avenir Next" w:cs="Arial"/>
          <w:color w:val="7B7B7B" w:themeColor="accent3" w:themeShade="BF"/>
          <w:sz w:val="22"/>
          <w:szCs w:val="22"/>
          <w:lang w:val="en-GB"/>
        </w:rPr>
        <w:t xml:space="preserve"> </w:t>
      </w:r>
      <w:r w:rsidR="00084397">
        <w:rPr>
          <w:rFonts w:ascii="Avenir Next" w:hAnsi="Avenir Next" w:cs="Arial"/>
          <w:color w:val="7B7B7B" w:themeColor="accent3" w:themeShade="BF"/>
          <w:sz w:val="22"/>
          <w:szCs w:val="22"/>
          <w:lang w:val="en-GB"/>
        </w:rPr>
        <w:t xml:space="preserve"> </w:t>
      </w:r>
      <w:r w:rsidR="008621DA">
        <w:rPr>
          <w:rFonts w:ascii="Avenir Next" w:hAnsi="Avenir Next" w:cs="Arial"/>
          <w:color w:val="7B7B7B" w:themeColor="accent3" w:themeShade="BF"/>
          <w:sz w:val="22"/>
          <w:szCs w:val="22"/>
          <w:lang w:val="en-GB"/>
        </w:rPr>
        <w:t xml:space="preserve"> </w:t>
      </w:r>
    </w:p>
    <w:p w14:paraId="3D6A3B16" w14:textId="77777777" w:rsidR="006A2C0C" w:rsidRDefault="006A2C0C" w:rsidP="0047236B">
      <w:pPr>
        <w:jc w:val="both"/>
        <w:rPr>
          <w:rFonts w:ascii="Avenir Next" w:hAnsi="Avenir Next" w:cs="Arial"/>
          <w:color w:val="7B7B7B" w:themeColor="accent3" w:themeShade="BF"/>
          <w:sz w:val="22"/>
          <w:szCs w:val="22"/>
          <w:lang w:val="en-GB"/>
        </w:rPr>
      </w:pPr>
    </w:p>
    <w:p w14:paraId="10614297" w14:textId="46107840" w:rsidR="00C72848" w:rsidRPr="00827D56" w:rsidRDefault="002C13C8" w:rsidP="00DC5382">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601AB1E" w14:textId="048BECBC" w:rsidR="00F13B46" w:rsidRDefault="00D279C5" w:rsidP="00913E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w:t>
      </w:r>
      <w:r w:rsidR="0069337F">
        <w:rPr>
          <w:rFonts w:ascii="Avenir Next" w:hAnsi="Avenir Next" w:cs="Arial"/>
          <w:color w:val="7B7B7B" w:themeColor="accent3" w:themeShade="BF"/>
          <w:sz w:val="22"/>
          <w:szCs w:val="22"/>
          <w:lang w:val="en-GB"/>
        </w:rPr>
        <w:t xml:space="preserve">is effectively the antithesis of </w:t>
      </w:r>
      <w:r>
        <w:rPr>
          <w:rFonts w:ascii="Avenir Next" w:hAnsi="Avenir Next" w:cs="Arial"/>
          <w:color w:val="7B7B7B" w:themeColor="accent3" w:themeShade="BF"/>
          <w:sz w:val="22"/>
          <w:szCs w:val="22"/>
          <w:lang w:val="en-GB"/>
        </w:rPr>
        <w:t xml:space="preserve">territoriality </w:t>
      </w:r>
      <w:r w:rsidR="0069337F">
        <w:rPr>
          <w:rFonts w:ascii="Avenir Next" w:hAnsi="Avenir Next" w:cs="Arial"/>
          <w:color w:val="7B7B7B" w:themeColor="accent3" w:themeShade="BF"/>
          <w:sz w:val="22"/>
          <w:szCs w:val="22"/>
          <w:lang w:val="en-GB"/>
        </w:rPr>
        <w:t xml:space="preserve">in that the former </w:t>
      </w:r>
      <w:r w:rsidR="00F03230">
        <w:rPr>
          <w:rFonts w:ascii="Avenir Next" w:hAnsi="Avenir Next" w:cs="Arial"/>
          <w:color w:val="7B7B7B" w:themeColor="accent3" w:themeShade="BF"/>
          <w:sz w:val="22"/>
          <w:szCs w:val="22"/>
          <w:lang w:val="en-GB"/>
        </w:rPr>
        <w:t xml:space="preserve">proposes a unity of </w:t>
      </w:r>
      <w:r w:rsidR="00745F75">
        <w:rPr>
          <w:rFonts w:ascii="Avenir Next" w:hAnsi="Avenir Next" w:cs="Arial"/>
          <w:color w:val="7B7B7B" w:themeColor="accent3" w:themeShade="BF"/>
          <w:sz w:val="22"/>
          <w:szCs w:val="22"/>
          <w:lang w:val="en-GB"/>
        </w:rPr>
        <w:t>jurisdictions to deal with assets and creditors worldwide, whereas</w:t>
      </w:r>
      <w:r w:rsidR="00992690">
        <w:rPr>
          <w:rFonts w:ascii="Avenir Next" w:hAnsi="Avenir Next" w:cs="Arial"/>
          <w:color w:val="7B7B7B" w:themeColor="accent3" w:themeShade="BF"/>
          <w:sz w:val="22"/>
          <w:szCs w:val="22"/>
          <w:lang w:val="en-GB"/>
        </w:rPr>
        <w:t>,</w:t>
      </w:r>
      <w:r w:rsidR="00745F75">
        <w:rPr>
          <w:rFonts w:ascii="Avenir Next" w:hAnsi="Avenir Next" w:cs="Arial"/>
          <w:color w:val="7B7B7B" w:themeColor="accent3" w:themeShade="BF"/>
          <w:sz w:val="22"/>
          <w:szCs w:val="22"/>
          <w:lang w:val="en-GB"/>
        </w:rPr>
        <w:t xml:space="preserve"> the la</w:t>
      </w:r>
      <w:r w:rsidR="00992690">
        <w:rPr>
          <w:rFonts w:ascii="Avenir Next" w:hAnsi="Avenir Next" w:cs="Arial"/>
          <w:color w:val="7B7B7B" w:themeColor="accent3" w:themeShade="BF"/>
          <w:sz w:val="22"/>
          <w:szCs w:val="22"/>
          <w:lang w:val="en-GB"/>
        </w:rPr>
        <w:t>t</w:t>
      </w:r>
      <w:r w:rsidR="00745F75">
        <w:rPr>
          <w:rFonts w:ascii="Avenir Next" w:hAnsi="Avenir Next" w:cs="Arial"/>
          <w:color w:val="7B7B7B" w:themeColor="accent3" w:themeShade="BF"/>
          <w:sz w:val="22"/>
          <w:szCs w:val="22"/>
          <w:lang w:val="en-GB"/>
        </w:rPr>
        <w:t>ter</w:t>
      </w:r>
      <w:r w:rsidR="00C53865">
        <w:rPr>
          <w:rFonts w:ascii="Avenir Next" w:hAnsi="Avenir Next" w:cs="Arial"/>
          <w:color w:val="7B7B7B" w:themeColor="accent3" w:themeShade="BF"/>
          <w:sz w:val="22"/>
          <w:szCs w:val="22"/>
          <w:lang w:val="en-GB"/>
        </w:rPr>
        <w:t xml:space="preserve"> proposes a </w:t>
      </w:r>
      <w:r w:rsidR="00992690">
        <w:rPr>
          <w:rFonts w:ascii="Avenir Next" w:hAnsi="Avenir Next" w:cs="Arial"/>
          <w:color w:val="7B7B7B" w:themeColor="accent3" w:themeShade="BF"/>
          <w:sz w:val="22"/>
          <w:szCs w:val="22"/>
          <w:lang w:val="en-GB"/>
        </w:rPr>
        <w:t>“</w:t>
      </w:r>
      <w:r w:rsidR="00C53865">
        <w:rPr>
          <w:rFonts w:ascii="Avenir Next" w:hAnsi="Avenir Next" w:cs="Arial"/>
          <w:color w:val="7B7B7B" w:themeColor="accent3" w:themeShade="BF"/>
          <w:sz w:val="22"/>
          <w:szCs w:val="22"/>
          <w:lang w:val="en-GB"/>
        </w:rPr>
        <w:t>grab-rule</w:t>
      </w:r>
      <w:r w:rsidR="00992690">
        <w:rPr>
          <w:rFonts w:ascii="Avenir Next" w:hAnsi="Avenir Next" w:cs="Arial"/>
          <w:color w:val="7B7B7B" w:themeColor="accent3" w:themeShade="BF"/>
          <w:sz w:val="22"/>
          <w:szCs w:val="22"/>
          <w:lang w:val="en-GB"/>
        </w:rPr>
        <w:t>”</w:t>
      </w:r>
      <w:r w:rsidR="00C53865">
        <w:rPr>
          <w:rStyle w:val="FootnoteReference"/>
          <w:rFonts w:ascii="Avenir Next" w:hAnsi="Avenir Next" w:cs="Arial"/>
          <w:color w:val="7B7B7B" w:themeColor="accent3" w:themeShade="BF"/>
          <w:sz w:val="22"/>
          <w:szCs w:val="22"/>
          <w:lang w:val="en-GB"/>
        </w:rPr>
        <w:footnoteReference w:id="6"/>
      </w:r>
      <w:r w:rsidR="00C53865">
        <w:rPr>
          <w:rFonts w:ascii="Avenir Next" w:hAnsi="Avenir Next" w:cs="Arial"/>
          <w:color w:val="7B7B7B" w:themeColor="accent3" w:themeShade="BF"/>
          <w:sz w:val="22"/>
          <w:szCs w:val="22"/>
          <w:lang w:val="en-GB"/>
        </w:rPr>
        <w:t xml:space="preserve"> in which </w:t>
      </w:r>
      <w:r w:rsidR="00065CDA">
        <w:rPr>
          <w:rFonts w:ascii="Avenir Next" w:hAnsi="Avenir Next" w:cs="Arial"/>
          <w:color w:val="7B7B7B" w:themeColor="accent3" w:themeShade="BF"/>
          <w:sz w:val="22"/>
          <w:szCs w:val="22"/>
          <w:lang w:val="en-GB"/>
        </w:rPr>
        <w:t xml:space="preserve">the local jurisdiction prioritises local </w:t>
      </w:r>
      <w:r w:rsidR="00E32414">
        <w:rPr>
          <w:rFonts w:ascii="Avenir Next" w:hAnsi="Avenir Next" w:cs="Arial"/>
          <w:color w:val="7B7B7B" w:themeColor="accent3" w:themeShade="BF"/>
          <w:sz w:val="22"/>
          <w:szCs w:val="22"/>
          <w:lang w:val="en-GB"/>
        </w:rPr>
        <w:t xml:space="preserve">assets and local creditors over international stakeholders. </w:t>
      </w:r>
    </w:p>
    <w:p w14:paraId="06E14FB4" w14:textId="77777777" w:rsidR="00F13B46" w:rsidRDefault="00F13B46" w:rsidP="00913EA5">
      <w:pPr>
        <w:jc w:val="both"/>
        <w:rPr>
          <w:rFonts w:ascii="Avenir Next" w:hAnsi="Avenir Next" w:cs="Arial"/>
          <w:color w:val="7B7B7B" w:themeColor="accent3" w:themeShade="BF"/>
          <w:sz w:val="22"/>
          <w:szCs w:val="22"/>
          <w:lang w:val="en-GB"/>
        </w:rPr>
      </w:pPr>
    </w:p>
    <w:p w14:paraId="50AA61C7" w14:textId="26E53C9F" w:rsidR="00851A4B" w:rsidRDefault="00F86CD6" w:rsidP="00913E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w:t>
      </w:r>
      <w:r w:rsidR="00747E0F">
        <w:rPr>
          <w:rFonts w:ascii="Avenir Next" w:hAnsi="Avenir Next" w:cs="Arial"/>
          <w:color w:val="7B7B7B" w:themeColor="accent3" w:themeShade="BF"/>
          <w:sz w:val="22"/>
          <w:szCs w:val="22"/>
          <w:lang w:val="en-GB"/>
        </w:rPr>
        <w:t xml:space="preserve">is a theory in which </w:t>
      </w:r>
      <w:r w:rsidR="00350C84">
        <w:rPr>
          <w:rFonts w:ascii="Avenir Next" w:hAnsi="Avenir Next" w:cs="Arial"/>
          <w:color w:val="7B7B7B" w:themeColor="accent3" w:themeShade="BF"/>
          <w:sz w:val="22"/>
          <w:szCs w:val="22"/>
          <w:lang w:val="en-GB"/>
        </w:rPr>
        <w:t>upon the commencement of an insolvency proceeding</w:t>
      </w:r>
      <w:r w:rsidR="00350C84">
        <w:rPr>
          <w:rStyle w:val="FootnoteReference"/>
          <w:rFonts w:ascii="Avenir Next" w:hAnsi="Avenir Next" w:cs="Arial"/>
          <w:color w:val="7B7B7B" w:themeColor="accent3" w:themeShade="BF"/>
          <w:sz w:val="22"/>
          <w:szCs w:val="22"/>
          <w:lang w:val="en-GB"/>
        </w:rPr>
        <w:footnoteReference w:id="7"/>
      </w:r>
      <w:r w:rsidR="00913EA5">
        <w:rPr>
          <w:rFonts w:ascii="Avenir Next" w:hAnsi="Avenir Next" w:cs="Arial"/>
          <w:color w:val="7B7B7B" w:themeColor="accent3" w:themeShade="BF"/>
          <w:sz w:val="22"/>
          <w:szCs w:val="22"/>
          <w:lang w:val="en-GB"/>
        </w:rPr>
        <w:t xml:space="preserve"> in a given country</w:t>
      </w:r>
      <w:r w:rsidR="00120637">
        <w:rPr>
          <w:rFonts w:ascii="Avenir Next" w:hAnsi="Avenir Next" w:cs="Arial"/>
          <w:color w:val="7B7B7B" w:themeColor="accent3" w:themeShade="BF"/>
          <w:sz w:val="22"/>
          <w:szCs w:val="22"/>
          <w:lang w:val="en-GB"/>
        </w:rPr>
        <w:t>,</w:t>
      </w:r>
      <w:r w:rsidR="0026493D">
        <w:rPr>
          <w:rFonts w:ascii="Avenir Next" w:hAnsi="Avenir Next" w:cs="Arial"/>
          <w:color w:val="7B7B7B" w:themeColor="accent3" w:themeShade="BF"/>
          <w:sz w:val="22"/>
          <w:szCs w:val="22"/>
          <w:lang w:val="en-GB"/>
        </w:rPr>
        <w:t xml:space="preserve"> no other </w:t>
      </w:r>
      <w:r w:rsidR="00120637">
        <w:rPr>
          <w:rFonts w:ascii="Avenir Next" w:hAnsi="Avenir Next" w:cs="Arial"/>
          <w:color w:val="7B7B7B" w:themeColor="accent3" w:themeShade="BF"/>
          <w:sz w:val="22"/>
          <w:szCs w:val="22"/>
          <w:lang w:val="en-GB"/>
        </w:rPr>
        <w:t>proceedings</w:t>
      </w:r>
      <w:r w:rsidR="00B2708A">
        <w:rPr>
          <w:rFonts w:ascii="Avenir Next" w:hAnsi="Avenir Next" w:cs="Arial"/>
          <w:color w:val="7B7B7B" w:themeColor="accent3" w:themeShade="BF"/>
          <w:sz w:val="22"/>
          <w:szCs w:val="22"/>
          <w:lang w:val="en-GB"/>
        </w:rPr>
        <w:t xml:space="preserve"> or forms of execution</w:t>
      </w:r>
      <w:r w:rsidR="0032387D">
        <w:rPr>
          <w:rFonts w:ascii="Avenir Next" w:hAnsi="Avenir Next" w:cs="Arial"/>
          <w:color w:val="7B7B7B" w:themeColor="accent3" w:themeShade="BF"/>
          <w:sz w:val="22"/>
          <w:szCs w:val="22"/>
          <w:lang w:val="en-GB"/>
        </w:rPr>
        <w:t xml:space="preserve"> against a debtors</w:t>
      </w:r>
      <w:r w:rsidR="00231ADD">
        <w:rPr>
          <w:rFonts w:ascii="Avenir Next" w:hAnsi="Avenir Next" w:cs="Arial"/>
          <w:color w:val="7B7B7B" w:themeColor="accent3" w:themeShade="BF"/>
          <w:sz w:val="22"/>
          <w:szCs w:val="22"/>
          <w:lang w:val="en-GB"/>
        </w:rPr>
        <w:t>’</w:t>
      </w:r>
      <w:r w:rsidR="0032387D">
        <w:rPr>
          <w:rFonts w:ascii="Avenir Next" w:hAnsi="Avenir Next" w:cs="Arial"/>
          <w:color w:val="7B7B7B" w:themeColor="accent3" w:themeShade="BF"/>
          <w:sz w:val="22"/>
          <w:szCs w:val="22"/>
          <w:lang w:val="en-GB"/>
        </w:rPr>
        <w:t xml:space="preserve"> assets</w:t>
      </w:r>
      <w:r w:rsidR="00120637">
        <w:rPr>
          <w:rFonts w:ascii="Avenir Next" w:hAnsi="Avenir Next" w:cs="Arial"/>
          <w:color w:val="7B7B7B" w:themeColor="accent3" w:themeShade="BF"/>
          <w:sz w:val="22"/>
          <w:szCs w:val="22"/>
          <w:lang w:val="en-GB"/>
        </w:rPr>
        <w:t xml:space="preserve"> should be possible in any other country</w:t>
      </w:r>
      <w:r w:rsidR="00B2708A">
        <w:rPr>
          <w:rFonts w:ascii="Avenir Next" w:hAnsi="Avenir Next" w:cs="Arial"/>
          <w:color w:val="7B7B7B" w:themeColor="accent3" w:themeShade="BF"/>
          <w:sz w:val="22"/>
          <w:szCs w:val="22"/>
          <w:lang w:val="en-GB"/>
        </w:rPr>
        <w:t>.</w:t>
      </w:r>
      <w:r w:rsidR="00B437D0">
        <w:rPr>
          <w:rFonts w:ascii="Avenir Next" w:hAnsi="Avenir Next" w:cs="Arial"/>
          <w:color w:val="7B7B7B" w:themeColor="accent3" w:themeShade="BF"/>
          <w:sz w:val="22"/>
          <w:szCs w:val="22"/>
          <w:lang w:val="en-GB"/>
        </w:rPr>
        <w:t xml:space="preserve"> This allows the </w:t>
      </w:r>
      <w:r w:rsidR="006D6129">
        <w:rPr>
          <w:rFonts w:ascii="Avenir Next" w:hAnsi="Avenir Next" w:cs="Arial"/>
          <w:color w:val="7B7B7B" w:themeColor="accent3" w:themeShade="BF"/>
          <w:sz w:val="22"/>
          <w:szCs w:val="22"/>
          <w:lang w:val="en-GB"/>
        </w:rPr>
        <w:t xml:space="preserve">court of the </w:t>
      </w:r>
      <w:r w:rsidR="00B437D0">
        <w:rPr>
          <w:rFonts w:ascii="Avenir Next" w:hAnsi="Avenir Next" w:cs="Arial"/>
          <w:color w:val="7B7B7B" w:themeColor="accent3" w:themeShade="BF"/>
          <w:sz w:val="22"/>
          <w:szCs w:val="22"/>
          <w:lang w:val="en-GB"/>
        </w:rPr>
        <w:t>main proceeding (</w:t>
      </w:r>
      <w:r w:rsidR="00B437D0">
        <w:rPr>
          <w:rFonts w:ascii="Avenir Next" w:hAnsi="Avenir Next" w:cs="Arial"/>
          <w:i/>
          <w:iCs/>
          <w:color w:val="7B7B7B" w:themeColor="accent3" w:themeShade="BF"/>
          <w:sz w:val="22"/>
          <w:szCs w:val="22"/>
          <w:lang w:val="en-GB"/>
        </w:rPr>
        <w:t>lex fori concursus</w:t>
      </w:r>
      <w:r w:rsidR="00BD79DD">
        <w:rPr>
          <w:rFonts w:ascii="Avenir Next" w:hAnsi="Avenir Next" w:cs="Arial"/>
          <w:color w:val="7B7B7B" w:themeColor="accent3" w:themeShade="BF"/>
          <w:sz w:val="22"/>
          <w:szCs w:val="22"/>
          <w:lang w:val="en-GB"/>
        </w:rPr>
        <w:t>)</w:t>
      </w:r>
      <w:r w:rsidR="007A2344">
        <w:rPr>
          <w:rFonts w:ascii="Avenir Next" w:hAnsi="Avenir Next" w:cs="Arial"/>
          <w:color w:val="7B7B7B" w:themeColor="accent3" w:themeShade="BF"/>
          <w:sz w:val="22"/>
          <w:szCs w:val="22"/>
          <w:lang w:val="en-GB"/>
        </w:rPr>
        <w:t xml:space="preserve"> to regulate the insolvency </w:t>
      </w:r>
      <w:r w:rsidR="00BB0C81">
        <w:rPr>
          <w:rFonts w:ascii="Avenir Next" w:hAnsi="Avenir Next" w:cs="Arial"/>
          <w:color w:val="7B7B7B" w:themeColor="accent3" w:themeShade="BF"/>
          <w:sz w:val="22"/>
          <w:szCs w:val="22"/>
          <w:lang w:val="en-GB"/>
        </w:rPr>
        <w:t>proceeding</w:t>
      </w:r>
      <w:r w:rsidR="00BD79DD">
        <w:rPr>
          <w:rFonts w:ascii="Avenir Next" w:hAnsi="Avenir Next" w:cs="Arial"/>
          <w:color w:val="7B7B7B" w:themeColor="accent3" w:themeShade="BF"/>
          <w:sz w:val="22"/>
          <w:szCs w:val="22"/>
          <w:lang w:val="en-GB"/>
        </w:rPr>
        <w:t xml:space="preserve"> </w:t>
      </w:r>
      <w:r w:rsidR="006D6129">
        <w:rPr>
          <w:rFonts w:ascii="Avenir Next" w:hAnsi="Avenir Next" w:cs="Arial"/>
          <w:color w:val="7B7B7B" w:themeColor="accent3" w:themeShade="BF"/>
          <w:sz w:val="22"/>
          <w:szCs w:val="22"/>
          <w:lang w:val="en-GB"/>
        </w:rPr>
        <w:t>world-wide</w:t>
      </w:r>
      <w:r w:rsidR="00EB108C">
        <w:rPr>
          <w:rFonts w:ascii="Avenir Next" w:hAnsi="Avenir Next" w:cs="Arial"/>
          <w:color w:val="7B7B7B" w:themeColor="accent3" w:themeShade="BF"/>
          <w:sz w:val="22"/>
          <w:szCs w:val="22"/>
          <w:lang w:val="en-GB"/>
        </w:rPr>
        <w:t xml:space="preserve">. </w:t>
      </w:r>
      <w:r w:rsidR="006D03DC">
        <w:rPr>
          <w:rFonts w:ascii="Avenir Next" w:hAnsi="Avenir Next" w:cs="Arial"/>
          <w:color w:val="7B7B7B" w:themeColor="accent3" w:themeShade="BF"/>
          <w:sz w:val="22"/>
          <w:szCs w:val="22"/>
          <w:lang w:val="en-GB"/>
        </w:rPr>
        <w:t xml:space="preserve">The </w:t>
      </w:r>
      <w:r w:rsidR="006D03DC">
        <w:rPr>
          <w:rFonts w:ascii="Avenir Next" w:hAnsi="Avenir Next" w:cs="Arial"/>
          <w:i/>
          <w:iCs/>
          <w:color w:val="7B7B7B" w:themeColor="accent3" w:themeShade="BF"/>
          <w:sz w:val="22"/>
          <w:szCs w:val="22"/>
          <w:lang w:val="en-GB"/>
        </w:rPr>
        <w:t>lex fori concursus</w:t>
      </w:r>
      <w:r w:rsidR="001C22C1">
        <w:rPr>
          <w:rFonts w:ascii="Avenir Next" w:hAnsi="Avenir Next" w:cs="Arial"/>
          <w:color w:val="7B7B7B" w:themeColor="accent3" w:themeShade="BF"/>
          <w:sz w:val="22"/>
          <w:szCs w:val="22"/>
          <w:lang w:val="en-GB"/>
        </w:rPr>
        <w:t xml:space="preserve"> may be </w:t>
      </w:r>
      <w:r w:rsidR="00F30C2E">
        <w:rPr>
          <w:rFonts w:ascii="Avenir Next" w:hAnsi="Avenir Next" w:cs="Arial"/>
          <w:color w:val="7B7B7B" w:themeColor="accent3" w:themeShade="BF"/>
          <w:sz w:val="22"/>
          <w:szCs w:val="22"/>
          <w:lang w:val="en-GB"/>
        </w:rPr>
        <w:t xml:space="preserve">determined by the choice of forum </w:t>
      </w:r>
      <w:r w:rsidR="00D83D31">
        <w:rPr>
          <w:rFonts w:ascii="Avenir Next" w:hAnsi="Avenir Next" w:cs="Arial"/>
          <w:color w:val="7B7B7B" w:themeColor="accent3" w:themeShade="BF"/>
          <w:sz w:val="22"/>
          <w:szCs w:val="22"/>
          <w:lang w:val="en-GB"/>
        </w:rPr>
        <w:t xml:space="preserve">(ie centre of main interests or </w:t>
      </w:r>
      <w:r w:rsidR="008C4FD5">
        <w:rPr>
          <w:rFonts w:ascii="Avenir Next" w:hAnsi="Avenir Next" w:cs="Arial"/>
          <w:color w:val="7B7B7B" w:themeColor="accent3" w:themeShade="BF"/>
          <w:sz w:val="22"/>
          <w:szCs w:val="22"/>
          <w:lang w:val="en-GB"/>
        </w:rPr>
        <w:t xml:space="preserve">jurisdictional clauses in a written contract/document) or </w:t>
      </w:r>
      <w:r w:rsidR="00511C31">
        <w:rPr>
          <w:rFonts w:ascii="Avenir Next" w:hAnsi="Avenir Next" w:cs="Arial"/>
          <w:color w:val="7B7B7B" w:themeColor="accent3" w:themeShade="BF"/>
          <w:sz w:val="22"/>
          <w:szCs w:val="22"/>
          <w:lang w:val="en-GB"/>
        </w:rPr>
        <w:t>a worldwide implemented insolvency law</w:t>
      </w:r>
      <w:r w:rsidR="00051C2D">
        <w:rPr>
          <w:rFonts w:ascii="Avenir Next" w:hAnsi="Avenir Next" w:cs="Arial"/>
          <w:color w:val="7B7B7B" w:themeColor="accent3" w:themeShade="BF"/>
          <w:sz w:val="22"/>
          <w:szCs w:val="22"/>
          <w:lang w:val="en-GB"/>
        </w:rPr>
        <w:t>.</w:t>
      </w:r>
      <w:r w:rsidR="00051C2D">
        <w:rPr>
          <w:rStyle w:val="FootnoteReference"/>
          <w:rFonts w:ascii="Avenir Next" w:hAnsi="Avenir Next" w:cs="Arial"/>
          <w:color w:val="7B7B7B" w:themeColor="accent3" w:themeShade="BF"/>
          <w:sz w:val="22"/>
          <w:szCs w:val="22"/>
          <w:lang w:val="en-GB"/>
        </w:rPr>
        <w:footnoteReference w:id="8"/>
      </w:r>
      <w:r w:rsidR="00BA01AC">
        <w:rPr>
          <w:rFonts w:ascii="Avenir Next" w:hAnsi="Avenir Next" w:cs="Arial"/>
          <w:color w:val="7B7B7B" w:themeColor="accent3" w:themeShade="BF"/>
          <w:sz w:val="22"/>
          <w:szCs w:val="22"/>
          <w:lang w:val="en-GB"/>
        </w:rPr>
        <w:t xml:space="preserve"> </w:t>
      </w:r>
      <w:r w:rsidR="006D03DC">
        <w:rPr>
          <w:rFonts w:ascii="Avenir Next" w:hAnsi="Avenir Next" w:cs="Arial"/>
          <w:color w:val="7B7B7B" w:themeColor="accent3" w:themeShade="BF"/>
          <w:sz w:val="22"/>
          <w:szCs w:val="22"/>
          <w:lang w:val="en-GB"/>
        </w:rPr>
        <w:t xml:space="preserve">An example of how </w:t>
      </w:r>
      <w:r w:rsidR="00E71D78">
        <w:rPr>
          <w:rFonts w:ascii="Avenir Next" w:hAnsi="Avenir Next" w:cs="Arial"/>
          <w:color w:val="7B7B7B" w:themeColor="accent3" w:themeShade="BF"/>
          <w:sz w:val="22"/>
          <w:szCs w:val="22"/>
          <w:lang w:val="en-GB"/>
        </w:rPr>
        <w:t>universality</w:t>
      </w:r>
      <w:r w:rsidR="006D03DC">
        <w:rPr>
          <w:rFonts w:ascii="Avenir Next" w:hAnsi="Avenir Next" w:cs="Arial"/>
          <w:color w:val="7B7B7B" w:themeColor="accent3" w:themeShade="BF"/>
          <w:sz w:val="22"/>
          <w:szCs w:val="22"/>
          <w:lang w:val="en-GB"/>
        </w:rPr>
        <w:t xml:space="preserve"> </w:t>
      </w:r>
      <w:r w:rsidR="005F550B">
        <w:rPr>
          <w:rFonts w:ascii="Avenir Next" w:hAnsi="Avenir Next" w:cs="Arial"/>
          <w:color w:val="7B7B7B" w:themeColor="accent3" w:themeShade="BF"/>
          <w:sz w:val="22"/>
          <w:szCs w:val="22"/>
          <w:lang w:val="en-GB"/>
        </w:rPr>
        <w:t>theory may work is</w:t>
      </w:r>
      <w:r w:rsidR="00E71D78">
        <w:rPr>
          <w:rFonts w:ascii="Avenir Next" w:hAnsi="Avenir Next" w:cs="Arial"/>
          <w:color w:val="7B7B7B" w:themeColor="accent3" w:themeShade="BF"/>
          <w:sz w:val="22"/>
          <w:szCs w:val="22"/>
          <w:lang w:val="en-GB"/>
        </w:rPr>
        <w:t>:</w:t>
      </w:r>
      <w:r w:rsidR="005F550B">
        <w:rPr>
          <w:rFonts w:ascii="Avenir Next" w:hAnsi="Avenir Next" w:cs="Arial"/>
          <w:color w:val="7B7B7B" w:themeColor="accent3" w:themeShade="BF"/>
          <w:sz w:val="22"/>
          <w:szCs w:val="22"/>
          <w:lang w:val="en-GB"/>
        </w:rPr>
        <w:t xml:space="preserve"> </w:t>
      </w:r>
    </w:p>
    <w:p w14:paraId="6109F558" w14:textId="77777777" w:rsidR="00851A4B" w:rsidRPr="00B57397" w:rsidRDefault="00851A4B" w:rsidP="00913EA5">
      <w:pPr>
        <w:jc w:val="both"/>
        <w:rPr>
          <w:rFonts w:ascii="Avenir Next" w:hAnsi="Avenir Next" w:cs="Arial"/>
          <w:color w:val="7B7B7B" w:themeColor="accent3" w:themeShade="BF"/>
          <w:sz w:val="14"/>
          <w:szCs w:val="14"/>
          <w:lang w:val="en-GB"/>
        </w:rPr>
      </w:pPr>
    </w:p>
    <w:p w14:paraId="2F57801B" w14:textId="69D3C3FE" w:rsidR="009B07AD" w:rsidRDefault="00851A4B" w:rsidP="00851A4B">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5F550B">
        <w:rPr>
          <w:rFonts w:ascii="Avenir Next" w:hAnsi="Avenir Next" w:cs="Arial"/>
          <w:color w:val="7B7B7B" w:themeColor="accent3" w:themeShade="BF"/>
          <w:sz w:val="22"/>
          <w:szCs w:val="22"/>
          <w:lang w:val="en-GB"/>
        </w:rPr>
        <w:t xml:space="preserve">ssume Company X has its head office in </w:t>
      </w:r>
      <w:r w:rsidR="00757558">
        <w:rPr>
          <w:rFonts w:ascii="Avenir Next" w:hAnsi="Avenir Next" w:cs="Arial"/>
          <w:color w:val="7B7B7B" w:themeColor="accent3" w:themeShade="BF"/>
          <w:sz w:val="22"/>
          <w:szCs w:val="22"/>
          <w:lang w:val="en-GB"/>
        </w:rPr>
        <w:t>Australia, but trades operationally in both Australia and the United Kingdom</w:t>
      </w:r>
      <w:r w:rsidR="00AB329E">
        <w:rPr>
          <w:rFonts w:ascii="Avenir Next" w:hAnsi="Avenir Next" w:cs="Arial"/>
          <w:color w:val="7B7B7B" w:themeColor="accent3" w:themeShade="BF"/>
          <w:sz w:val="22"/>
          <w:szCs w:val="22"/>
          <w:lang w:val="en-GB"/>
        </w:rPr>
        <w:t xml:space="preserve"> (</w:t>
      </w:r>
      <w:r w:rsidR="00AB329E" w:rsidRPr="00AB329E">
        <w:rPr>
          <w:rFonts w:ascii="Avenir Next" w:hAnsi="Avenir Next" w:cs="Arial"/>
          <w:b/>
          <w:bCs/>
          <w:color w:val="7B7B7B" w:themeColor="accent3" w:themeShade="BF"/>
          <w:sz w:val="22"/>
          <w:szCs w:val="22"/>
          <w:lang w:val="en-GB"/>
        </w:rPr>
        <w:t>UK</w:t>
      </w:r>
      <w:r w:rsidR="00AB329E">
        <w:rPr>
          <w:rFonts w:ascii="Avenir Next" w:hAnsi="Avenir Next" w:cs="Arial"/>
          <w:color w:val="7B7B7B" w:themeColor="accent3" w:themeShade="BF"/>
          <w:sz w:val="22"/>
          <w:szCs w:val="22"/>
          <w:lang w:val="en-GB"/>
        </w:rPr>
        <w:t>)</w:t>
      </w:r>
      <w:r w:rsidR="00757558">
        <w:rPr>
          <w:rFonts w:ascii="Avenir Next" w:hAnsi="Avenir Next" w:cs="Arial"/>
          <w:color w:val="7B7B7B" w:themeColor="accent3" w:themeShade="BF"/>
          <w:sz w:val="22"/>
          <w:szCs w:val="22"/>
          <w:lang w:val="en-GB"/>
        </w:rPr>
        <w:t>. It may have assets and creditors in both ju</w:t>
      </w:r>
      <w:r w:rsidR="002903A8">
        <w:rPr>
          <w:rFonts w:ascii="Avenir Next" w:hAnsi="Avenir Next" w:cs="Arial"/>
          <w:color w:val="7B7B7B" w:themeColor="accent3" w:themeShade="BF"/>
          <w:sz w:val="22"/>
          <w:szCs w:val="22"/>
          <w:lang w:val="en-GB"/>
        </w:rPr>
        <w:t xml:space="preserve">risdictions. If a creditor in Australia sought to commence an insolvency proceeding in Australia, then the universality theory would dictate that the UK </w:t>
      </w:r>
      <w:r w:rsidR="00CB0B79">
        <w:rPr>
          <w:rFonts w:ascii="Avenir Next" w:hAnsi="Avenir Next" w:cs="Arial"/>
          <w:color w:val="7B7B7B" w:themeColor="accent3" w:themeShade="BF"/>
          <w:sz w:val="22"/>
          <w:szCs w:val="22"/>
          <w:lang w:val="en-GB"/>
        </w:rPr>
        <w:t xml:space="preserve">assets would vest in the </w:t>
      </w:r>
      <w:r w:rsidR="00A14EB7">
        <w:rPr>
          <w:rFonts w:ascii="Avenir Next" w:hAnsi="Avenir Next" w:cs="Arial"/>
          <w:color w:val="7B7B7B" w:themeColor="accent3" w:themeShade="BF"/>
          <w:sz w:val="22"/>
          <w:szCs w:val="22"/>
          <w:lang w:val="en-GB"/>
        </w:rPr>
        <w:t>Australia</w:t>
      </w:r>
      <w:r w:rsidR="00335674">
        <w:rPr>
          <w:rFonts w:ascii="Avenir Next" w:hAnsi="Avenir Next" w:cs="Arial"/>
          <w:color w:val="7B7B7B" w:themeColor="accent3" w:themeShade="BF"/>
          <w:sz w:val="22"/>
          <w:szCs w:val="22"/>
          <w:lang w:val="en-GB"/>
        </w:rPr>
        <w:t>n</w:t>
      </w:r>
      <w:r w:rsidR="00A14EB7">
        <w:rPr>
          <w:rFonts w:ascii="Avenir Next" w:hAnsi="Avenir Next" w:cs="Arial"/>
          <w:color w:val="7B7B7B" w:themeColor="accent3" w:themeShade="BF"/>
          <w:sz w:val="22"/>
          <w:szCs w:val="22"/>
          <w:lang w:val="en-GB"/>
        </w:rPr>
        <w:t xml:space="preserve"> </w:t>
      </w:r>
      <w:r w:rsidR="00CB0B79">
        <w:rPr>
          <w:rFonts w:ascii="Avenir Next" w:hAnsi="Avenir Next" w:cs="Arial"/>
          <w:color w:val="7B7B7B" w:themeColor="accent3" w:themeShade="BF"/>
          <w:sz w:val="22"/>
          <w:szCs w:val="22"/>
          <w:lang w:val="en-GB"/>
        </w:rPr>
        <w:t xml:space="preserve">insolvency representative and any UK creditors would be bound by the decisions of the Australian </w:t>
      </w:r>
      <w:r w:rsidR="00A14EB7">
        <w:rPr>
          <w:rFonts w:ascii="Avenir Next" w:hAnsi="Avenir Next" w:cs="Arial"/>
          <w:color w:val="7B7B7B" w:themeColor="accent3" w:themeShade="BF"/>
          <w:sz w:val="22"/>
          <w:szCs w:val="22"/>
          <w:lang w:val="en-GB"/>
        </w:rPr>
        <w:t xml:space="preserve">courts and/or Australian insolvency representative. </w:t>
      </w:r>
    </w:p>
    <w:p w14:paraId="7CD13120" w14:textId="77777777" w:rsidR="00992690" w:rsidRDefault="00992690" w:rsidP="00851A4B">
      <w:pPr>
        <w:ind w:left="720"/>
        <w:jc w:val="both"/>
        <w:rPr>
          <w:rFonts w:ascii="Avenir Next" w:hAnsi="Avenir Next" w:cs="Arial"/>
          <w:color w:val="7B7B7B" w:themeColor="accent3" w:themeShade="BF"/>
          <w:sz w:val="22"/>
          <w:szCs w:val="22"/>
          <w:lang w:val="en-GB"/>
        </w:rPr>
      </w:pPr>
    </w:p>
    <w:p w14:paraId="1CD39523" w14:textId="20A0DEA3" w:rsidR="003566B4" w:rsidRDefault="00E71D78" w:rsidP="003566B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Territoriality </w:t>
      </w:r>
      <w:r w:rsidR="00F95FAB">
        <w:rPr>
          <w:rFonts w:ascii="Avenir Next" w:hAnsi="Avenir Next" w:cs="Arial"/>
          <w:color w:val="7B7B7B" w:themeColor="accent3" w:themeShade="BF"/>
          <w:sz w:val="22"/>
          <w:szCs w:val="22"/>
          <w:lang w:val="en-GB"/>
        </w:rPr>
        <w:t>is a theory in which</w:t>
      </w:r>
      <w:r w:rsidR="00164AB5">
        <w:rPr>
          <w:rFonts w:ascii="Avenir Next" w:hAnsi="Avenir Next" w:cs="Arial"/>
          <w:color w:val="7B7B7B" w:themeColor="accent3" w:themeShade="BF"/>
          <w:sz w:val="22"/>
          <w:szCs w:val="22"/>
          <w:lang w:val="en-GB"/>
        </w:rPr>
        <w:t xml:space="preserve"> countries retain plenary power </w:t>
      </w:r>
      <w:r w:rsidR="00AA0354">
        <w:rPr>
          <w:rFonts w:ascii="Avenir Next" w:hAnsi="Avenir Next" w:cs="Arial"/>
          <w:color w:val="7B7B7B" w:themeColor="accent3" w:themeShade="BF"/>
          <w:sz w:val="22"/>
          <w:szCs w:val="22"/>
          <w:lang w:val="en-GB"/>
        </w:rPr>
        <w:t xml:space="preserve">over all </w:t>
      </w:r>
      <w:r w:rsidR="007643E8">
        <w:rPr>
          <w:rFonts w:ascii="Avenir Next" w:hAnsi="Avenir Next" w:cs="Arial"/>
          <w:color w:val="7B7B7B" w:themeColor="accent3" w:themeShade="BF"/>
          <w:sz w:val="22"/>
          <w:szCs w:val="22"/>
          <w:lang w:val="en-GB"/>
        </w:rPr>
        <w:t xml:space="preserve">local </w:t>
      </w:r>
      <w:r w:rsidR="00AA0354">
        <w:rPr>
          <w:rFonts w:ascii="Avenir Next" w:hAnsi="Avenir Next" w:cs="Arial"/>
          <w:color w:val="7B7B7B" w:themeColor="accent3" w:themeShade="BF"/>
          <w:sz w:val="22"/>
          <w:szCs w:val="22"/>
          <w:lang w:val="en-GB"/>
        </w:rPr>
        <w:t>assets</w:t>
      </w:r>
      <w:r w:rsidR="002E4782">
        <w:rPr>
          <w:rFonts w:ascii="Avenir Next" w:hAnsi="Avenir Next" w:cs="Arial"/>
          <w:color w:val="7B7B7B" w:themeColor="accent3" w:themeShade="BF"/>
          <w:sz w:val="22"/>
          <w:szCs w:val="22"/>
          <w:lang w:val="en-GB"/>
        </w:rPr>
        <w:t xml:space="preserve"> and </w:t>
      </w:r>
      <w:r w:rsidR="000860CB">
        <w:rPr>
          <w:rFonts w:ascii="Avenir Next" w:hAnsi="Avenir Next" w:cs="Arial"/>
          <w:color w:val="7B7B7B" w:themeColor="accent3" w:themeShade="BF"/>
          <w:sz w:val="22"/>
          <w:szCs w:val="22"/>
          <w:lang w:val="en-GB"/>
        </w:rPr>
        <w:t xml:space="preserve">creditors </w:t>
      </w:r>
      <w:r w:rsidR="002E4782">
        <w:rPr>
          <w:rFonts w:ascii="Avenir Next" w:hAnsi="Avenir Next" w:cs="Arial"/>
          <w:color w:val="7B7B7B" w:themeColor="accent3" w:themeShade="BF"/>
          <w:sz w:val="22"/>
          <w:szCs w:val="22"/>
          <w:lang w:val="en-GB"/>
        </w:rPr>
        <w:t>and</w:t>
      </w:r>
      <w:r w:rsidR="007B164A">
        <w:rPr>
          <w:rFonts w:ascii="Avenir Next" w:hAnsi="Avenir Next" w:cs="Arial"/>
          <w:color w:val="7B7B7B" w:themeColor="accent3" w:themeShade="BF"/>
          <w:sz w:val="22"/>
          <w:szCs w:val="22"/>
          <w:lang w:val="en-GB"/>
        </w:rPr>
        <w:t xml:space="preserve"> can mean that </w:t>
      </w:r>
      <w:r w:rsidR="000527AF">
        <w:rPr>
          <w:rFonts w:ascii="Avenir Next" w:hAnsi="Avenir Next" w:cs="Arial"/>
          <w:color w:val="7B7B7B" w:themeColor="accent3" w:themeShade="BF"/>
          <w:sz w:val="22"/>
          <w:szCs w:val="22"/>
          <w:lang w:val="en-GB"/>
        </w:rPr>
        <w:t xml:space="preserve">multiple insolvency proceedings are required in different jurisdictions. </w:t>
      </w:r>
      <w:r w:rsidR="00F13B46">
        <w:rPr>
          <w:rFonts w:ascii="Avenir Next" w:hAnsi="Avenir Next" w:cs="Arial"/>
          <w:color w:val="7B7B7B" w:themeColor="accent3" w:themeShade="BF"/>
          <w:sz w:val="22"/>
          <w:szCs w:val="22"/>
          <w:lang w:val="en-GB"/>
        </w:rPr>
        <w:t>Westbrook remarked that territoriality was akin</w:t>
      </w:r>
      <w:r w:rsidR="00CF758D">
        <w:rPr>
          <w:rFonts w:ascii="Avenir Next" w:hAnsi="Avenir Next" w:cs="Arial"/>
          <w:color w:val="7B7B7B" w:themeColor="accent3" w:themeShade="BF"/>
          <w:sz w:val="22"/>
          <w:szCs w:val="22"/>
          <w:lang w:val="en-GB"/>
        </w:rPr>
        <w:t xml:space="preserve"> to a “</w:t>
      </w:r>
      <w:r w:rsidR="00992690" w:rsidRPr="00992690">
        <w:rPr>
          <w:rFonts w:ascii="Avenir Next" w:hAnsi="Avenir Next" w:cs="Arial"/>
          <w:i/>
          <w:iCs/>
          <w:color w:val="7B7B7B" w:themeColor="accent3" w:themeShade="BF"/>
          <w:sz w:val="22"/>
          <w:szCs w:val="22"/>
          <w:lang w:val="en-GB"/>
        </w:rPr>
        <w:t xml:space="preserve">self-serving … </w:t>
      </w:r>
      <w:r w:rsidR="00CF758D" w:rsidRPr="00992690">
        <w:rPr>
          <w:rFonts w:ascii="Avenir Next" w:hAnsi="Avenir Next" w:cs="Arial"/>
          <w:i/>
          <w:iCs/>
          <w:color w:val="7B7B7B" w:themeColor="accent3" w:themeShade="BF"/>
          <w:sz w:val="22"/>
          <w:szCs w:val="22"/>
          <w:lang w:val="en-GB"/>
        </w:rPr>
        <w:t>international free-for-all</w:t>
      </w:r>
      <w:r w:rsidR="00992690">
        <w:rPr>
          <w:rFonts w:ascii="Avenir Next" w:hAnsi="Avenir Next" w:cs="Arial"/>
          <w:color w:val="7B7B7B" w:themeColor="accent3" w:themeShade="BF"/>
          <w:sz w:val="22"/>
          <w:szCs w:val="22"/>
          <w:lang w:val="en-GB"/>
        </w:rPr>
        <w:t>.</w:t>
      </w:r>
      <w:r w:rsidR="00CF758D">
        <w:rPr>
          <w:rFonts w:ascii="Avenir Next" w:hAnsi="Avenir Next" w:cs="Arial"/>
          <w:color w:val="7B7B7B" w:themeColor="accent3" w:themeShade="BF"/>
          <w:sz w:val="22"/>
          <w:szCs w:val="22"/>
          <w:lang w:val="en-GB"/>
        </w:rPr>
        <w:t>”</w:t>
      </w:r>
      <w:r w:rsidR="00992690">
        <w:rPr>
          <w:rStyle w:val="FootnoteReference"/>
          <w:rFonts w:ascii="Avenir Next" w:hAnsi="Avenir Next" w:cs="Arial"/>
          <w:color w:val="7B7B7B" w:themeColor="accent3" w:themeShade="BF"/>
          <w:sz w:val="22"/>
          <w:szCs w:val="22"/>
          <w:lang w:val="en-GB"/>
        </w:rPr>
        <w:footnoteReference w:id="9"/>
      </w:r>
      <w:r w:rsidR="00CF758D">
        <w:rPr>
          <w:rFonts w:ascii="Avenir Next" w:hAnsi="Avenir Next" w:cs="Arial"/>
          <w:color w:val="7B7B7B" w:themeColor="accent3" w:themeShade="BF"/>
          <w:sz w:val="22"/>
          <w:szCs w:val="22"/>
          <w:lang w:val="en-GB"/>
        </w:rPr>
        <w:t xml:space="preserve"> </w:t>
      </w:r>
      <w:r w:rsidR="003566B4">
        <w:rPr>
          <w:rFonts w:ascii="Avenir Next" w:hAnsi="Avenir Next" w:cs="Arial"/>
          <w:color w:val="7B7B7B" w:themeColor="accent3" w:themeShade="BF"/>
          <w:sz w:val="22"/>
          <w:szCs w:val="22"/>
          <w:lang w:val="en-GB"/>
        </w:rPr>
        <w:t xml:space="preserve">An example of how territoriality theory may work is: </w:t>
      </w:r>
    </w:p>
    <w:p w14:paraId="7C0D313C" w14:textId="77777777" w:rsidR="003566B4" w:rsidRPr="00B57397" w:rsidRDefault="003566B4" w:rsidP="003566B4">
      <w:pPr>
        <w:jc w:val="both"/>
        <w:rPr>
          <w:rFonts w:ascii="Avenir Next" w:hAnsi="Avenir Next" w:cs="Arial"/>
          <w:color w:val="7B7B7B" w:themeColor="accent3" w:themeShade="BF"/>
          <w:sz w:val="14"/>
          <w:szCs w:val="14"/>
          <w:lang w:val="en-GB"/>
        </w:rPr>
      </w:pPr>
    </w:p>
    <w:p w14:paraId="2126BC9D" w14:textId="04D9F850" w:rsidR="003566B4" w:rsidRDefault="003566B4" w:rsidP="003566B4">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Assume the same facts as in Company X above. If a</w:t>
      </w:r>
      <w:r w:rsidR="006C54B7">
        <w:rPr>
          <w:rFonts w:ascii="Avenir Next" w:hAnsi="Avenir Next" w:cs="Arial"/>
          <w:color w:val="7B7B7B" w:themeColor="accent3" w:themeShade="BF"/>
          <w:sz w:val="22"/>
          <w:szCs w:val="22"/>
          <w:lang w:val="en-GB"/>
        </w:rPr>
        <w:t>n Australian</w:t>
      </w:r>
      <w:r>
        <w:rPr>
          <w:rFonts w:ascii="Avenir Next" w:hAnsi="Avenir Next" w:cs="Arial"/>
          <w:color w:val="7B7B7B" w:themeColor="accent3" w:themeShade="BF"/>
          <w:sz w:val="22"/>
          <w:szCs w:val="22"/>
          <w:lang w:val="en-GB"/>
        </w:rPr>
        <w:t xml:space="preserve"> creditor sought to commence an insolvency proceeding in Australia, then the territoriality theory may mean that </w:t>
      </w:r>
      <w:r w:rsidR="006C54B7">
        <w:rPr>
          <w:rFonts w:ascii="Avenir Next" w:hAnsi="Avenir Next" w:cs="Arial"/>
          <w:color w:val="7B7B7B" w:themeColor="accent3" w:themeShade="BF"/>
          <w:sz w:val="22"/>
          <w:szCs w:val="22"/>
          <w:lang w:val="en-GB"/>
        </w:rPr>
        <w:t xml:space="preserve">the Australian courts would only deal with Australian assets and creditors </w:t>
      </w:r>
      <w:r w:rsidR="00CC4689">
        <w:rPr>
          <w:rFonts w:ascii="Avenir Next" w:hAnsi="Avenir Next" w:cs="Arial"/>
          <w:color w:val="7B7B7B" w:themeColor="accent3" w:themeShade="BF"/>
          <w:sz w:val="22"/>
          <w:szCs w:val="22"/>
          <w:lang w:val="en-GB"/>
        </w:rPr>
        <w:t>and may not necessarily have regard to any assets or creditors in the UK. It would</w:t>
      </w:r>
      <w:r w:rsidR="001E118D">
        <w:rPr>
          <w:rFonts w:ascii="Avenir Next" w:hAnsi="Avenir Next" w:cs="Arial"/>
          <w:color w:val="7B7B7B" w:themeColor="accent3" w:themeShade="BF"/>
          <w:sz w:val="22"/>
          <w:szCs w:val="22"/>
          <w:lang w:val="en-GB"/>
        </w:rPr>
        <w:t>,</w:t>
      </w:r>
      <w:r w:rsidR="00CC4689">
        <w:rPr>
          <w:rFonts w:ascii="Avenir Next" w:hAnsi="Avenir Next" w:cs="Arial"/>
          <w:color w:val="7B7B7B" w:themeColor="accent3" w:themeShade="BF"/>
          <w:sz w:val="22"/>
          <w:szCs w:val="22"/>
          <w:lang w:val="en-GB"/>
        </w:rPr>
        <w:t xml:space="preserve"> </w:t>
      </w:r>
      <w:r w:rsidR="001E118D">
        <w:rPr>
          <w:rFonts w:ascii="Avenir Next" w:hAnsi="Avenir Next" w:cs="Arial"/>
          <w:color w:val="7B7B7B" w:themeColor="accent3" w:themeShade="BF"/>
          <w:sz w:val="22"/>
          <w:szCs w:val="22"/>
          <w:lang w:val="en-GB"/>
        </w:rPr>
        <w:t xml:space="preserve">therefore, </w:t>
      </w:r>
      <w:r w:rsidR="001B4CD9">
        <w:rPr>
          <w:rFonts w:ascii="Avenir Next" w:hAnsi="Avenir Next" w:cs="Arial"/>
          <w:color w:val="7B7B7B" w:themeColor="accent3" w:themeShade="BF"/>
          <w:sz w:val="22"/>
          <w:szCs w:val="22"/>
          <w:lang w:val="en-GB"/>
        </w:rPr>
        <w:t xml:space="preserve">potentially </w:t>
      </w:r>
      <w:r w:rsidR="00CC4689">
        <w:rPr>
          <w:rFonts w:ascii="Avenir Next" w:hAnsi="Avenir Next" w:cs="Arial"/>
          <w:color w:val="7B7B7B" w:themeColor="accent3" w:themeShade="BF"/>
          <w:sz w:val="22"/>
          <w:szCs w:val="22"/>
          <w:lang w:val="en-GB"/>
        </w:rPr>
        <w:t>be up to UK creditors (or any Company X directors</w:t>
      </w:r>
      <w:r w:rsidR="001E118D">
        <w:rPr>
          <w:rFonts w:ascii="Avenir Next" w:hAnsi="Avenir Next" w:cs="Arial"/>
          <w:color w:val="7B7B7B" w:themeColor="accent3" w:themeShade="BF"/>
          <w:sz w:val="22"/>
          <w:szCs w:val="22"/>
          <w:lang w:val="en-GB"/>
        </w:rPr>
        <w:t>) to commence insolvency proceedings (or commence a voluntary insolvency appointment) in the UK.</w:t>
      </w:r>
      <w:r>
        <w:rPr>
          <w:rFonts w:ascii="Avenir Next" w:hAnsi="Avenir Next" w:cs="Arial"/>
          <w:color w:val="7B7B7B" w:themeColor="accent3" w:themeShade="BF"/>
          <w:sz w:val="22"/>
          <w:szCs w:val="22"/>
          <w:lang w:val="en-GB"/>
        </w:rPr>
        <w:t xml:space="preserve"> </w:t>
      </w:r>
    </w:p>
    <w:p w14:paraId="6E7A4118" w14:textId="77777777" w:rsidR="003566B4" w:rsidRPr="00827D56" w:rsidRDefault="003566B4" w:rsidP="00913EA5">
      <w:pPr>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76624C64" w:rsidR="00C72848" w:rsidRDefault="0080724A" w:rsidP="00AE0E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United Arab Emirates have </w:t>
      </w:r>
      <w:r w:rsidR="00C3439B">
        <w:rPr>
          <w:rFonts w:ascii="Avenir Next" w:hAnsi="Avenir Next" w:cs="Arial"/>
          <w:color w:val="7B7B7B" w:themeColor="accent3" w:themeShade="BF"/>
          <w:sz w:val="22"/>
          <w:szCs w:val="22"/>
          <w:lang w:val="en-GB"/>
        </w:rPr>
        <w:t xml:space="preserve">updated their domestic laws </w:t>
      </w:r>
      <w:r w:rsidR="00A35747">
        <w:rPr>
          <w:rFonts w:ascii="Avenir Next" w:hAnsi="Avenir Next" w:cs="Arial"/>
          <w:color w:val="7B7B7B" w:themeColor="accent3" w:themeShade="BF"/>
          <w:sz w:val="22"/>
          <w:szCs w:val="22"/>
          <w:lang w:val="en-GB"/>
        </w:rPr>
        <w:t xml:space="preserve">by way of the following </w:t>
      </w:r>
      <w:r w:rsidR="00AE0EEB">
        <w:rPr>
          <w:rFonts w:ascii="Avenir Next" w:hAnsi="Avenir Next" w:cs="Arial"/>
          <w:color w:val="7B7B7B" w:themeColor="accent3" w:themeShade="BF"/>
          <w:sz w:val="22"/>
          <w:szCs w:val="22"/>
          <w:lang w:val="en-GB"/>
        </w:rPr>
        <w:t>two</w:t>
      </w:r>
      <w:r w:rsidR="00A35747">
        <w:rPr>
          <w:rFonts w:ascii="Avenir Next" w:hAnsi="Avenir Next" w:cs="Arial"/>
          <w:color w:val="7B7B7B" w:themeColor="accent3" w:themeShade="BF"/>
          <w:sz w:val="22"/>
          <w:szCs w:val="22"/>
          <w:lang w:val="en-GB"/>
        </w:rPr>
        <w:t xml:space="preserve"> decrees</w:t>
      </w:r>
      <w:r w:rsidR="00AE0EEB">
        <w:rPr>
          <w:rFonts w:ascii="Avenir Next" w:hAnsi="Avenir Next" w:cs="Arial"/>
          <w:color w:val="7B7B7B" w:themeColor="accent3" w:themeShade="BF"/>
          <w:sz w:val="22"/>
          <w:szCs w:val="22"/>
          <w:lang w:val="en-GB"/>
        </w:rPr>
        <w:t xml:space="preserve"> and one cabinet resolution</w:t>
      </w:r>
      <w:r w:rsidR="00A35747">
        <w:rPr>
          <w:rFonts w:ascii="Avenir Next" w:hAnsi="Avenir Next" w:cs="Arial"/>
          <w:color w:val="7B7B7B" w:themeColor="accent3" w:themeShade="BF"/>
          <w:sz w:val="22"/>
          <w:szCs w:val="22"/>
          <w:lang w:val="en-GB"/>
        </w:rPr>
        <w:t>:</w:t>
      </w:r>
    </w:p>
    <w:p w14:paraId="7ACEADF0" w14:textId="65F3D87B" w:rsidR="00A35747" w:rsidRPr="00D959E1" w:rsidRDefault="00A35747" w:rsidP="00C053F7">
      <w:pPr>
        <w:ind w:left="720" w:hanging="720"/>
        <w:jc w:val="both"/>
        <w:rPr>
          <w:rFonts w:ascii="Avenir Next" w:hAnsi="Avenir Next" w:cs="Arial"/>
          <w:color w:val="7B7B7B" w:themeColor="accent3" w:themeShade="BF"/>
          <w:sz w:val="16"/>
          <w:szCs w:val="16"/>
          <w:lang w:val="en-GB"/>
        </w:rPr>
      </w:pPr>
    </w:p>
    <w:p w14:paraId="5F0F514A" w14:textId="49A7B5BD" w:rsidR="006A16C5" w:rsidRPr="006A16C5" w:rsidRDefault="00A35747" w:rsidP="00415660">
      <w:pPr>
        <w:pStyle w:val="ListParagraph"/>
        <w:numPr>
          <w:ilvl w:val="0"/>
          <w:numId w:val="23"/>
        </w:numPr>
        <w:ind w:left="426" w:hanging="426"/>
        <w:jc w:val="both"/>
        <w:rPr>
          <w:rFonts w:ascii="Avenir Next" w:hAnsi="Avenir Next" w:cs="Arial"/>
          <w:sz w:val="22"/>
          <w:szCs w:val="22"/>
          <w:lang w:val="en-GB"/>
        </w:rPr>
      </w:pPr>
      <w:r w:rsidRPr="00CB626E">
        <w:rPr>
          <w:rFonts w:ascii="Avenir Next" w:hAnsi="Avenir Next" w:cs="Arial"/>
          <w:color w:val="7B7B7B" w:themeColor="accent3" w:themeShade="BF"/>
          <w:sz w:val="22"/>
          <w:szCs w:val="22"/>
          <w:lang w:val="en-GB"/>
        </w:rPr>
        <w:t xml:space="preserve">Federal Law by Decree No. </w:t>
      </w:r>
      <w:r w:rsidR="00D609B9">
        <w:rPr>
          <w:rFonts w:ascii="Avenir Next" w:hAnsi="Avenir Next" w:cs="Arial"/>
          <w:color w:val="7B7B7B" w:themeColor="accent3" w:themeShade="BF"/>
          <w:sz w:val="22"/>
          <w:szCs w:val="22"/>
          <w:lang w:val="en-GB"/>
        </w:rPr>
        <w:t>(</w:t>
      </w:r>
      <w:r w:rsidRPr="00CB626E">
        <w:rPr>
          <w:rFonts w:ascii="Avenir Next" w:hAnsi="Avenir Next" w:cs="Arial"/>
          <w:color w:val="7B7B7B" w:themeColor="accent3" w:themeShade="BF"/>
          <w:sz w:val="22"/>
          <w:szCs w:val="22"/>
          <w:lang w:val="en-GB"/>
        </w:rPr>
        <w:t xml:space="preserve">9) of 2016 </w:t>
      </w:r>
      <w:r w:rsidR="003F7333" w:rsidRPr="00CB626E">
        <w:rPr>
          <w:rFonts w:ascii="Avenir Next" w:hAnsi="Avenir Next" w:cs="Arial"/>
          <w:color w:val="7B7B7B" w:themeColor="accent3" w:themeShade="BF"/>
          <w:sz w:val="22"/>
          <w:szCs w:val="22"/>
          <w:lang w:val="en-GB"/>
        </w:rPr>
        <w:t>on Bankruptcy</w:t>
      </w:r>
      <w:r w:rsidR="003C2FA3">
        <w:rPr>
          <w:rStyle w:val="FootnoteReference"/>
          <w:rFonts w:ascii="Avenir Next" w:hAnsi="Avenir Next" w:cs="Arial"/>
          <w:sz w:val="22"/>
          <w:szCs w:val="22"/>
          <w:lang w:val="en-GB"/>
        </w:rPr>
        <w:footnoteReference w:id="10"/>
      </w:r>
      <w:r w:rsidR="003F7333">
        <w:rPr>
          <w:rFonts w:ascii="Avenir Next" w:hAnsi="Avenir Next" w:cs="Arial"/>
          <w:sz w:val="22"/>
          <w:szCs w:val="22"/>
          <w:lang w:val="en-GB"/>
        </w:rPr>
        <w:t xml:space="preserve"> </w:t>
      </w:r>
      <w:r w:rsidR="0088307F" w:rsidRPr="0088307F">
        <w:rPr>
          <w:rFonts w:ascii="Avenir Next" w:hAnsi="Avenir Next" w:cs="Arial"/>
          <w:color w:val="7B7B7B" w:themeColor="accent3" w:themeShade="BF"/>
          <w:sz w:val="22"/>
          <w:szCs w:val="22"/>
          <w:lang w:val="en-GB"/>
        </w:rPr>
        <w:t>(</w:t>
      </w:r>
      <w:r w:rsidR="0088307F" w:rsidRPr="007B314C">
        <w:rPr>
          <w:rFonts w:ascii="Avenir Next" w:hAnsi="Avenir Next" w:cs="Arial"/>
          <w:b/>
          <w:bCs/>
          <w:color w:val="7B7B7B" w:themeColor="accent3" w:themeShade="BF"/>
          <w:sz w:val="22"/>
          <w:szCs w:val="22"/>
          <w:lang w:val="en-GB"/>
        </w:rPr>
        <w:t>2016 Decree</w:t>
      </w:r>
      <w:r w:rsidR="0088307F" w:rsidRPr="0088307F">
        <w:rPr>
          <w:rFonts w:ascii="Avenir Next" w:hAnsi="Avenir Next" w:cs="Arial"/>
          <w:color w:val="7B7B7B" w:themeColor="accent3" w:themeShade="BF"/>
          <w:sz w:val="22"/>
          <w:szCs w:val="22"/>
          <w:lang w:val="en-GB"/>
        </w:rPr>
        <w:t xml:space="preserve">) </w:t>
      </w:r>
      <w:r w:rsidR="003F7333" w:rsidRPr="00CB626E">
        <w:rPr>
          <w:rFonts w:ascii="Avenir Next" w:hAnsi="Avenir Next" w:cs="Arial"/>
          <w:color w:val="7B7B7B" w:themeColor="accent3" w:themeShade="BF"/>
          <w:sz w:val="22"/>
          <w:szCs w:val="22"/>
          <w:lang w:val="en-GB"/>
        </w:rPr>
        <w:t xml:space="preserve">– which </w:t>
      </w:r>
      <w:r w:rsidR="00B05929">
        <w:rPr>
          <w:rFonts w:ascii="Avenir Next" w:hAnsi="Avenir Next" w:cs="Arial"/>
          <w:color w:val="7B7B7B" w:themeColor="accent3" w:themeShade="BF"/>
          <w:sz w:val="22"/>
          <w:szCs w:val="22"/>
          <w:lang w:val="en-GB"/>
        </w:rPr>
        <w:t>(</w:t>
      </w:r>
      <w:r w:rsidR="00B05929">
        <w:rPr>
          <w:rFonts w:ascii="Avenir Next" w:hAnsi="Avenir Next" w:cs="Arial"/>
          <w:i/>
          <w:iCs/>
          <w:color w:val="7B7B7B" w:themeColor="accent3" w:themeShade="BF"/>
          <w:sz w:val="22"/>
          <w:szCs w:val="22"/>
          <w:lang w:val="en-GB"/>
        </w:rPr>
        <w:t>inter alia</w:t>
      </w:r>
      <w:r w:rsidR="00415660">
        <w:rPr>
          <w:rFonts w:ascii="Avenir Next" w:hAnsi="Avenir Next" w:cs="Arial"/>
          <w:color w:val="7B7B7B" w:themeColor="accent3" w:themeShade="BF"/>
          <w:sz w:val="22"/>
          <w:szCs w:val="22"/>
          <w:lang w:val="en-GB"/>
        </w:rPr>
        <w:t>)</w:t>
      </w:r>
      <w:r w:rsidR="003F7333" w:rsidRPr="00CB626E">
        <w:rPr>
          <w:rFonts w:ascii="Avenir Next" w:hAnsi="Avenir Next" w:cs="Arial"/>
          <w:color w:val="7B7B7B" w:themeColor="accent3" w:themeShade="BF"/>
          <w:sz w:val="22"/>
          <w:szCs w:val="22"/>
          <w:lang w:val="en-GB"/>
        </w:rPr>
        <w:t xml:space="preserve"> </w:t>
      </w:r>
      <w:r w:rsidR="003C2FA3" w:rsidRPr="00CB626E">
        <w:rPr>
          <w:rFonts w:ascii="Avenir Next" w:hAnsi="Avenir Next" w:cs="Arial"/>
          <w:color w:val="7B7B7B" w:themeColor="accent3" w:themeShade="BF"/>
          <w:sz w:val="22"/>
          <w:szCs w:val="22"/>
          <w:lang w:val="en-GB"/>
        </w:rPr>
        <w:t>regulate</w:t>
      </w:r>
      <w:r w:rsidR="00EB3F53">
        <w:rPr>
          <w:rFonts w:ascii="Avenir Next" w:hAnsi="Avenir Next" w:cs="Arial"/>
          <w:color w:val="7B7B7B" w:themeColor="accent3" w:themeShade="BF"/>
          <w:sz w:val="22"/>
          <w:szCs w:val="22"/>
          <w:lang w:val="en-GB"/>
        </w:rPr>
        <w:t>s</w:t>
      </w:r>
      <w:r w:rsidR="003C2FA3" w:rsidRPr="00CB626E">
        <w:rPr>
          <w:rFonts w:ascii="Avenir Next" w:hAnsi="Avenir Next" w:cs="Arial"/>
          <w:color w:val="7B7B7B" w:themeColor="accent3" w:themeShade="BF"/>
          <w:sz w:val="22"/>
          <w:szCs w:val="22"/>
          <w:lang w:val="en-GB"/>
        </w:rPr>
        <w:t xml:space="preserve"> the insolvency of corporate </w:t>
      </w:r>
      <w:r w:rsidR="00EB3F53">
        <w:rPr>
          <w:rFonts w:ascii="Avenir Next" w:hAnsi="Avenir Next" w:cs="Arial"/>
          <w:color w:val="7B7B7B" w:themeColor="accent3" w:themeShade="BF"/>
          <w:sz w:val="22"/>
          <w:szCs w:val="22"/>
          <w:lang w:val="en-GB"/>
        </w:rPr>
        <w:t>and</w:t>
      </w:r>
      <w:r w:rsidR="00EA76D9" w:rsidRPr="00CB626E">
        <w:rPr>
          <w:rFonts w:ascii="Avenir Next" w:hAnsi="Avenir Next" w:cs="Arial"/>
          <w:color w:val="7B7B7B" w:themeColor="accent3" w:themeShade="BF"/>
          <w:sz w:val="22"/>
          <w:szCs w:val="22"/>
          <w:lang w:val="en-GB"/>
        </w:rPr>
        <w:t xml:space="preserve"> government-owned </w:t>
      </w:r>
      <w:r w:rsidR="00CB626E" w:rsidRPr="00CB626E">
        <w:rPr>
          <w:rFonts w:ascii="Avenir Next" w:hAnsi="Avenir Next" w:cs="Arial"/>
          <w:color w:val="7B7B7B" w:themeColor="accent3" w:themeShade="BF"/>
          <w:sz w:val="22"/>
          <w:szCs w:val="22"/>
          <w:lang w:val="en-GB"/>
        </w:rPr>
        <w:t>entities</w:t>
      </w:r>
      <w:r w:rsidR="00EA76D9" w:rsidRPr="00CB626E">
        <w:rPr>
          <w:rFonts w:ascii="Avenir Next" w:hAnsi="Avenir Next" w:cs="Arial"/>
          <w:color w:val="7B7B7B" w:themeColor="accent3" w:themeShade="BF"/>
          <w:sz w:val="22"/>
          <w:szCs w:val="22"/>
          <w:lang w:val="en-GB"/>
        </w:rPr>
        <w:t xml:space="preserve"> or </w:t>
      </w:r>
      <w:r w:rsidR="00CB626E" w:rsidRPr="00CB626E">
        <w:rPr>
          <w:rFonts w:ascii="Avenir Next" w:hAnsi="Avenir Next" w:cs="Arial"/>
          <w:color w:val="7B7B7B" w:themeColor="accent3" w:themeShade="BF"/>
          <w:sz w:val="22"/>
          <w:szCs w:val="22"/>
          <w:lang w:val="en-GB"/>
        </w:rPr>
        <w:t xml:space="preserve">any </w:t>
      </w:r>
      <w:r w:rsidR="00EB3F53">
        <w:rPr>
          <w:rFonts w:ascii="Avenir Next" w:hAnsi="Avenir Next" w:cs="Arial"/>
          <w:color w:val="7B7B7B" w:themeColor="accent3" w:themeShade="BF"/>
          <w:sz w:val="22"/>
          <w:szCs w:val="22"/>
          <w:lang w:val="en-GB"/>
        </w:rPr>
        <w:t xml:space="preserve">trading </w:t>
      </w:r>
      <w:r w:rsidR="00CB626E" w:rsidRPr="00CB626E">
        <w:rPr>
          <w:rFonts w:ascii="Avenir Next" w:hAnsi="Avenir Next" w:cs="Arial"/>
          <w:color w:val="7B7B7B" w:themeColor="accent3" w:themeShade="BF"/>
          <w:sz w:val="22"/>
          <w:szCs w:val="22"/>
          <w:lang w:val="en-GB"/>
        </w:rPr>
        <w:t>individual</w:t>
      </w:r>
      <w:r w:rsidR="00EB3F53">
        <w:rPr>
          <w:rFonts w:ascii="Avenir Next" w:hAnsi="Avenir Next" w:cs="Arial"/>
          <w:color w:val="7B7B7B" w:themeColor="accent3" w:themeShade="BF"/>
          <w:sz w:val="22"/>
          <w:szCs w:val="22"/>
          <w:lang w:val="en-GB"/>
        </w:rPr>
        <w:t>s</w:t>
      </w:r>
      <w:r w:rsidR="006A16C5">
        <w:rPr>
          <w:rFonts w:ascii="Avenir Next" w:hAnsi="Avenir Next" w:cs="Arial"/>
          <w:color w:val="7B7B7B" w:themeColor="accent3" w:themeShade="BF"/>
          <w:sz w:val="22"/>
          <w:szCs w:val="22"/>
          <w:lang w:val="en-GB"/>
        </w:rPr>
        <w:t xml:space="preserve">; </w:t>
      </w:r>
    </w:p>
    <w:p w14:paraId="66395B3B" w14:textId="77777777" w:rsidR="006A16C5" w:rsidRPr="00980CAE" w:rsidRDefault="006A16C5" w:rsidP="006A16C5">
      <w:pPr>
        <w:pStyle w:val="ListParagraph"/>
        <w:ind w:left="360"/>
        <w:jc w:val="both"/>
        <w:rPr>
          <w:rFonts w:ascii="Avenir Next" w:hAnsi="Avenir Next" w:cs="Arial"/>
          <w:sz w:val="10"/>
          <w:szCs w:val="10"/>
          <w:lang w:val="en-GB"/>
        </w:rPr>
      </w:pPr>
    </w:p>
    <w:p w14:paraId="56C4D01B" w14:textId="07EAFBD5" w:rsidR="00A35747" w:rsidRPr="00980CAE" w:rsidRDefault="006A16C5" w:rsidP="00415660">
      <w:pPr>
        <w:pStyle w:val="ListParagraph"/>
        <w:numPr>
          <w:ilvl w:val="0"/>
          <w:numId w:val="23"/>
        </w:numPr>
        <w:ind w:left="426" w:hanging="426"/>
        <w:jc w:val="both"/>
        <w:rPr>
          <w:rFonts w:ascii="Avenir Next" w:hAnsi="Avenir Next" w:cs="Arial"/>
          <w:sz w:val="22"/>
          <w:szCs w:val="22"/>
          <w:lang w:val="en-GB"/>
        </w:rPr>
      </w:pPr>
      <w:r w:rsidRPr="00CB626E">
        <w:rPr>
          <w:rFonts w:ascii="Avenir Next" w:hAnsi="Avenir Next" w:cs="Arial"/>
          <w:color w:val="7B7B7B" w:themeColor="accent3" w:themeShade="BF"/>
          <w:sz w:val="22"/>
          <w:szCs w:val="22"/>
          <w:lang w:val="en-GB"/>
        </w:rPr>
        <w:t xml:space="preserve">Federal Law by Decree No. </w:t>
      </w:r>
      <w:r w:rsidR="00D609B9">
        <w:rPr>
          <w:rFonts w:ascii="Avenir Next" w:hAnsi="Avenir Next" w:cs="Arial"/>
          <w:color w:val="7B7B7B" w:themeColor="accent3" w:themeShade="BF"/>
          <w:sz w:val="22"/>
          <w:szCs w:val="22"/>
          <w:lang w:val="en-GB"/>
        </w:rPr>
        <w:t>(</w:t>
      </w:r>
      <w:r w:rsidR="0088307F">
        <w:rPr>
          <w:rFonts w:ascii="Avenir Next" w:hAnsi="Avenir Next" w:cs="Arial"/>
          <w:color w:val="7B7B7B" w:themeColor="accent3" w:themeShade="BF"/>
          <w:sz w:val="22"/>
          <w:szCs w:val="22"/>
          <w:lang w:val="en-GB"/>
        </w:rPr>
        <w:t>1</w:t>
      </w:r>
      <w:r w:rsidRPr="00CB626E">
        <w:rPr>
          <w:rFonts w:ascii="Avenir Next" w:hAnsi="Avenir Next" w:cs="Arial"/>
          <w:color w:val="7B7B7B" w:themeColor="accent3" w:themeShade="BF"/>
          <w:sz w:val="22"/>
          <w:szCs w:val="22"/>
          <w:lang w:val="en-GB"/>
        </w:rPr>
        <w:t>9) of 201</w:t>
      </w:r>
      <w:r w:rsidR="0088307F">
        <w:rPr>
          <w:rFonts w:ascii="Avenir Next" w:hAnsi="Avenir Next" w:cs="Arial"/>
          <w:color w:val="7B7B7B" w:themeColor="accent3" w:themeShade="BF"/>
          <w:sz w:val="22"/>
          <w:szCs w:val="22"/>
          <w:lang w:val="en-GB"/>
        </w:rPr>
        <w:t>9</w:t>
      </w:r>
      <w:r w:rsidRPr="00CB626E">
        <w:rPr>
          <w:rFonts w:ascii="Avenir Next" w:hAnsi="Avenir Next" w:cs="Arial"/>
          <w:color w:val="7B7B7B" w:themeColor="accent3" w:themeShade="BF"/>
          <w:sz w:val="22"/>
          <w:szCs w:val="22"/>
          <w:lang w:val="en-GB"/>
        </w:rPr>
        <w:t xml:space="preserve"> on Bankruptcy</w:t>
      </w:r>
      <w:r w:rsidR="0088307F">
        <w:rPr>
          <w:rStyle w:val="FootnoteReference"/>
          <w:rFonts w:ascii="Avenir Next" w:hAnsi="Avenir Next" w:cs="Arial"/>
          <w:color w:val="7B7B7B" w:themeColor="accent3" w:themeShade="BF"/>
          <w:sz w:val="22"/>
          <w:szCs w:val="22"/>
          <w:lang w:val="en-GB"/>
        </w:rPr>
        <w:footnoteReference w:id="11"/>
      </w:r>
      <w:r w:rsidR="0088307F">
        <w:rPr>
          <w:rFonts w:ascii="Avenir Next" w:hAnsi="Avenir Next" w:cs="Arial"/>
          <w:color w:val="7B7B7B" w:themeColor="accent3" w:themeShade="BF"/>
          <w:sz w:val="22"/>
          <w:szCs w:val="22"/>
          <w:lang w:val="en-GB"/>
        </w:rPr>
        <w:t xml:space="preserve"> – which appears to </w:t>
      </w:r>
      <w:r w:rsidR="00415660">
        <w:rPr>
          <w:rFonts w:ascii="Avenir Next" w:hAnsi="Avenir Next" w:cs="Arial"/>
          <w:color w:val="7B7B7B" w:themeColor="accent3" w:themeShade="BF"/>
          <w:sz w:val="22"/>
          <w:szCs w:val="22"/>
          <w:lang w:val="en-GB"/>
        </w:rPr>
        <w:t>(</w:t>
      </w:r>
      <w:r w:rsidR="00415660">
        <w:rPr>
          <w:rFonts w:ascii="Avenir Next" w:hAnsi="Avenir Next" w:cs="Arial"/>
          <w:i/>
          <w:iCs/>
          <w:color w:val="7B7B7B" w:themeColor="accent3" w:themeShade="BF"/>
          <w:sz w:val="22"/>
          <w:szCs w:val="22"/>
          <w:lang w:val="en-GB"/>
        </w:rPr>
        <w:t>inter alia</w:t>
      </w:r>
      <w:r w:rsidR="00415660">
        <w:rPr>
          <w:rFonts w:ascii="Avenir Next" w:hAnsi="Avenir Next" w:cs="Arial"/>
          <w:color w:val="7B7B7B" w:themeColor="accent3" w:themeShade="BF"/>
          <w:sz w:val="22"/>
          <w:szCs w:val="22"/>
          <w:lang w:val="en-GB"/>
        </w:rPr>
        <w:t xml:space="preserve">) </w:t>
      </w:r>
      <w:r w:rsidR="0088307F">
        <w:rPr>
          <w:rFonts w:ascii="Avenir Next" w:hAnsi="Avenir Next" w:cs="Arial"/>
          <w:color w:val="7B7B7B" w:themeColor="accent3" w:themeShade="BF"/>
          <w:sz w:val="22"/>
          <w:szCs w:val="22"/>
          <w:lang w:val="en-GB"/>
        </w:rPr>
        <w:t xml:space="preserve">have expanded the </w:t>
      </w:r>
      <w:r w:rsidR="007B314C">
        <w:rPr>
          <w:rFonts w:ascii="Avenir Next" w:hAnsi="Avenir Next" w:cs="Arial"/>
          <w:color w:val="7B7B7B" w:themeColor="accent3" w:themeShade="BF"/>
          <w:sz w:val="22"/>
          <w:szCs w:val="22"/>
          <w:lang w:val="en-GB"/>
        </w:rPr>
        <w:t xml:space="preserve">2016 Decree to include </w:t>
      </w:r>
      <w:r w:rsidR="00B05929">
        <w:rPr>
          <w:rFonts w:ascii="Avenir Next" w:hAnsi="Avenir Next" w:cs="Arial"/>
          <w:color w:val="7B7B7B" w:themeColor="accent3" w:themeShade="BF"/>
          <w:sz w:val="22"/>
          <w:szCs w:val="22"/>
          <w:lang w:val="en-GB"/>
        </w:rPr>
        <w:t>individuals</w:t>
      </w:r>
      <w:r w:rsidR="00980CAE">
        <w:rPr>
          <w:rFonts w:ascii="Avenir Next" w:hAnsi="Avenir Next" w:cs="Arial"/>
          <w:color w:val="7B7B7B" w:themeColor="accent3" w:themeShade="BF"/>
          <w:sz w:val="22"/>
          <w:szCs w:val="22"/>
          <w:lang w:val="en-GB"/>
        </w:rPr>
        <w:t xml:space="preserve"> who are not traders; and</w:t>
      </w:r>
    </w:p>
    <w:p w14:paraId="039E229F" w14:textId="77777777" w:rsidR="00980CAE" w:rsidRPr="00980CAE" w:rsidRDefault="00980CAE" w:rsidP="00980CAE">
      <w:pPr>
        <w:pStyle w:val="ListParagraph"/>
        <w:rPr>
          <w:rFonts w:ascii="Avenir Next" w:hAnsi="Avenir Next" w:cs="Arial"/>
          <w:sz w:val="10"/>
          <w:szCs w:val="10"/>
          <w:lang w:val="en-GB"/>
        </w:rPr>
      </w:pPr>
    </w:p>
    <w:p w14:paraId="20BCBCA7" w14:textId="3DA1BC79" w:rsidR="00980CAE" w:rsidRPr="00A35747" w:rsidRDefault="00AE0EEB" w:rsidP="00415660">
      <w:pPr>
        <w:pStyle w:val="ListParagraph"/>
        <w:numPr>
          <w:ilvl w:val="0"/>
          <w:numId w:val="23"/>
        </w:numPr>
        <w:ind w:left="426" w:hanging="426"/>
        <w:jc w:val="both"/>
        <w:rPr>
          <w:rFonts w:ascii="Avenir Next" w:hAnsi="Avenir Next" w:cs="Arial"/>
          <w:sz w:val="22"/>
          <w:szCs w:val="22"/>
          <w:lang w:val="en-GB"/>
        </w:rPr>
      </w:pPr>
      <w:r>
        <w:rPr>
          <w:rFonts w:ascii="Avenir Next" w:hAnsi="Avenir Next" w:cs="Arial"/>
          <w:color w:val="7B7B7B" w:themeColor="accent3" w:themeShade="BF"/>
          <w:sz w:val="22"/>
          <w:szCs w:val="22"/>
          <w:lang w:val="en-GB"/>
        </w:rPr>
        <w:t>Cabinet Resolution</w:t>
      </w:r>
      <w:r w:rsidR="00980CAE" w:rsidRPr="00CB626E">
        <w:rPr>
          <w:rFonts w:ascii="Avenir Next" w:hAnsi="Avenir Next" w:cs="Arial"/>
          <w:color w:val="7B7B7B" w:themeColor="accent3" w:themeShade="BF"/>
          <w:sz w:val="22"/>
          <w:szCs w:val="22"/>
          <w:lang w:val="en-GB"/>
        </w:rPr>
        <w:t xml:space="preserve"> No. </w:t>
      </w:r>
      <w:r w:rsidR="00D609B9">
        <w:rPr>
          <w:rFonts w:ascii="Avenir Next" w:hAnsi="Avenir Next" w:cs="Arial"/>
          <w:color w:val="7B7B7B" w:themeColor="accent3" w:themeShade="BF"/>
          <w:sz w:val="22"/>
          <w:szCs w:val="22"/>
          <w:lang w:val="en-GB"/>
        </w:rPr>
        <w:t>(5</w:t>
      </w:r>
      <w:r w:rsidR="00980CAE" w:rsidRPr="00CB626E">
        <w:rPr>
          <w:rFonts w:ascii="Avenir Next" w:hAnsi="Avenir Next" w:cs="Arial"/>
          <w:color w:val="7B7B7B" w:themeColor="accent3" w:themeShade="BF"/>
          <w:sz w:val="22"/>
          <w:szCs w:val="22"/>
          <w:lang w:val="en-GB"/>
        </w:rPr>
        <w:t xml:space="preserve">) of </w:t>
      </w:r>
      <w:r w:rsidR="00D609B9">
        <w:rPr>
          <w:rFonts w:ascii="Avenir Next" w:hAnsi="Avenir Next" w:cs="Arial"/>
          <w:color w:val="7B7B7B" w:themeColor="accent3" w:themeShade="BF"/>
          <w:sz w:val="22"/>
          <w:szCs w:val="22"/>
          <w:lang w:val="en-GB"/>
        </w:rPr>
        <w:t>2021</w:t>
      </w:r>
      <w:r w:rsidR="00980CAE" w:rsidRPr="00CB626E">
        <w:rPr>
          <w:rFonts w:ascii="Avenir Next" w:hAnsi="Avenir Next" w:cs="Arial"/>
          <w:color w:val="7B7B7B" w:themeColor="accent3" w:themeShade="BF"/>
          <w:sz w:val="22"/>
          <w:szCs w:val="22"/>
          <w:lang w:val="en-GB"/>
        </w:rPr>
        <w:t xml:space="preserve"> </w:t>
      </w:r>
      <w:r w:rsidR="00D609B9">
        <w:rPr>
          <w:rFonts w:ascii="Avenir Next" w:hAnsi="Avenir Next" w:cs="Arial"/>
          <w:color w:val="7B7B7B" w:themeColor="accent3" w:themeShade="BF"/>
          <w:sz w:val="22"/>
          <w:szCs w:val="22"/>
          <w:lang w:val="en-GB"/>
        </w:rPr>
        <w:t>regarding the emer</w:t>
      </w:r>
      <w:r w:rsidR="0059194D">
        <w:rPr>
          <w:rFonts w:ascii="Avenir Next" w:hAnsi="Avenir Next" w:cs="Arial"/>
          <w:color w:val="7B7B7B" w:themeColor="accent3" w:themeShade="BF"/>
          <w:sz w:val="22"/>
          <w:szCs w:val="22"/>
          <w:lang w:val="en-GB"/>
        </w:rPr>
        <w:t>gency financial crisis</w:t>
      </w:r>
      <w:r w:rsidR="00980CAE">
        <w:rPr>
          <w:rStyle w:val="FootnoteReference"/>
          <w:rFonts w:ascii="Avenir Next" w:hAnsi="Avenir Next" w:cs="Arial"/>
          <w:color w:val="7B7B7B" w:themeColor="accent3" w:themeShade="BF"/>
          <w:sz w:val="22"/>
          <w:szCs w:val="22"/>
          <w:lang w:val="en-GB"/>
        </w:rPr>
        <w:footnoteReference w:id="12"/>
      </w:r>
      <w:r w:rsidR="00980CAE">
        <w:rPr>
          <w:rFonts w:ascii="Avenir Next" w:hAnsi="Avenir Next" w:cs="Arial"/>
          <w:color w:val="7B7B7B" w:themeColor="accent3" w:themeShade="BF"/>
          <w:sz w:val="22"/>
          <w:szCs w:val="22"/>
          <w:lang w:val="en-GB"/>
        </w:rPr>
        <w:t xml:space="preserve"> – which appears to </w:t>
      </w:r>
      <w:r w:rsidR="001E6B07">
        <w:rPr>
          <w:rFonts w:ascii="Avenir Next" w:hAnsi="Avenir Next" w:cs="Arial"/>
          <w:color w:val="7B7B7B" w:themeColor="accent3" w:themeShade="BF"/>
          <w:sz w:val="22"/>
          <w:szCs w:val="22"/>
          <w:lang w:val="en-GB"/>
        </w:rPr>
        <w:t xml:space="preserve">have </w:t>
      </w:r>
      <w:r w:rsidR="00980CAE">
        <w:rPr>
          <w:rFonts w:ascii="Avenir Next" w:hAnsi="Avenir Next" w:cs="Arial"/>
          <w:color w:val="7B7B7B" w:themeColor="accent3" w:themeShade="BF"/>
          <w:sz w:val="22"/>
          <w:szCs w:val="22"/>
          <w:lang w:val="en-GB"/>
        </w:rPr>
        <w:t>(</w:t>
      </w:r>
      <w:r w:rsidR="00980CAE">
        <w:rPr>
          <w:rFonts w:ascii="Avenir Next" w:hAnsi="Avenir Next" w:cs="Arial"/>
          <w:i/>
          <w:iCs/>
          <w:color w:val="7B7B7B" w:themeColor="accent3" w:themeShade="BF"/>
          <w:sz w:val="22"/>
          <w:szCs w:val="22"/>
          <w:lang w:val="en-GB"/>
        </w:rPr>
        <w:t>inter alia</w:t>
      </w:r>
      <w:r w:rsidR="00980CAE">
        <w:rPr>
          <w:rFonts w:ascii="Avenir Next" w:hAnsi="Avenir Next" w:cs="Arial"/>
          <w:color w:val="7B7B7B" w:themeColor="accent3" w:themeShade="BF"/>
          <w:sz w:val="22"/>
          <w:szCs w:val="22"/>
          <w:lang w:val="en-GB"/>
        </w:rPr>
        <w:t xml:space="preserve">) </w:t>
      </w:r>
      <w:r w:rsidR="0059194D">
        <w:rPr>
          <w:rFonts w:ascii="Avenir Next" w:hAnsi="Avenir Next" w:cs="Arial"/>
          <w:color w:val="7B7B7B" w:themeColor="accent3" w:themeShade="BF"/>
          <w:sz w:val="22"/>
          <w:szCs w:val="22"/>
          <w:lang w:val="en-GB"/>
        </w:rPr>
        <w:t>been implemented to protect creditor rights in light of COVID-19</w:t>
      </w:r>
      <w:r w:rsidR="00064C77">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3FDDC4D9" w:rsidR="00C550C8" w:rsidRDefault="00B65B51" w:rsidP="00C053F7">
      <w:pPr>
        <w:jc w:val="both"/>
        <w:rPr>
          <w:rFonts w:ascii="Avenir Next" w:hAnsi="Avenir Next" w:cs="Arial"/>
          <w:color w:val="7B7B7B" w:themeColor="accent3" w:themeShade="BF"/>
          <w:sz w:val="22"/>
          <w:szCs w:val="22"/>
          <w:lang w:val="en-GB"/>
        </w:rPr>
      </w:pPr>
      <w:r w:rsidRPr="00B65B51">
        <w:rPr>
          <w:rFonts w:ascii="Avenir Next" w:hAnsi="Avenir Next" w:cs="Arial"/>
          <w:color w:val="7B7B7B" w:themeColor="accent3" w:themeShade="BF"/>
          <w:sz w:val="22"/>
          <w:szCs w:val="22"/>
          <w:lang w:val="en-GB"/>
        </w:rPr>
        <w:t>Saudi Arabia</w:t>
      </w:r>
      <w:r w:rsidR="000911E9">
        <w:rPr>
          <w:rFonts w:ascii="Avenir Next" w:hAnsi="Avenir Next" w:cs="Arial"/>
          <w:color w:val="7B7B7B" w:themeColor="accent3" w:themeShade="BF"/>
          <w:sz w:val="22"/>
          <w:szCs w:val="22"/>
          <w:lang w:val="en-GB"/>
        </w:rPr>
        <w:t xml:space="preserve"> have updated their domestic laws with the </w:t>
      </w:r>
      <w:r w:rsidR="003F2389">
        <w:rPr>
          <w:rFonts w:ascii="Avenir Next" w:hAnsi="Avenir Next" w:cs="Arial"/>
          <w:color w:val="7B7B7B" w:themeColor="accent3" w:themeShade="BF"/>
          <w:sz w:val="22"/>
          <w:szCs w:val="22"/>
          <w:lang w:val="en-GB"/>
        </w:rPr>
        <w:t xml:space="preserve">adoption of the KSA Bankruptcy Law (2018), which replaced </w:t>
      </w:r>
      <w:r w:rsidR="00E83FC9">
        <w:rPr>
          <w:rFonts w:ascii="Avenir Next" w:hAnsi="Avenir Next" w:cs="Arial"/>
          <w:color w:val="7B7B7B" w:themeColor="accent3" w:themeShade="BF"/>
          <w:sz w:val="22"/>
          <w:szCs w:val="22"/>
          <w:lang w:val="en-GB"/>
        </w:rPr>
        <w:t>the</w:t>
      </w:r>
      <w:r w:rsidR="00203E7E">
        <w:rPr>
          <w:rFonts w:ascii="Avenir Next" w:hAnsi="Avenir Next" w:cs="Arial"/>
          <w:color w:val="7B7B7B" w:themeColor="accent3" w:themeShade="BF"/>
          <w:sz w:val="22"/>
          <w:szCs w:val="22"/>
          <w:lang w:val="en-GB"/>
        </w:rPr>
        <w:t xml:space="preserve"> </w:t>
      </w:r>
      <w:r w:rsidR="0072240D">
        <w:rPr>
          <w:rFonts w:ascii="Avenir Next" w:hAnsi="Avenir Next" w:cs="Arial"/>
          <w:color w:val="7B7B7B" w:themeColor="accent3" w:themeShade="BF"/>
          <w:sz w:val="22"/>
          <w:szCs w:val="22"/>
          <w:lang w:val="en-GB"/>
        </w:rPr>
        <w:t xml:space="preserve">antiquated </w:t>
      </w:r>
      <w:r w:rsidR="00693CD4" w:rsidRPr="00693CD4">
        <w:rPr>
          <w:rFonts w:ascii="Avenir Next" w:hAnsi="Avenir Next" w:cs="Arial"/>
          <w:color w:val="7B7B7B" w:themeColor="accent3" w:themeShade="BF"/>
          <w:sz w:val="22"/>
          <w:szCs w:val="22"/>
          <w:lang w:val="en-GB"/>
        </w:rPr>
        <w:t xml:space="preserve">Royal Decree No. 32, dated 15/1/1350H </w:t>
      </w:r>
      <w:r w:rsidR="00693CD4">
        <w:rPr>
          <w:rFonts w:ascii="Avenir Next" w:hAnsi="Avenir Next" w:cs="Arial"/>
          <w:color w:val="7B7B7B" w:themeColor="accent3" w:themeShade="BF"/>
          <w:sz w:val="22"/>
          <w:szCs w:val="22"/>
          <w:lang w:val="en-GB"/>
        </w:rPr>
        <w:t>(</w:t>
      </w:r>
      <w:r w:rsidR="0072240D">
        <w:rPr>
          <w:rFonts w:ascii="Avenir Next" w:hAnsi="Avenir Next" w:cs="Arial"/>
          <w:color w:val="7B7B7B" w:themeColor="accent3" w:themeShade="BF"/>
          <w:sz w:val="22"/>
          <w:szCs w:val="22"/>
          <w:lang w:val="en-GB"/>
        </w:rPr>
        <w:t xml:space="preserve">1931 </w:t>
      </w:r>
      <w:r w:rsidR="00E83FC9">
        <w:rPr>
          <w:rFonts w:ascii="Avenir Next" w:hAnsi="Avenir Next" w:cs="Arial"/>
          <w:color w:val="7B7B7B" w:themeColor="accent3" w:themeShade="BF"/>
          <w:sz w:val="22"/>
          <w:szCs w:val="22"/>
          <w:lang w:val="en-GB"/>
        </w:rPr>
        <w:t>G</w:t>
      </w:r>
      <w:r w:rsidR="0072240D">
        <w:rPr>
          <w:rFonts w:ascii="Avenir Next" w:hAnsi="Avenir Next" w:cs="Arial"/>
          <w:color w:val="7B7B7B" w:themeColor="accent3" w:themeShade="BF"/>
          <w:sz w:val="22"/>
          <w:szCs w:val="22"/>
          <w:lang w:val="en-GB"/>
        </w:rPr>
        <w:t xml:space="preserve">regorian calendar) and </w:t>
      </w:r>
      <w:r w:rsidR="00215D92" w:rsidRPr="00215D92">
        <w:rPr>
          <w:rFonts w:ascii="Avenir Next" w:hAnsi="Avenir Next" w:cs="Arial"/>
          <w:color w:val="7B7B7B" w:themeColor="accent3" w:themeShade="BF"/>
          <w:sz w:val="22"/>
          <w:szCs w:val="22"/>
          <w:lang w:val="en-GB"/>
        </w:rPr>
        <w:t xml:space="preserve">Royal Decree No. M/16, dated 4/9/1416H </w:t>
      </w:r>
      <w:r w:rsidR="00E83FC9">
        <w:rPr>
          <w:rFonts w:ascii="Avenir Next" w:hAnsi="Avenir Next" w:cs="Arial"/>
          <w:color w:val="7B7B7B" w:themeColor="accent3" w:themeShade="BF"/>
          <w:sz w:val="22"/>
          <w:szCs w:val="22"/>
          <w:lang w:val="en-GB"/>
        </w:rPr>
        <w:t>(1995 Gregorian calendar)</w:t>
      </w:r>
      <w:r w:rsidR="00F433A5">
        <w:rPr>
          <w:rFonts w:ascii="Avenir Next" w:hAnsi="Avenir Next" w:cs="Arial"/>
          <w:color w:val="7B7B7B" w:themeColor="accent3" w:themeShade="BF"/>
          <w:sz w:val="22"/>
          <w:szCs w:val="22"/>
          <w:lang w:val="en-GB"/>
        </w:rPr>
        <w:t>.</w:t>
      </w:r>
      <w:r w:rsidR="00CD29ED">
        <w:rPr>
          <w:rStyle w:val="FootnoteReference"/>
          <w:rFonts w:ascii="Avenir Next" w:hAnsi="Avenir Next" w:cs="Arial"/>
          <w:color w:val="7B7B7B" w:themeColor="accent3" w:themeShade="BF"/>
          <w:sz w:val="22"/>
          <w:szCs w:val="22"/>
          <w:lang w:val="en-GB"/>
        </w:rPr>
        <w:footnoteReference w:id="13"/>
      </w:r>
      <w:r w:rsidR="00F433A5">
        <w:rPr>
          <w:rFonts w:ascii="Avenir Next" w:hAnsi="Avenir Next" w:cs="Arial"/>
          <w:color w:val="7B7B7B" w:themeColor="accent3" w:themeShade="BF"/>
          <w:sz w:val="22"/>
          <w:szCs w:val="22"/>
          <w:lang w:val="en-GB"/>
        </w:rPr>
        <w:t xml:space="preserve"> </w:t>
      </w:r>
      <w:r w:rsidR="00CB069B">
        <w:rPr>
          <w:rFonts w:ascii="Avenir Next" w:hAnsi="Avenir Next" w:cs="Arial"/>
          <w:color w:val="7B7B7B" w:themeColor="accent3" w:themeShade="BF"/>
          <w:sz w:val="22"/>
          <w:szCs w:val="22"/>
          <w:lang w:val="en-GB"/>
        </w:rPr>
        <w:t xml:space="preserve">Alarifi claims that </w:t>
      </w:r>
      <w:r w:rsidR="006A31BF">
        <w:rPr>
          <w:rFonts w:ascii="Avenir Next" w:hAnsi="Avenir Next" w:cs="Arial"/>
          <w:color w:val="7B7B7B" w:themeColor="accent3" w:themeShade="BF"/>
          <w:sz w:val="22"/>
          <w:szCs w:val="22"/>
          <w:lang w:val="en-GB"/>
        </w:rPr>
        <w:t>the KSA Bankruptcy Law (2018):</w:t>
      </w:r>
    </w:p>
    <w:p w14:paraId="39D58D94" w14:textId="50A52AF3" w:rsidR="006A31BF" w:rsidRPr="00D959E1" w:rsidRDefault="006A31BF" w:rsidP="00C053F7">
      <w:pPr>
        <w:jc w:val="both"/>
        <w:rPr>
          <w:rFonts w:ascii="Avenir Next" w:hAnsi="Avenir Next" w:cs="Arial"/>
          <w:color w:val="7B7B7B" w:themeColor="accent3" w:themeShade="BF"/>
          <w:sz w:val="14"/>
          <w:szCs w:val="14"/>
          <w:lang w:val="en-GB"/>
        </w:rPr>
      </w:pPr>
    </w:p>
    <w:p w14:paraId="6B6D915A" w14:textId="3013DCFC" w:rsidR="006A31BF" w:rsidRPr="00B65B51" w:rsidRDefault="006A31BF" w:rsidP="00E26A25">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AF1490" w:rsidRPr="00E26A25">
        <w:rPr>
          <w:rFonts w:ascii="Avenir Next" w:hAnsi="Avenir Next" w:cs="Arial"/>
          <w:i/>
          <w:iCs/>
          <w:color w:val="7B7B7B" w:themeColor="accent3" w:themeShade="BF"/>
          <w:sz w:val="22"/>
          <w:szCs w:val="22"/>
          <w:lang w:val="en-GB"/>
        </w:rPr>
        <w:t xml:space="preserve">followed the structure of a modern bankruptcy regime </w:t>
      </w:r>
      <w:r w:rsidR="003072CC" w:rsidRPr="00E26A25">
        <w:rPr>
          <w:rFonts w:ascii="Avenir Next" w:hAnsi="Avenir Next" w:cs="Arial"/>
          <w:i/>
          <w:iCs/>
          <w:color w:val="7B7B7B" w:themeColor="accent3" w:themeShade="BF"/>
          <w:sz w:val="22"/>
          <w:szCs w:val="22"/>
          <w:lang w:val="en-GB"/>
        </w:rPr>
        <w:t xml:space="preserve">… and </w:t>
      </w:r>
      <w:r w:rsidR="0050582A" w:rsidRPr="00E26A25">
        <w:rPr>
          <w:rFonts w:ascii="Avenir Next" w:hAnsi="Avenir Next" w:cs="Arial"/>
          <w:i/>
          <w:iCs/>
          <w:color w:val="7B7B7B" w:themeColor="accent3" w:themeShade="BF"/>
          <w:sz w:val="22"/>
          <w:szCs w:val="22"/>
          <w:lang w:val="en-GB"/>
        </w:rPr>
        <w:t>should help in achieving the Kingdom’s goals in creating a business-friendly</w:t>
      </w:r>
      <w:r w:rsidR="00712ED6">
        <w:rPr>
          <w:rFonts w:ascii="Avenir Next" w:hAnsi="Avenir Next" w:cs="Arial"/>
          <w:color w:val="7B7B7B" w:themeColor="accent3" w:themeShade="BF"/>
          <w:sz w:val="22"/>
          <w:szCs w:val="22"/>
          <w:lang w:val="en-GB"/>
        </w:rPr>
        <w:t xml:space="preserve"> [bankruptcy code</w:t>
      </w:r>
      <w:r w:rsidR="00E26A25">
        <w:rPr>
          <w:rFonts w:ascii="Avenir Next" w:hAnsi="Avenir Next" w:cs="Arial"/>
          <w:color w:val="7B7B7B" w:themeColor="accent3" w:themeShade="BF"/>
          <w:sz w:val="22"/>
          <w:szCs w:val="22"/>
          <w:lang w:val="en-GB"/>
        </w:rPr>
        <w:t>].”</w:t>
      </w:r>
      <w:r w:rsidR="00E26A25">
        <w:rPr>
          <w:rStyle w:val="FootnoteReference"/>
          <w:rFonts w:ascii="Avenir Next" w:hAnsi="Avenir Next" w:cs="Arial"/>
          <w:color w:val="7B7B7B" w:themeColor="accent3" w:themeShade="BF"/>
          <w:sz w:val="22"/>
          <w:szCs w:val="22"/>
          <w:lang w:val="en-GB"/>
        </w:rPr>
        <w:footnoteReference w:id="14"/>
      </w:r>
    </w:p>
    <w:p w14:paraId="621AFE2D" w14:textId="77777777" w:rsidR="0075361D" w:rsidRDefault="0075361D">
      <w:pPr>
        <w:rPr>
          <w:rFonts w:ascii="Avenir Next" w:hAnsi="Avenir Next" w:cs="Arial"/>
          <w:b/>
          <w:sz w:val="22"/>
          <w:szCs w:val="22"/>
          <w:lang w:val="en-GB"/>
        </w:rPr>
      </w:pPr>
    </w:p>
    <w:p w14:paraId="608DD0BD" w14:textId="008E2714" w:rsidR="00286AE6" w:rsidRPr="00827D56" w:rsidRDefault="0075361D" w:rsidP="00D959E1">
      <w:pPr>
        <w:jc w:val="both"/>
        <w:rPr>
          <w:rFonts w:ascii="Avenir Next" w:hAnsi="Avenir Next" w:cs="Arial"/>
          <w:b/>
          <w:sz w:val="22"/>
          <w:szCs w:val="22"/>
          <w:lang w:val="en-GB"/>
        </w:rPr>
      </w:pPr>
      <w:r w:rsidRPr="0075361D">
        <w:rPr>
          <w:rFonts w:ascii="Avenir Next" w:hAnsi="Avenir Next" w:cs="Arial"/>
          <w:color w:val="7B7B7B" w:themeColor="accent3" w:themeShade="BF"/>
          <w:sz w:val="22"/>
          <w:szCs w:val="22"/>
          <w:lang w:val="en-GB"/>
        </w:rPr>
        <w:t>Bahrain</w:t>
      </w:r>
      <w:r>
        <w:rPr>
          <w:rFonts w:ascii="Avenir Next" w:hAnsi="Avenir Next" w:cs="Arial"/>
          <w:color w:val="7B7B7B" w:themeColor="accent3" w:themeShade="BF"/>
          <w:sz w:val="22"/>
          <w:szCs w:val="22"/>
          <w:lang w:val="en-GB"/>
        </w:rPr>
        <w:t xml:space="preserve"> </w:t>
      </w:r>
      <w:r w:rsidR="0067311E">
        <w:rPr>
          <w:rFonts w:ascii="Avenir Next" w:hAnsi="Avenir Next" w:cs="Arial"/>
          <w:color w:val="7B7B7B" w:themeColor="accent3" w:themeShade="BF"/>
          <w:sz w:val="22"/>
          <w:szCs w:val="22"/>
          <w:lang w:val="en-GB"/>
        </w:rPr>
        <w:t xml:space="preserve">and the Dubai International Financial Centre </w:t>
      </w:r>
      <w:r>
        <w:rPr>
          <w:rFonts w:ascii="Avenir Next" w:hAnsi="Avenir Next" w:cs="Arial"/>
          <w:color w:val="7B7B7B" w:themeColor="accent3" w:themeShade="BF"/>
          <w:sz w:val="22"/>
          <w:szCs w:val="22"/>
          <w:lang w:val="en-GB"/>
        </w:rPr>
        <w:t xml:space="preserve">adopted the </w:t>
      </w:r>
      <w:r w:rsidR="008D6241">
        <w:rPr>
          <w:rFonts w:ascii="Avenir Next" w:hAnsi="Avenir Next" w:cs="Arial"/>
          <w:color w:val="7B7B7B" w:themeColor="accent3" w:themeShade="BF"/>
          <w:sz w:val="22"/>
          <w:szCs w:val="22"/>
          <w:lang w:val="en-GB"/>
        </w:rPr>
        <w:t>United Nations Commission on International Trade Law</w:t>
      </w:r>
      <w:r w:rsidR="00CA656A">
        <w:rPr>
          <w:rFonts w:ascii="Avenir Next" w:hAnsi="Avenir Next" w:cs="Arial"/>
          <w:color w:val="7B7B7B" w:themeColor="accent3" w:themeShade="BF"/>
          <w:sz w:val="22"/>
          <w:szCs w:val="22"/>
          <w:lang w:val="en-GB"/>
        </w:rPr>
        <w:t xml:space="preserve"> (</w:t>
      </w:r>
      <w:r w:rsidR="00CA656A" w:rsidRPr="00CA656A">
        <w:rPr>
          <w:rFonts w:ascii="Avenir Next" w:hAnsi="Avenir Next" w:cs="Arial"/>
          <w:b/>
          <w:bCs/>
          <w:color w:val="7B7B7B" w:themeColor="accent3" w:themeShade="BF"/>
          <w:sz w:val="22"/>
          <w:szCs w:val="22"/>
          <w:lang w:val="en-GB"/>
        </w:rPr>
        <w:t>UNCITRAL</w:t>
      </w:r>
      <w:r w:rsidR="00CA656A">
        <w:rPr>
          <w:rFonts w:ascii="Avenir Next" w:hAnsi="Avenir Next" w:cs="Arial"/>
          <w:color w:val="7B7B7B" w:themeColor="accent3" w:themeShade="BF"/>
          <w:sz w:val="22"/>
          <w:szCs w:val="22"/>
          <w:lang w:val="en-GB"/>
        </w:rPr>
        <w:t>):</w:t>
      </w:r>
      <w:r w:rsidR="00A445C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Model Law on Cross-Border Insolvency</w:t>
      </w:r>
      <w:r w:rsidR="00CA656A">
        <w:rPr>
          <w:rFonts w:ascii="Avenir Next" w:hAnsi="Avenir Next" w:cs="Arial"/>
          <w:color w:val="7B7B7B" w:themeColor="accent3" w:themeShade="BF"/>
          <w:sz w:val="22"/>
          <w:szCs w:val="22"/>
          <w:lang w:val="en-GB"/>
        </w:rPr>
        <w:t xml:space="preserve"> (1997) (</w:t>
      </w:r>
      <w:r w:rsidR="00CA656A" w:rsidRPr="00CA656A">
        <w:rPr>
          <w:rFonts w:ascii="Avenir Next" w:hAnsi="Avenir Next" w:cs="Arial"/>
          <w:b/>
          <w:bCs/>
          <w:color w:val="7B7B7B" w:themeColor="accent3" w:themeShade="BF"/>
          <w:sz w:val="22"/>
          <w:szCs w:val="22"/>
          <w:lang w:val="en-GB"/>
        </w:rPr>
        <w:t>Model Law</w:t>
      </w:r>
      <w:r w:rsidR="00CA656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2018</w:t>
      </w:r>
      <w:r w:rsidR="008D1DCB">
        <w:rPr>
          <w:rFonts w:ascii="Avenir Next" w:hAnsi="Avenir Next" w:cs="Arial"/>
          <w:color w:val="7B7B7B" w:themeColor="accent3" w:themeShade="BF"/>
          <w:sz w:val="22"/>
          <w:szCs w:val="22"/>
          <w:lang w:val="en-GB"/>
        </w:rPr>
        <w:t xml:space="preserve"> and 2019, respectively.</w:t>
      </w:r>
      <w:r w:rsidR="00EB3A7A">
        <w:rPr>
          <w:rFonts w:ascii="Avenir Next" w:hAnsi="Avenir Next" w:cs="Arial"/>
          <w:color w:val="7B7B7B" w:themeColor="accent3" w:themeShade="BF"/>
          <w:sz w:val="22"/>
          <w:szCs w:val="22"/>
          <w:lang w:val="en-GB"/>
        </w:rPr>
        <w:t xml:space="preserve"> I note that according to a website </w:t>
      </w:r>
      <w:r w:rsidR="00171C96">
        <w:rPr>
          <w:rFonts w:ascii="Avenir Next" w:hAnsi="Avenir Next" w:cs="Arial"/>
          <w:color w:val="7B7B7B" w:themeColor="accent3" w:themeShade="BF"/>
          <w:sz w:val="22"/>
          <w:szCs w:val="22"/>
          <w:lang w:val="en-GB"/>
        </w:rPr>
        <w:t xml:space="preserve">run by UNCITRAL, </w:t>
      </w:r>
      <w:r w:rsidR="00D959E1">
        <w:rPr>
          <w:rFonts w:ascii="Avenir Next" w:hAnsi="Avenir Next" w:cs="Arial"/>
          <w:color w:val="7B7B7B" w:themeColor="accent3" w:themeShade="BF"/>
          <w:sz w:val="22"/>
          <w:szCs w:val="22"/>
          <w:lang w:val="en-GB"/>
        </w:rPr>
        <w:t xml:space="preserve">other Middle Eastern States that are signatories of the Model Law include: </w:t>
      </w:r>
      <w:r w:rsidR="0053472A">
        <w:rPr>
          <w:rFonts w:ascii="Avenir Next" w:hAnsi="Avenir Next" w:cs="Arial"/>
          <w:color w:val="7B7B7B" w:themeColor="accent3" w:themeShade="BF"/>
          <w:sz w:val="22"/>
          <w:szCs w:val="22"/>
          <w:lang w:val="en-GB"/>
        </w:rPr>
        <w:t xml:space="preserve">Jordan </w:t>
      </w:r>
      <w:r w:rsidR="00D46AA7">
        <w:rPr>
          <w:rFonts w:ascii="Avenir Next" w:hAnsi="Avenir Next" w:cs="Arial"/>
          <w:color w:val="7B7B7B" w:themeColor="accent3" w:themeShade="BF"/>
          <w:sz w:val="22"/>
          <w:szCs w:val="22"/>
          <w:lang w:val="en-GB"/>
        </w:rPr>
        <w:t xml:space="preserve">in 2018, </w:t>
      </w:r>
      <w:r w:rsidR="00D959E1">
        <w:rPr>
          <w:rFonts w:ascii="Avenir Next" w:hAnsi="Avenir Next" w:cs="Arial"/>
          <w:color w:val="7B7B7B" w:themeColor="accent3" w:themeShade="BF"/>
          <w:sz w:val="22"/>
          <w:szCs w:val="22"/>
          <w:lang w:val="en-GB"/>
        </w:rPr>
        <w:t>and</w:t>
      </w:r>
      <w:r w:rsidR="00D46AA7">
        <w:rPr>
          <w:rFonts w:ascii="Avenir Next" w:hAnsi="Avenir Next" w:cs="Arial"/>
          <w:color w:val="7B7B7B" w:themeColor="accent3" w:themeShade="BF"/>
          <w:sz w:val="22"/>
          <w:szCs w:val="22"/>
          <w:lang w:val="en-GB"/>
        </w:rPr>
        <w:t xml:space="preserve"> </w:t>
      </w:r>
      <w:r w:rsidR="00EF67C3">
        <w:rPr>
          <w:rFonts w:ascii="Avenir Next" w:hAnsi="Avenir Next" w:cs="Arial"/>
          <w:color w:val="7B7B7B" w:themeColor="accent3" w:themeShade="BF"/>
          <w:sz w:val="22"/>
          <w:szCs w:val="22"/>
          <w:lang w:val="en-GB"/>
        </w:rPr>
        <w:t>Abu Dhabi Global Market in 2015</w:t>
      </w:r>
      <w:r w:rsidR="00D959E1">
        <w:rPr>
          <w:rFonts w:ascii="Avenir Next" w:hAnsi="Avenir Next" w:cs="Arial"/>
          <w:color w:val="7B7B7B" w:themeColor="accent3" w:themeShade="BF"/>
          <w:sz w:val="22"/>
          <w:szCs w:val="22"/>
          <w:lang w:val="en-GB"/>
        </w:rPr>
        <w:t>.</w:t>
      </w:r>
      <w:r w:rsidR="00D959E1">
        <w:rPr>
          <w:rStyle w:val="FootnoteReference"/>
          <w:rFonts w:ascii="Avenir Next" w:hAnsi="Avenir Next" w:cs="Arial"/>
          <w:color w:val="7B7B7B" w:themeColor="accent3" w:themeShade="BF"/>
          <w:sz w:val="22"/>
          <w:szCs w:val="22"/>
          <w:lang w:val="en-GB"/>
        </w:rPr>
        <w:footnoteReference w:id="15"/>
      </w:r>
      <w:r w:rsidR="00EB3A7A">
        <w:rPr>
          <w:rFonts w:ascii="Avenir Next" w:hAnsi="Avenir Next" w:cs="Arial"/>
          <w:color w:val="7B7B7B" w:themeColor="accent3" w:themeShade="BF"/>
          <w:sz w:val="22"/>
          <w:szCs w:val="22"/>
          <w:lang w:val="en-GB"/>
        </w:rPr>
        <w:t xml:space="preserve"> </w:t>
      </w:r>
      <w:r w:rsidR="00286AE6"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4B9E911" w:rsidR="00544127" w:rsidRDefault="001F68F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Anderson and Morrison claim that personal insolvency does not appear to attract </w:t>
      </w:r>
      <w:r w:rsidR="004F63F5">
        <w:rPr>
          <w:rFonts w:ascii="Avenir Next" w:hAnsi="Avenir Next" w:cs="Arial"/>
          <w:color w:val="7B7B7B" w:themeColor="accent3" w:themeShade="BF"/>
          <w:sz w:val="22"/>
          <w:szCs w:val="22"/>
          <w:lang w:val="en-GB"/>
        </w:rPr>
        <w:t>the same level of</w:t>
      </w:r>
      <w:r>
        <w:rPr>
          <w:rFonts w:ascii="Avenir Next" w:hAnsi="Avenir Next" w:cs="Arial"/>
          <w:color w:val="7B7B7B" w:themeColor="accent3" w:themeShade="BF"/>
          <w:sz w:val="22"/>
          <w:szCs w:val="22"/>
          <w:lang w:val="en-GB"/>
        </w:rPr>
        <w:t xml:space="preserve"> </w:t>
      </w:r>
      <w:r w:rsidR="004F63F5">
        <w:rPr>
          <w:rFonts w:ascii="Avenir Next" w:hAnsi="Avenir Next" w:cs="Arial"/>
          <w:color w:val="7B7B7B" w:themeColor="accent3" w:themeShade="BF"/>
          <w:sz w:val="22"/>
          <w:szCs w:val="22"/>
          <w:lang w:val="en-GB"/>
        </w:rPr>
        <w:t xml:space="preserve">negative reactions as does corporate insolvency and theorises that this may be because personal insolvency </w:t>
      </w:r>
      <w:r w:rsidR="00187AC3">
        <w:rPr>
          <w:rFonts w:ascii="Avenir Next" w:hAnsi="Avenir Next" w:cs="Arial"/>
          <w:color w:val="7B7B7B" w:themeColor="accent3" w:themeShade="BF"/>
          <w:sz w:val="22"/>
          <w:szCs w:val="22"/>
          <w:lang w:val="en-GB"/>
        </w:rPr>
        <w:t>primarily impacts the individual and to “those within the person’s contemplation</w:t>
      </w:r>
      <w:r w:rsidR="002C4557">
        <w:rPr>
          <w:rFonts w:ascii="Avenir Next" w:hAnsi="Avenir Next" w:cs="Arial"/>
          <w:color w:val="7B7B7B" w:themeColor="accent3" w:themeShade="BF"/>
          <w:sz w:val="22"/>
          <w:szCs w:val="22"/>
          <w:lang w:val="en-GB"/>
        </w:rPr>
        <w:t xml:space="preserve">,” whereas </w:t>
      </w:r>
      <w:r w:rsidR="00374B26">
        <w:rPr>
          <w:rFonts w:ascii="Avenir Next" w:hAnsi="Avenir Next" w:cs="Arial"/>
          <w:color w:val="7B7B7B" w:themeColor="accent3" w:themeShade="BF"/>
          <w:sz w:val="22"/>
          <w:szCs w:val="22"/>
          <w:lang w:val="en-GB"/>
        </w:rPr>
        <w:t>corporate insolvency apparently affects a wider group of direct and indirect per</w:t>
      </w:r>
      <w:r w:rsidR="005E759D">
        <w:rPr>
          <w:rFonts w:ascii="Avenir Next" w:hAnsi="Avenir Next" w:cs="Arial"/>
          <w:color w:val="7B7B7B" w:themeColor="accent3" w:themeShade="BF"/>
          <w:sz w:val="22"/>
          <w:szCs w:val="22"/>
          <w:lang w:val="en-GB"/>
        </w:rPr>
        <w:t>sons.</w:t>
      </w:r>
      <w:r w:rsidR="005E759D">
        <w:rPr>
          <w:rStyle w:val="FootnoteReference"/>
          <w:rFonts w:ascii="Avenir Next" w:hAnsi="Avenir Next" w:cs="Arial"/>
          <w:color w:val="7B7B7B" w:themeColor="accent3" w:themeShade="BF"/>
          <w:sz w:val="22"/>
          <w:szCs w:val="22"/>
          <w:lang w:val="en-GB"/>
        </w:rPr>
        <w:footnoteReference w:id="16"/>
      </w:r>
      <w:r w:rsidR="00187AC3">
        <w:rPr>
          <w:rFonts w:ascii="Avenir Next" w:hAnsi="Avenir Next" w:cs="Arial"/>
          <w:color w:val="7B7B7B" w:themeColor="accent3" w:themeShade="BF"/>
          <w:sz w:val="22"/>
          <w:szCs w:val="22"/>
          <w:lang w:val="en-GB"/>
        </w:rPr>
        <w:t xml:space="preserve"> </w:t>
      </w:r>
      <w:r w:rsidR="001600DD">
        <w:rPr>
          <w:rFonts w:ascii="Avenir Next" w:hAnsi="Avenir Next" w:cs="Arial"/>
          <w:color w:val="7B7B7B" w:themeColor="accent3" w:themeShade="BF"/>
          <w:sz w:val="22"/>
          <w:szCs w:val="22"/>
          <w:lang w:val="en-GB"/>
        </w:rPr>
        <w:t xml:space="preserve">It may be that the effect that each </w:t>
      </w:r>
      <w:r w:rsidR="0084568B">
        <w:rPr>
          <w:rFonts w:ascii="Avenir Next" w:hAnsi="Avenir Next" w:cs="Arial"/>
          <w:color w:val="7B7B7B" w:themeColor="accent3" w:themeShade="BF"/>
          <w:sz w:val="22"/>
          <w:szCs w:val="22"/>
          <w:lang w:val="en-GB"/>
        </w:rPr>
        <w:t xml:space="preserve">of the different </w:t>
      </w:r>
      <w:r w:rsidR="001600DD">
        <w:rPr>
          <w:rFonts w:ascii="Avenir Next" w:hAnsi="Avenir Next" w:cs="Arial"/>
          <w:color w:val="7B7B7B" w:themeColor="accent3" w:themeShade="BF"/>
          <w:sz w:val="22"/>
          <w:szCs w:val="22"/>
          <w:lang w:val="en-GB"/>
        </w:rPr>
        <w:t>insolvenc</w:t>
      </w:r>
      <w:r w:rsidR="0084568B">
        <w:rPr>
          <w:rFonts w:ascii="Avenir Next" w:hAnsi="Avenir Next" w:cs="Arial"/>
          <w:color w:val="7B7B7B" w:themeColor="accent3" w:themeShade="BF"/>
          <w:sz w:val="22"/>
          <w:szCs w:val="22"/>
          <w:lang w:val="en-GB"/>
        </w:rPr>
        <w:t>ies</w:t>
      </w:r>
      <w:r w:rsidR="001600DD">
        <w:rPr>
          <w:rFonts w:ascii="Avenir Next" w:hAnsi="Avenir Next" w:cs="Arial"/>
          <w:color w:val="7B7B7B" w:themeColor="accent3" w:themeShade="BF"/>
          <w:sz w:val="22"/>
          <w:szCs w:val="22"/>
          <w:lang w:val="en-GB"/>
        </w:rPr>
        <w:t xml:space="preserve"> has on the debtor </w:t>
      </w:r>
      <w:r w:rsidR="0084568B">
        <w:rPr>
          <w:rFonts w:ascii="Avenir Next" w:hAnsi="Avenir Next" w:cs="Arial"/>
          <w:color w:val="7B7B7B" w:themeColor="accent3" w:themeShade="BF"/>
          <w:sz w:val="22"/>
          <w:szCs w:val="22"/>
          <w:lang w:val="en-GB"/>
        </w:rPr>
        <w:t xml:space="preserve">and its stakeholders, has caused a divergence </w:t>
      </w:r>
      <w:r w:rsidR="003C7D73">
        <w:rPr>
          <w:rFonts w:ascii="Avenir Next" w:hAnsi="Avenir Next" w:cs="Arial"/>
          <w:color w:val="7B7B7B" w:themeColor="accent3" w:themeShade="BF"/>
          <w:sz w:val="22"/>
          <w:szCs w:val="22"/>
          <w:lang w:val="en-GB"/>
        </w:rPr>
        <w:t xml:space="preserve">in the approach taken by various countries. </w:t>
      </w:r>
    </w:p>
    <w:p w14:paraId="41C0F29A" w14:textId="2227D889" w:rsidR="00B90467" w:rsidRDefault="00B90467" w:rsidP="00C053F7">
      <w:pPr>
        <w:jc w:val="both"/>
        <w:rPr>
          <w:rFonts w:ascii="Avenir Next" w:hAnsi="Avenir Next" w:cs="Arial"/>
          <w:color w:val="7B7B7B" w:themeColor="accent3" w:themeShade="BF"/>
          <w:sz w:val="22"/>
          <w:szCs w:val="22"/>
          <w:lang w:val="en-GB"/>
        </w:rPr>
      </w:pPr>
    </w:p>
    <w:p w14:paraId="6DAACA65" w14:textId="7711D335" w:rsidR="00B90467" w:rsidRDefault="00B7063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Personal insolvency objectives</w:t>
      </w:r>
      <w:r w:rsidR="000371AF">
        <w:rPr>
          <w:rFonts w:ascii="Avenir Next" w:hAnsi="Avenir Next" w:cs="Arial"/>
          <w:color w:val="7B7B7B" w:themeColor="accent3" w:themeShade="BF"/>
          <w:sz w:val="22"/>
          <w:szCs w:val="22"/>
          <w:lang w:val="en-GB"/>
        </w:rPr>
        <w:t xml:space="preserve"> that may </w:t>
      </w:r>
      <w:r w:rsidR="002177EA">
        <w:rPr>
          <w:rFonts w:ascii="Avenir Next" w:hAnsi="Avenir Next" w:cs="Arial"/>
          <w:color w:val="7B7B7B" w:themeColor="accent3" w:themeShade="BF"/>
          <w:sz w:val="22"/>
          <w:szCs w:val="22"/>
          <w:lang w:val="en-GB"/>
        </w:rPr>
        <w:t>differ to corporate insolvency (in part)</w:t>
      </w:r>
      <w:r>
        <w:rPr>
          <w:rFonts w:ascii="Avenir Next" w:hAnsi="Avenir Next" w:cs="Arial"/>
          <w:color w:val="7B7B7B" w:themeColor="accent3" w:themeShade="BF"/>
          <w:sz w:val="22"/>
          <w:szCs w:val="22"/>
          <w:lang w:val="en-GB"/>
        </w:rPr>
        <w:t xml:space="preserve"> include:</w:t>
      </w:r>
      <w:r>
        <w:rPr>
          <w:rStyle w:val="FootnoteReference"/>
          <w:rFonts w:ascii="Avenir Next" w:hAnsi="Avenir Next" w:cs="Arial"/>
          <w:color w:val="7B7B7B" w:themeColor="accent3" w:themeShade="BF"/>
          <w:sz w:val="22"/>
          <w:szCs w:val="22"/>
          <w:lang w:val="en-GB"/>
        </w:rPr>
        <w:footnoteReference w:id="17"/>
      </w:r>
    </w:p>
    <w:p w14:paraId="78E1E0CC" w14:textId="0C79EDD2" w:rsidR="00B7063A" w:rsidRPr="002177EA" w:rsidRDefault="00B7063A" w:rsidP="00C053F7">
      <w:pPr>
        <w:jc w:val="both"/>
        <w:rPr>
          <w:rFonts w:ascii="Avenir Next" w:hAnsi="Avenir Next" w:cs="Arial"/>
          <w:color w:val="7B7B7B" w:themeColor="accent3" w:themeShade="BF"/>
          <w:sz w:val="14"/>
          <w:szCs w:val="14"/>
          <w:lang w:val="en-GB"/>
        </w:rPr>
      </w:pPr>
    </w:p>
    <w:p w14:paraId="3CA54092" w14:textId="4F2B72F2" w:rsidR="00B7063A" w:rsidRDefault="00B7063A" w:rsidP="00B7063A">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fresh start</w:t>
      </w:r>
      <w:r w:rsidR="00B87062">
        <w:rPr>
          <w:rFonts w:ascii="Avenir Next" w:hAnsi="Avenir Next" w:cs="Arial"/>
          <w:color w:val="7B7B7B" w:themeColor="accent3" w:themeShade="BF"/>
          <w:sz w:val="22"/>
          <w:szCs w:val="22"/>
          <w:lang w:val="en-GB"/>
        </w:rPr>
        <w:t xml:space="preserve"> (subject to pre-appointment and post-appointment conduct). For instance, in Australia, a </w:t>
      </w:r>
      <w:r w:rsidR="007F07E3">
        <w:rPr>
          <w:rFonts w:ascii="Avenir Next" w:hAnsi="Avenir Next" w:cs="Arial"/>
          <w:color w:val="7B7B7B" w:themeColor="accent3" w:themeShade="BF"/>
          <w:sz w:val="22"/>
          <w:szCs w:val="22"/>
          <w:lang w:val="en-GB"/>
        </w:rPr>
        <w:t>discharged b</w:t>
      </w:r>
      <w:r w:rsidR="00B87062">
        <w:rPr>
          <w:rFonts w:ascii="Avenir Next" w:hAnsi="Avenir Next" w:cs="Arial"/>
          <w:color w:val="7B7B7B" w:themeColor="accent3" w:themeShade="BF"/>
          <w:sz w:val="22"/>
          <w:szCs w:val="22"/>
          <w:lang w:val="en-GB"/>
        </w:rPr>
        <w:t xml:space="preserve">ankrupt </w:t>
      </w:r>
      <w:r w:rsidR="00362AF4">
        <w:rPr>
          <w:rFonts w:ascii="Avenir Next" w:hAnsi="Avenir Next" w:cs="Arial"/>
          <w:color w:val="7B7B7B" w:themeColor="accent3" w:themeShade="BF"/>
          <w:sz w:val="22"/>
          <w:szCs w:val="22"/>
          <w:lang w:val="en-GB"/>
        </w:rPr>
        <w:t>retains an obligation to continue to assist their former insolvency representative;</w:t>
      </w:r>
      <w:r w:rsidR="00362AF4">
        <w:rPr>
          <w:rStyle w:val="FootnoteReference"/>
          <w:rFonts w:ascii="Avenir Next" w:hAnsi="Avenir Next" w:cs="Arial"/>
          <w:color w:val="7B7B7B" w:themeColor="accent3" w:themeShade="BF"/>
          <w:sz w:val="22"/>
          <w:szCs w:val="22"/>
          <w:lang w:val="en-GB"/>
        </w:rPr>
        <w:footnoteReference w:id="18"/>
      </w:r>
    </w:p>
    <w:p w14:paraId="50E58BB9" w14:textId="77777777" w:rsidR="00B75DB9" w:rsidRPr="002177EA" w:rsidRDefault="00B75DB9" w:rsidP="00B75DB9">
      <w:pPr>
        <w:pStyle w:val="ListParagraph"/>
        <w:ind w:left="360"/>
        <w:jc w:val="both"/>
        <w:rPr>
          <w:rFonts w:ascii="Avenir Next" w:hAnsi="Avenir Next" w:cs="Arial"/>
          <w:color w:val="7B7B7B" w:themeColor="accent3" w:themeShade="BF"/>
          <w:sz w:val="10"/>
          <w:szCs w:val="10"/>
          <w:lang w:val="en-GB"/>
        </w:rPr>
      </w:pPr>
    </w:p>
    <w:p w14:paraId="18B8F0F6" w14:textId="615CBDA8" w:rsidR="007177F4" w:rsidRDefault="00B75DB9" w:rsidP="007177F4">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Protection from further </w:t>
      </w:r>
      <w:r w:rsidR="00EC0049">
        <w:rPr>
          <w:rFonts w:ascii="Avenir Next" w:hAnsi="Avenir Next" w:cs="Arial"/>
          <w:color w:val="7B7B7B" w:themeColor="accent3" w:themeShade="BF"/>
          <w:sz w:val="22"/>
          <w:szCs w:val="22"/>
          <w:lang w:val="en-GB"/>
        </w:rPr>
        <w:t>harassment or legal proceedings (but not in all circumstances, eg</w:t>
      </w:r>
      <w:r w:rsidR="007177F4">
        <w:rPr>
          <w:rFonts w:ascii="Avenir Next" w:hAnsi="Avenir Next" w:cs="Arial"/>
          <w:color w:val="7B7B7B" w:themeColor="accent3" w:themeShade="BF"/>
          <w:sz w:val="22"/>
          <w:szCs w:val="22"/>
          <w:lang w:val="en-GB"/>
        </w:rPr>
        <w:t>: in circumstances of fraud);</w:t>
      </w:r>
    </w:p>
    <w:p w14:paraId="0B77D5F4" w14:textId="77777777" w:rsidR="007177F4" w:rsidRPr="002177EA" w:rsidRDefault="007177F4" w:rsidP="007177F4">
      <w:pPr>
        <w:pStyle w:val="ListParagraph"/>
        <w:rPr>
          <w:rFonts w:ascii="Avenir Next" w:hAnsi="Avenir Next" w:cs="Arial"/>
          <w:color w:val="7B7B7B" w:themeColor="accent3" w:themeShade="BF"/>
          <w:sz w:val="10"/>
          <w:szCs w:val="10"/>
          <w:lang w:val="en-GB"/>
        </w:rPr>
      </w:pPr>
    </w:p>
    <w:p w14:paraId="5917B5C3" w14:textId="79F9A19B" w:rsidR="00FC669A" w:rsidRDefault="007177F4" w:rsidP="007177F4">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Income contribution assessments that are based on objective reasonable tests </w:t>
      </w:r>
      <w:r w:rsidR="000F6597">
        <w:rPr>
          <w:rFonts w:ascii="Avenir Next" w:hAnsi="Avenir Next" w:cs="Arial"/>
          <w:color w:val="7B7B7B" w:themeColor="accent3" w:themeShade="BF"/>
          <w:sz w:val="22"/>
          <w:szCs w:val="22"/>
          <w:lang w:val="en-GB"/>
        </w:rPr>
        <w:t>(ie codified index amounts)</w:t>
      </w:r>
      <w:r w:rsidR="00FC669A">
        <w:rPr>
          <w:rStyle w:val="FootnoteReference"/>
          <w:rFonts w:ascii="Avenir Next" w:hAnsi="Avenir Next" w:cs="Arial"/>
          <w:color w:val="7B7B7B" w:themeColor="accent3" w:themeShade="BF"/>
          <w:sz w:val="22"/>
          <w:szCs w:val="22"/>
          <w:lang w:val="en-GB"/>
        </w:rPr>
        <w:footnoteReference w:id="19"/>
      </w:r>
      <w:r w:rsidR="000F6597">
        <w:rPr>
          <w:rFonts w:ascii="Avenir Next" w:hAnsi="Avenir Next" w:cs="Arial"/>
          <w:color w:val="7B7B7B" w:themeColor="accent3" w:themeShade="BF"/>
          <w:sz w:val="22"/>
          <w:szCs w:val="22"/>
          <w:lang w:val="en-GB"/>
        </w:rPr>
        <w:t xml:space="preserve"> and subjective tests </w:t>
      </w:r>
      <w:r>
        <w:rPr>
          <w:rFonts w:ascii="Avenir Next" w:hAnsi="Avenir Next" w:cs="Arial"/>
          <w:color w:val="7B7B7B" w:themeColor="accent3" w:themeShade="BF"/>
          <w:sz w:val="22"/>
          <w:szCs w:val="22"/>
          <w:lang w:val="en-GB"/>
        </w:rPr>
        <w:t xml:space="preserve">that take into </w:t>
      </w:r>
      <w:r w:rsidR="000F6597">
        <w:rPr>
          <w:rFonts w:ascii="Avenir Next" w:hAnsi="Avenir Next" w:cs="Arial"/>
          <w:color w:val="7B7B7B" w:themeColor="accent3" w:themeShade="BF"/>
          <w:sz w:val="22"/>
          <w:szCs w:val="22"/>
          <w:lang w:val="en-GB"/>
        </w:rPr>
        <w:t xml:space="preserve">account a </w:t>
      </w:r>
      <w:r w:rsidR="00FC669A">
        <w:rPr>
          <w:rFonts w:ascii="Avenir Next" w:hAnsi="Avenir Next" w:cs="Arial"/>
          <w:color w:val="7B7B7B" w:themeColor="accent3" w:themeShade="BF"/>
          <w:sz w:val="22"/>
          <w:szCs w:val="22"/>
          <w:lang w:val="en-GB"/>
        </w:rPr>
        <w:t>debtor’s personal circumstance;</w:t>
      </w:r>
      <w:r w:rsidR="002177EA">
        <w:rPr>
          <w:rFonts w:ascii="Avenir Next" w:hAnsi="Avenir Next" w:cs="Arial"/>
          <w:color w:val="7B7B7B" w:themeColor="accent3" w:themeShade="BF"/>
          <w:sz w:val="22"/>
          <w:szCs w:val="22"/>
          <w:lang w:val="en-GB"/>
        </w:rPr>
        <w:t xml:space="preserve"> </w:t>
      </w:r>
    </w:p>
    <w:p w14:paraId="065AA9F8" w14:textId="77777777" w:rsidR="00650196" w:rsidRPr="003B62ED" w:rsidRDefault="00650196" w:rsidP="00650196">
      <w:pPr>
        <w:pStyle w:val="ListParagraph"/>
        <w:rPr>
          <w:rFonts w:ascii="Avenir Next" w:hAnsi="Avenir Next" w:cs="Arial"/>
          <w:color w:val="7B7B7B" w:themeColor="accent3" w:themeShade="BF"/>
          <w:sz w:val="10"/>
          <w:szCs w:val="10"/>
          <w:lang w:val="en-GB"/>
        </w:rPr>
      </w:pPr>
    </w:p>
    <w:p w14:paraId="78B9AE25" w14:textId="7BCABF59" w:rsidR="00650196" w:rsidRDefault="00BE5D78" w:rsidP="007177F4">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Goal of offering an incentive to engage in revenue producing activities</w:t>
      </w:r>
      <w:r w:rsidR="007E6563">
        <w:rPr>
          <w:rFonts w:ascii="Avenir Next" w:hAnsi="Avenir Next" w:cs="Arial"/>
          <w:color w:val="7B7B7B" w:themeColor="accent3" w:themeShade="BF"/>
          <w:sz w:val="22"/>
          <w:szCs w:val="22"/>
          <w:lang w:val="en-GB"/>
        </w:rPr>
        <w:t>, whereas the natural persons of a corporate entity can (generally) start again;</w:t>
      </w:r>
      <w:r w:rsidR="007E6563">
        <w:rPr>
          <w:rStyle w:val="FootnoteReference"/>
          <w:rFonts w:ascii="Avenir Next" w:hAnsi="Avenir Next" w:cs="Arial"/>
          <w:color w:val="7B7B7B" w:themeColor="accent3" w:themeShade="BF"/>
          <w:sz w:val="22"/>
          <w:szCs w:val="22"/>
          <w:lang w:val="en-GB"/>
        </w:rPr>
        <w:footnoteReference w:id="20"/>
      </w:r>
    </w:p>
    <w:p w14:paraId="7DA4D2B4" w14:textId="77777777" w:rsidR="00FC669A" w:rsidRPr="002177EA" w:rsidRDefault="00FC669A" w:rsidP="00FC669A">
      <w:pPr>
        <w:pStyle w:val="ListParagraph"/>
        <w:rPr>
          <w:rFonts w:ascii="Avenir Next" w:hAnsi="Avenir Next" w:cs="Arial"/>
          <w:color w:val="7B7B7B" w:themeColor="accent3" w:themeShade="BF"/>
          <w:sz w:val="10"/>
          <w:szCs w:val="10"/>
          <w:lang w:val="en-GB"/>
        </w:rPr>
      </w:pPr>
    </w:p>
    <w:p w14:paraId="3DE4BEC8" w14:textId="76BCAD5B" w:rsidR="007177F4" w:rsidRDefault="002C7A36" w:rsidP="007177F4">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Exempt or excluded assets,</w:t>
      </w:r>
      <w:r w:rsidR="009979D2">
        <w:rPr>
          <w:rStyle w:val="FootnoteReference"/>
          <w:rFonts w:ascii="Avenir Next" w:hAnsi="Avenir Next" w:cs="Arial"/>
          <w:color w:val="7B7B7B" w:themeColor="accent3" w:themeShade="BF"/>
          <w:sz w:val="22"/>
          <w:szCs w:val="22"/>
          <w:lang w:val="en-GB"/>
        </w:rPr>
        <w:footnoteReference w:id="21"/>
      </w:r>
      <w:r>
        <w:rPr>
          <w:rFonts w:ascii="Avenir Next" w:hAnsi="Avenir Next" w:cs="Arial"/>
          <w:color w:val="7B7B7B" w:themeColor="accent3" w:themeShade="BF"/>
          <w:sz w:val="22"/>
          <w:szCs w:val="22"/>
          <w:lang w:val="en-GB"/>
        </w:rPr>
        <w:t xml:space="preserve"> eg: superannuation in a regulated entity, </w:t>
      </w:r>
      <w:r w:rsidR="009979D2">
        <w:rPr>
          <w:rFonts w:ascii="Avenir Next" w:hAnsi="Avenir Next" w:cs="Arial"/>
          <w:color w:val="7B7B7B" w:themeColor="accent3" w:themeShade="BF"/>
          <w:sz w:val="22"/>
          <w:szCs w:val="22"/>
          <w:lang w:val="en-GB"/>
        </w:rPr>
        <w:t>transportation for the purposes of work</w:t>
      </w:r>
      <w:r w:rsidR="002177EA">
        <w:rPr>
          <w:rFonts w:ascii="Avenir Next" w:hAnsi="Avenir Next" w:cs="Arial"/>
          <w:color w:val="7B7B7B" w:themeColor="accent3" w:themeShade="BF"/>
          <w:sz w:val="22"/>
          <w:szCs w:val="22"/>
          <w:lang w:val="en-GB"/>
        </w:rPr>
        <w:t>ing</w:t>
      </w:r>
      <w:r w:rsidR="009979D2">
        <w:rPr>
          <w:rFonts w:ascii="Avenir Next" w:hAnsi="Avenir Next" w:cs="Arial"/>
          <w:color w:val="7B7B7B" w:themeColor="accent3" w:themeShade="BF"/>
          <w:sz w:val="22"/>
          <w:szCs w:val="22"/>
          <w:lang w:val="en-GB"/>
        </w:rPr>
        <w:t xml:space="preserve"> </w:t>
      </w:r>
      <w:r w:rsidR="002177EA">
        <w:rPr>
          <w:rFonts w:ascii="Avenir Next" w:hAnsi="Avenir Next" w:cs="Arial"/>
          <w:color w:val="7B7B7B" w:themeColor="accent3" w:themeShade="BF"/>
          <w:sz w:val="22"/>
          <w:szCs w:val="22"/>
          <w:lang w:val="en-GB"/>
        </w:rPr>
        <w:t>and</w:t>
      </w:r>
      <w:r w:rsidR="009979D2">
        <w:rPr>
          <w:rFonts w:ascii="Avenir Next" w:hAnsi="Avenir Next" w:cs="Arial"/>
          <w:color w:val="7B7B7B" w:themeColor="accent3" w:themeShade="BF"/>
          <w:sz w:val="22"/>
          <w:szCs w:val="22"/>
          <w:lang w:val="en-GB"/>
        </w:rPr>
        <w:t xml:space="preserve"> </w:t>
      </w:r>
      <w:r w:rsidR="002177EA">
        <w:rPr>
          <w:rFonts w:ascii="Avenir Next" w:hAnsi="Avenir Next" w:cs="Arial"/>
          <w:color w:val="7B7B7B" w:themeColor="accent3" w:themeShade="BF"/>
          <w:sz w:val="22"/>
          <w:szCs w:val="22"/>
          <w:lang w:val="en-GB"/>
        </w:rPr>
        <w:t>tools of trade (up to prescribed index rates),</w:t>
      </w:r>
      <w:r w:rsidR="006A7ECD">
        <w:rPr>
          <w:rFonts w:ascii="Avenir Next" w:hAnsi="Avenir Next" w:cs="Arial"/>
          <w:color w:val="7B7B7B" w:themeColor="accent3" w:themeShade="BF"/>
          <w:sz w:val="22"/>
          <w:szCs w:val="22"/>
          <w:lang w:val="en-GB"/>
        </w:rPr>
        <w:t xml:space="preserve"> and low value personal effects </w:t>
      </w:r>
      <w:r w:rsidR="006C52A2">
        <w:rPr>
          <w:rFonts w:ascii="Avenir Next" w:hAnsi="Avenir Next" w:cs="Arial"/>
          <w:color w:val="7B7B7B" w:themeColor="accent3" w:themeShade="BF"/>
          <w:sz w:val="22"/>
          <w:szCs w:val="22"/>
          <w:lang w:val="en-GB"/>
        </w:rPr>
        <w:t>or</w:t>
      </w:r>
      <w:r w:rsidR="006A7ECD">
        <w:rPr>
          <w:rFonts w:ascii="Avenir Next" w:hAnsi="Avenir Next" w:cs="Arial"/>
          <w:color w:val="7B7B7B" w:themeColor="accent3" w:themeShade="BF"/>
          <w:sz w:val="22"/>
          <w:szCs w:val="22"/>
          <w:lang w:val="en-GB"/>
        </w:rPr>
        <w:t xml:space="preserve"> furniture</w:t>
      </w:r>
      <w:r w:rsidR="004D550E">
        <w:rPr>
          <w:rFonts w:ascii="Avenir Next" w:hAnsi="Avenir Next" w:cs="Arial"/>
          <w:color w:val="7B7B7B" w:themeColor="accent3" w:themeShade="BF"/>
          <w:sz w:val="22"/>
          <w:szCs w:val="22"/>
          <w:lang w:val="en-GB"/>
        </w:rPr>
        <w:t>; and</w:t>
      </w:r>
    </w:p>
    <w:p w14:paraId="7D71AF16" w14:textId="77777777" w:rsidR="004D550E" w:rsidRPr="004D550E" w:rsidRDefault="004D550E" w:rsidP="004D550E">
      <w:pPr>
        <w:pStyle w:val="ListParagraph"/>
        <w:rPr>
          <w:rFonts w:ascii="Avenir Next" w:hAnsi="Avenir Next" w:cs="Arial"/>
          <w:color w:val="7B7B7B" w:themeColor="accent3" w:themeShade="BF"/>
          <w:sz w:val="10"/>
          <w:szCs w:val="10"/>
          <w:lang w:val="en-GB"/>
        </w:rPr>
      </w:pPr>
    </w:p>
    <w:p w14:paraId="3F5365B5" w14:textId="4A20DC94" w:rsidR="004D550E" w:rsidRDefault="004D550E" w:rsidP="007177F4">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may be </w:t>
      </w:r>
      <w:r w:rsidR="004A4588">
        <w:rPr>
          <w:rFonts w:ascii="Avenir Next" w:hAnsi="Avenir Next" w:cs="Arial"/>
          <w:color w:val="7B7B7B" w:themeColor="accent3" w:themeShade="BF"/>
          <w:sz w:val="22"/>
          <w:szCs w:val="22"/>
          <w:lang w:val="en-GB"/>
        </w:rPr>
        <w:t xml:space="preserve">social, </w:t>
      </w:r>
      <w:r w:rsidR="002D0B1F">
        <w:rPr>
          <w:rFonts w:ascii="Avenir Next" w:hAnsi="Avenir Next" w:cs="Arial"/>
          <w:color w:val="7B7B7B" w:themeColor="accent3" w:themeShade="BF"/>
          <w:sz w:val="22"/>
          <w:szCs w:val="22"/>
          <w:lang w:val="en-GB"/>
        </w:rPr>
        <w:t xml:space="preserve">religious, moral or </w:t>
      </w:r>
      <w:r w:rsidR="004A4588">
        <w:rPr>
          <w:rFonts w:ascii="Avenir Next" w:hAnsi="Avenir Next" w:cs="Arial"/>
          <w:color w:val="7B7B7B" w:themeColor="accent3" w:themeShade="BF"/>
          <w:sz w:val="22"/>
          <w:szCs w:val="22"/>
          <w:lang w:val="en-GB"/>
        </w:rPr>
        <w:t xml:space="preserve">cultural </w:t>
      </w:r>
      <w:r w:rsidR="002D0B1F">
        <w:rPr>
          <w:rFonts w:ascii="Avenir Next" w:hAnsi="Avenir Next" w:cs="Arial"/>
          <w:color w:val="7B7B7B" w:themeColor="accent3" w:themeShade="BF"/>
          <w:sz w:val="22"/>
          <w:szCs w:val="22"/>
          <w:lang w:val="en-GB"/>
        </w:rPr>
        <w:t xml:space="preserve">differences, </w:t>
      </w:r>
      <w:r w:rsidR="00E5565A">
        <w:rPr>
          <w:rFonts w:ascii="Avenir Next" w:hAnsi="Avenir Next" w:cs="Arial"/>
          <w:color w:val="7B7B7B" w:themeColor="accent3" w:themeShade="BF"/>
          <w:sz w:val="22"/>
          <w:szCs w:val="22"/>
          <w:lang w:val="en-GB"/>
        </w:rPr>
        <w:t>mental health concerns or education/experience gap</w:t>
      </w:r>
      <w:r w:rsidR="00CE5C09">
        <w:rPr>
          <w:rFonts w:ascii="Avenir Next" w:hAnsi="Avenir Next" w:cs="Arial"/>
          <w:color w:val="7B7B7B" w:themeColor="accent3" w:themeShade="BF"/>
          <w:sz w:val="22"/>
          <w:szCs w:val="22"/>
          <w:lang w:val="en-GB"/>
        </w:rPr>
        <w:t>s</w:t>
      </w:r>
      <w:r w:rsidR="00E5565A">
        <w:rPr>
          <w:rFonts w:ascii="Avenir Next" w:hAnsi="Avenir Next" w:cs="Arial"/>
          <w:color w:val="7B7B7B" w:themeColor="accent3" w:themeShade="BF"/>
          <w:sz w:val="22"/>
          <w:szCs w:val="22"/>
          <w:lang w:val="en-GB"/>
        </w:rPr>
        <w:t xml:space="preserve"> between owners of business </w:t>
      </w:r>
      <w:r w:rsidR="00CE5C09">
        <w:rPr>
          <w:rFonts w:ascii="Avenir Next" w:hAnsi="Avenir Next" w:cs="Arial"/>
          <w:color w:val="7B7B7B" w:themeColor="accent3" w:themeShade="BF"/>
          <w:sz w:val="22"/>
          <w:szCs w:val="22"/>
          <w:lang w:val="en-GB"/>
        </w:rPr>
        <w:t xml:space="preserve">(that can rely upon corporate and personal insolvency) and </w:t>
      </w:r>
      <w:r w:rsidR="000A3792">
        <w:rPr>
          <w:rFonts w:ascii="Avenir Next" w:hAnsi="Avenir Next" w:cs="Arial"/>
          <w:color w:val="7B7B7B" w:themeColor="accent3" w:themeShade="BF"/>
          <w:sz w:val="22"/>
          <w:szCs w:val="22"/>
          <w:lang w:val="en-GB"/>
        </w:rPr>
        <w:t xml:space="preserve">bankrupted </w:t>
      </w:r>
      <w:r w:rsidR="00CE5C09">
        <w:rPr>
          <w:rFonts w:ascii="Avenir Next" w:hAnsi="Avenir Next" w:cs="Arial"/>
          <w:color w:val="7B7B7B" w:themeColor="accent3" w:themeShade="BF"/>
          <w:sz w:val="22"/>
          <w:szCs w:val="22"/>
          <w:lang w:val="en-GB"/>
        </w:rPr>
        <w:t xml:space="preserve">individuals that have </w:t>
      </w:r>
      <w:r w:rsidR="000A3792">
        <w:rPr>
          <w:rFonts w:ascii="Avenir Next" w:hAnsi="Avenir Next" w:cs="Arial"/>
          <w:color w:val="7B7B7B" w:themeColor="accent3" w:themeShade="BF"/>
          <w:sz w:val="22"/>
          <w:szCs w:val="22"/>
          <w:lang w:val="en-GB"/>
        </w:rPr>
        <w:t xml:space="preserve">no such knowledge or acumen. In my experience, many personal insolvency appointments tend to be a result of </w:t>
      </w:r>
      <w:r w:rsidR="006A090A">
        <w:rPr>
          <w:rFonts w:ascii="Avenir Next" w:hAnsi="Avenir Next" w:cs="Arial"/>
          <w:color w:val="7B7B7B" w:themeColor="accent3" w:themeShade="BF"/>
          <w:sz w:val="22"/>
          <w:szCs w:val="22"/>
          <w:lang w:val="en-GB"/>
        </w:rPr>
        <w:t>non-</w:t>
      </w:r>
      <w:r w:rsidR="003964F8">
        <w:rPr>
          <w:rFonts w:ascii="Avenir Next" w:hAnsi="Avenir Next" w:cs="Arial"/>
          <w:color w:val="7B7B7B" w:themeColor="accent3" w:themeShade="BF"/>
          <w:sz w:val="22"/>
          <w:szCs w:val="22"/>
          <w:lang w:val="en-GB"/>
        </w:rPr>
        <w:t>business-related</w:t>
      </w:r>
      <w:r w:rsidR="006A090A">
        <w:rPr>
          <w:rFonts w:ascii="Avenir Next" w:hAnsi="Avenir Next" w:cs="Arial"/>
          <w:color w:val="7B7B7B" w:themeColor="accent3" w:themeShade="BF"/>
          <w:sz w:val="22"/>
          <w:szCs w:val="22"/>
          <w:lang w:val="en-GB"/>
        </w:rPr>
        <w:t xml:space="preserve"> activities</w:t>
      </w:r>
      <w:r w:rsidR="00666E4C">
        <w:rPr>
          <w:rFonts w:ascii="Avenir Next" w:hAnsi="Avenir Next" w:cs="Arial"/>
          <w:color w:val="7B7B7B" w:themeColor="accent3" w:themeShade="BF"/>
          <w:sz w:val="22"/>
          <w:szCs w:val="22"/>
          <w:lang w:val="en-GB"/>
        </w:rPr>
        <w:t xml:space="preserve"> rather than business failure. A report from the Productivity Commission in Australia (2015) found that </w:t>
      </w:r>
      <w:r w:rsidR="003964F8">
        <w:rPr>
          <w:rFonts w:ascii="Avenir Next" w:hAnsi="Avenir Next" w:cs="Arial"/>
          <w:color w:val="7B7B7B" w:themeColor="accent3" w:themeShade="BF"/>
          <w:sz w:val="22"/>
          <w:szCs w:val="22"/>
          <w:lang w:val="en-GB"/>
        </w:rPr>
        <w:t xml:space="preserve">business-related activities accounted for only 16% of all personal insolvency cases in Australia (or </w:t>
      </w:r>
      <w:r w:rsidR="00561EA3">
        <w:rPr>
          <w:rFonts w:ascii="Avenir Next" w:hAnsi="Avenir Next" w:cs="Arial"/>
          <w:color w:val="7B7B7B" w:themeColor="accent3" w:themeShade="BF"/>
          <w:sz w:val="22"/>
          <w:szCs w:val="22"/>
          <w:lang w:val="en-GB"/>
        </w:rPr>
        <w:t>20% of bankruptcies)</w:t>
      </w:r>
      <w:r w:rsidR="006A090A">
        <w:rPr>
          <w:rFonts w:ascii="Avenir Next" w:hAnsi="Avenir Next" w:cs="Arial"/>
          <w:color w:val="7B7B7B" w:themeColor="accent3" w:themeShade="BF"/>
          <w:sz w:val="22"/>
          <w:szCs w:val="22"/>
          <w:lang w:val="en-GB"/>
        </w:rPr>
        <w:t>.</w:t>
      </w:r>
      <w:r w:rsidR="005C2399">
        <w:rPr>
          <w:rStyle w:val="FootnoteReference"/>
          <w:rFonts w:ascii="Avenir Next" w:hAnsi="Avenir Next" w:cs="Arial"/>
          <w:color w:val="7B7B7B" w:themeColor="accent3" w:themeShade="BF"/>
          <w:sz w:val="22"/>
          <w:szCs w:val="22"/>
          <w:lang w:val="en-GB"/>
        </w:rPr>
        <w:footnoteReference w:id="22"/>
      </w:r>
      <w:r w:rsidR="006A090A">
        <w:rPr>
          <w:rFonts w:ascii="Avenir Next" w:hAnsi="Avenir Next" w:cs="Arial"/>
          <w:color w:val="7B7B7B" w:themeColor="accent3" w:themeShade="BF"/>
          <w:sz w:val="22"/>
          <w:szCs w:val="22"/>
          <w:lang w:val="en-GB"/>
        </w:rPr>
        <w:t xml:space="preserve"> </w:t>
      </w:r>
      <w:r w:rsidR="00561EA3">
        <w:rPr>
          <w:rFonts w:ascii="Avenir Next" w:hAnsi="Avenir Next" w:cs="Arial"/>
          <w:color w:val="7B7B7B" w:themeColor="accent3" w:themeShade="BF"/>
          <w:sz w:val="22"/>
          <w:szCs w:val="22"/>
          <w:lang w:val="en-GB"/>
        </w:rPr>
        <w:t xml:space="preserve">This supports </w:t>
      </w:r>
      <w:r w:rsidR="005C2399">
        <w:rPr>
          <w:rFonts w:ascii="Avenir Next" w:hAnsi="Avenir Next" w:cs="Arial"/>
          <w:color w:val="7B7B7B" w:themeColor="accent3" w:themeShade="BF"/>
          <w:sz w:val="22"/>
          <w:szCs w:val="22"/>
          <w:lang w:val="en-GB"/>
        </w:rPr>
        <w:t>what I am seeing at my firm.</w:t>
      </w:r>
    </w:p>
    <w:p w14:paraId="3B74B3C6" w14:textId="77777777" w:rsidR="006C52A2" w:rsidRPr="006C52A2" w:rsidRDefault="006C52A2" w:rsidP="006C52A2">
      <w:pPr>
        <w:pStyle w:val="ListParagraph"/>
        <w:rPr>
          <w:rFonts w:ascii="Avenir Next" w:hAnsi="Avenir Next" w:cs="Arial"/>
          <w:color w:val="7B7B7B" w:themeColor="accent3" w:themeShade="BF"/>
          <w:sz w:val="22"/>
          <w:szCs w:val="22"/>
          <w:lang w:val="en-GB"/>
        </w:rPr>
      </w:pPr>
    </w:p>
    <w:p w14:paraId="0B5AF4F9" w14:textId="51E4E4F2" w:rsidR="006C52A2" w:rsidRDefault="006C52A2" w:rsidP="006C52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Corporate insolvency, on the other hand, includes:</w:t>
      </w:r>
      <w:r w:rsidRPr="006C52A2">
        <w:rPr>
          <w:rStyle w:val="FootnoteReference"/>
          <w:rFonts w:ascii="Avenir Next" w:hAnsi="Avenir Next" w:cs="Arial"/>
          <w:color w:val="7B7B7B" w:themeColor="accent3" w:themeShade="BF"/>
          <w:sz w:val="22"/>
          <w:szCs w:val="22"/>
          <w:lang w:val="en-GB"/>
        </w:rPr>
        <w:t xml:space="preserve"> </w:t>
      </w:r>
      <w:r>
        <w:rPr>
          <w:rStyle w:val="FootnoteReference"/>
          <w:rFonts w:ascii="Avenir Next" w:hAnsi="Avenir Next" w:cs="Arial"/>
          <w:color w:val="7B7B7B" w:themeColor="accent3" w:themeShade="BF"/>
          <w:sz w:val="22"/>
          <w:szCs w:val="22"/>
          <w:lang w:val="en-GB"/>
        </w:rPr>
        <w:footnoteReference w:id="23"/>
      </w:r>
    </w:p>
    <w:p w14:paraId="023EF842" w14:textId="44C6BA18" w:rsidR="006C52A2" w:rsidRPr="006C52A2" w:rsidRDefault="006C52A2" w:rsidP="006C52A2">
      <w:pPr>
        <w:jc w:val="both"/>
        <w:rPr>
          <w:rFonts w:ascii="Avenir Next" w:hAnsi="Avenir Next" w:cs="Arial"/>
          <w:color w:val="7B7B7B" w:themeColor="accent3" w:themeShade="BF"/>
          <w:sz w:val="14"/>
          <w:szCs w:val="14"/>
          <w:lang w:val="en-GB"/>
        </w:rPr>
      </w:pPr>
    </w:p>
    <w:p w14:paraId="16DDF474" w14:textId="23C20E06" w:rsidR="006C52A2" w:rsidRDefault="006C52A2" w:rsidP="006C52A2">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Preservation of the company, its business or parts of same. This may be achieved through sale, restructure, </w:t>
      </w:r>
      <w:r w:rsidR="008B0E74">
        <w:rPr>
          <w:rFonts w:ascii="Avenir Next" w:hAnsi="Avenir Next" w:cs="Arial"/>
          <w:color w:val="7B7B7B" w:themeColor="accent3" w:themeShade="BF"/>
          <w:sz w:val="22"/>
          <w:szCs w:val="22"/>
          <w:lang w:val="en-GB"/>
        </w:rPr>
        <w:t>compromise with creditors, etc;</w:t>
      </w:r>
    </w:p>
    <w:p w14:paraId="66A0B114" w14:textId="77777777" w:rsidR="008B0E74" w:rsidRPr="00153CB8" w:rsidRDefault="008B0E74" w:rsidP="008B0E74">
      <w:pPr>
        <w:pStyle w:val="ListParagraph"/>
        <w:ind w:left="360"/>
        <w:jc w:val="both"/>
        <w:rPr>
          <w:rFonts w:ascii="Avenir Next" w:hAnsi="Avenir Next" w:cs="Arial"/>
          <w:color w:val="7B7B7B" w:themeColor="accent3" w:themeShade="BF"/>
          <w:sz w:val="10"/>
          <w:szCs w:val="10"/>
          <w:lang w:val="en-GB"/>
        </w:rPr>
      </w:pPr>
    </w:p>
    <w:p w14:paraId="1EDD1D84" w14:textId="59617CCD" w:rsidR="008B0E74" w:rsidRDefault="008B0E74" w:rsidP="006C52A2">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Piercing the corporate veil to hold relevant persons responsible in appropriate circumstances (eg: insolvent trading or breaching director duties);</w:t>
      </w:r>
      <w:r w:rsidR="004A4588">
        <w:rPr>
          <w:rFonts w:ascii="Avenir Next" w:hAnsi="Avenir Next" w:cs="Arial"/>
          <w:color w:val="7B7B7B" w:themeColor="accent3" w:themeShade="BF"/>
          <w:sz w:val="22"/>
          <w:szCs w:val="22"/>
          <w:lang w:val="en-GB"/>
        </w:rPr>
        <w:t xml:space="preserve"> and</w:t>
      </w:r>
    </w:p>
    <w:p w14:paraId="6EAF4616" w14:textId="77777777" w:rsidR="008B0E74" w:rsidRPr="00153CB8" w:rsidRDefault="008B0E74" w:rsidP="008B0E74">
      <w:pPr>
        <w:pStyle w:val="ListParagraph"/>
        <w:rPr>
          <w:rFonts w:ascii="Avenir Next" w:hAnsi="Avenir Next" w:cs="Arial"/>
          <w:color w:val="7B7B7B" w:themeColor="accent3" w:themeShade="BF"/>
          <w:sz w:val="10"/>
          <w:szCs w:val="10"/>
          <w:lang w:val="en-GB"/>
        </w:rPr>
      </w:pPr>
    </w:p>
    <w:p w14:paraId="5357E9C0" w14:textId="37BABA44" w:rsidR="008B0E74" w:rsidRDefault="000621DB" w:rsidP="006C52A2">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Winding-up and subsequently deregistering the corporate entity. This obviously </w:t>
      </w:r>
      <w:r w:rsidR="00A93897">
        <w:rPr>
          <w:rFonts w:ascii="Avenir Next" w:hAnsi="Avenir Next" w:cs="Arial"/>
          <w:color w:val="7B7B7B" w:themeColor="accent3" w:themeShade="BF"/>
          <w:sz w:val="22"/>
          <w:szCs w:val="22"/>
          <w:lang w:val="en-GB"/>
        </w:rPr>
        <w:t xml:space="preserve">does </w:t>
      </w:r>
      <w:r>
        <w:rPr>
          <w:rFonts w:ascii="Avenir Next" w:hAnsi="Avenir Next" w:cs="Arial"/>
          <w:color w:val="7B7B7B" w:themeColor="accent3" w:themeShade="BF"/>
          <w:sz w:val="22"/>
          <w:szCs w:val="22"/>
          <w:lang w:val="en-GB"/>
        </w:rPr>
        <w:t xml:space="preserve">not apply to </w:t>
      </w:r>
      <w:r w:rsidR="00153CB8">
        <w:rPr>
          <w:rFonts w:ascii="Avenir Next" w:hAnsi="Avenir Next" w:cs="Arial"/>
          <w:color w:val="7B7B7B" w:themeColor="accent3" w:themeShade="BF"/>
          <w:sz w:val="22"/>
          <w:szCs w:val="22"/>
          <w:lang w:val="en-GB"/>
        </w:rPr>
        <w:t>individuals</w:t>
      </w:r>
      <w:r w:rsidR="004A4588">
        <w:rPr>
          <w:rFonts w:ascii="Avenir Next" w:hAnsi="Avenir Next" w:cs="Arial"/>
          <w:color w:val="7B7B7B" w:themeColor="accent3" w:themeShade="BF"/>
          <w:sz w:val="22"/>
          <w:szCs w:val="22"/>
          <w:lang w:val="en-GB"/>
        </w:rPr>
        <w:t>.</w:t>
      </w:r>
    </w:p>
    <w:p w14:paraId="69FF7B85" w14:textId="77777777" w:rsidR="00153CB8" w:rsidRPr="00153CB8" w:rsidRDefault="00153CB8" w:rsidP="00153CB8">
      <w:pPr>
        <w:pStyle w:val="ListParagraph"/>
        <w:rPr>
          <w:rFonts w:ascii="Avenir Next" w:hAnsi="Avenir Next" w:cs="Arial"/>
          <w:color w:val="7B7B7B" w:themeColor="accent3" w:themeShade="BF"/>
          <w:sz w:val="10"/>
          <w:szCs w:val="10"/>
          <w:lang w:val="en-GB"/>
        </w:rPr>
      </w:pPr>
    </w:p>
    <w:p w14:paraId="00341B14" w14:textId="77777777" w:rsidR="00153CB8" w:rsidRPr="006C52A2" w:rsidRDefault="00153CB8" w:rsidP="004A4588">
      <w:pPr>
        <w:pStyle w:val="ListParagraph"/>
        <w:ind w:left="360"/>
        <w:jc w:val="both"/>
        <w:rPr>
          <w:rFonts w:ascii="Avenir Next" w:hAnsi="Avenir Next" w:cs="Arial"/>
          <w:color w:val="7B7B7B" w:themeColor="accent3" w:themeShade="BF"/>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09C2C66" w:rsidR="00DF75F8" w:rsidRPr="00B549A4" w:rsidRDefault="00B549A4" w:rsidP="009C45A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difficulty in d</w:t>
      </w:r>
      <w:r w:rsidR="002A31BB" w:rsidRPr="00B549A4">
        <w:rPr>
          <w:rFonts w:ascii="Avenir Next" w:hAnsi="Avenir Next" w:cs="Arial"/>
          <w:color w:val="7B7B7B" w:themeColor="accent3" w:themeShade="BF"/>
          <w:sz w:val="22"/>
          <w:szCs w:val="22"/>
          <w:lang w:val="en-GB"/>
        </w:rPr>
        <w:t>efining</w:t>
      </w:r>
      <w:r w:rsidR="00DD63D6" w:rsidRPr="00B549A4">
        <w:rPr>
          <w:rFonts w:ascii="Avenir Next" w:hAnsi="Avenir Next" w:cs="Arial"/>
          <w:color w:val="7B7B7B" w:themeColor="accent3" w:themeShade="BF"/>
          <w:sz w:val="22"/>
          <w:szCs w:val="22"/>
          <w:lang w:val="en-GB"/>
        </w:rPr>
        <w:t xml:space="preserve"> the word insolvency</w:t>
      </w:r>
      <w:r w:rsidR="00935F99" w:rsidRPr="00B549A4">
        <w:rPr>
          <w:rFonts w:ascii="Avenir Next" w:hAnsi="Avenir Next" w:cs="Arial"/>
          <w:color w:val="7B7B7B" w:themeColor="accent3" w:themeShade="BF"/>
          <w:sz w:val="22"/>
          <w:szCs w:val="22"/>
          <w:lang w:val="en-GB"/>
        </w:rPr>
        <w:t xml:space="preserve">, at an international level, because each </w:t>
      </w:r>
      <w:r w:rsidR="002A31BB" w:rsidRPr="00B549A4">
        <w:rPr>
          <w:rFonts w:ascii="Avenir Next" w:hAnsi="Avenir Next" w:cs="Arial"/>
          <w:color w:val="7B7B7B" w:themeColor="accent3" w:themeShade="BF"/>
          <w:sz w:val="22"/>
          <w:szCs w:val="22"/>
          <w:lang w:val="en-GB"/>
        </w:rPr>
        <w:t xml:space="preserve">country has its own </w:t>
      </w:r>
      <w:r w:rsidRPr="00B549A4">
        <w:rPr>
          <w:rFonts w:ascii="Avenir Next" w:hAnsi="Avenir Next" w:cs="Arial"/>
          <w:color w:val="7B7B7B" w:themeColor="accent3" w:themeShade="BF"/>
          <w:sz w:val="22"/>
          <w:szCs w:val="22"/>
          <w:lang w:val="en-GB"/>
        </w:rPr>
        <w:t>interpretation</w:t>
      </w:r>
      <w:r>
        <w:rPr>
          <w:rFonts w:ascii="Avenir Next" w:hAnsi="Avenir Next" w:cs="Arial"/>
          <w:color w:val="7B7B7B" w:themeColor="accent3" w:themeShade="BF"/>
          <w:sz w:val="22"/>
          <w:szCs w:val="22"/>
          <w:lang w:val="en-GB"/>
        </w:rPr>
        <w:t>.</w:t>
      </w:r>
      <w:r w:rsidR="00FD02EA">
        <w:rPr>
          <w:rStyle w:val="FootnoteReference"/>
          <w:rFonts w:ascii="Avenir Next" w:hAnsi="Avenir Next" w:cs="Arial"/>
          <w:color w:val="7B7B7B" w:themeColor="accent3" w:themeShade="BF"/>
          <w:sz w:val="22"/>
          <w:szCs w:val="22"/>
          <w:lang w:val="en-GB"/>
        </w:rPr>
        <w:footnoteReference w:id="24"/>
      </w:r>
      <w:r>
        <w:rPr>
          <w:rFonts w:ascii="Avenir Next" w:hAnsi="Avenir Next" w:cs="Arial"/>
          <w:color w:val="7B7B7B" w:themeColor="accent3" w:themeShade="BF"/>
          <w:sz w:val="22"/>
          <w:szCs w:val="22"/>
          <w:lang w:val="en-GB"/>
        </w:rPr>
        <w:t xml:space="preserve"> For example, the </w:t>
      </w:r>
      <w:r w:rsidR="0008073F">
        <w:rPr>
          <w:rFonts w:ascii="Avenir Next" w:hAnsi="Avenir Next" w:cs="Arial"/>
          <w:color w:val="7B7B7B" w:themeColor="accent3" w:themeShade="BF"/>
          <w:sz w:val="22"/>
          <w:szCs w:val="22"/>
          <w:lang w:val="en-GB"/>
        </w:rPr>
        <w:t xml:space="preserve">“traditional” definition that is referred to on page 44 of the Guidance Text, is not the laws </w:t>
      </w:r>
      <w:r w:rsidR="0096326E">
        <w:rPr>
          <w:rFonts w:ascii="Avenir Next" w:hAnsi="Avenir Next" w:cs="Arial"/>
          <w:color w:val="7B7B7B" w:themeColor="accent3" w:themeShade="BF"/>
          <w:sz w:val="22"/>
          <w:szCs w:val="22"/>
          <w:lang w:val="en-GB"/>
        </w:rPr>
        <w:t>of</w:t>
      </w:r>
      <w:r w:rsidR="0008073F">
        <w:rPr>
          <w:rFonts w:ascii="Avenir Next" w:hAnsi="Avenir Next" w:cs="Arial"/>
          <w:color w:val="7B7B7B" w:themeColor="accent3" w:themeShade="BF"/>
          <w:sz w:val="22"/>
          <w:szCs w:val="22"/>
          <w:lang w:val="en-GB"/>
        </w:rPr>
        <w:t xml:space="preserve"> Australia.</w:t>
      </w:r>
      <w:r w:rsidR="005C184A">
        <w:rPr>
          <w:rStyle w:val="FootnoteReference"/>
          <w:rFonts w:ascii="Avenir Next" w:hAnsi="Avenir Next" w:cs="Arial"/>
          <w:color w:val="7B7B7B" w:themeColor="accent3" w:themeShade="BF"/>
          <w:sz w:val="22"/>
          <w:szCs w:val="22"/>
          <w:lang w:val="en-GB"/>
        </w:rPr>
        <w:footnoteReference w:id="25"/>
      </w:r>
      <w:r w:rsidR="0008073F">
        <w:rPr>
          <w:rFonts w:ascii="Avenir Next" w:hAnsi="Avenir Next" w:cs="Arial"/>
          <w:color w:val="7B7B7B" w:themeColor="accent3" w:themeShade="BF"/>
          <w:sz w:val="22"/>
          <w:szCs w:val="22"/>
          <w:lang w:val="en-GB"/>
        </w:rPr>
        <w:t xml:space="preserve"> </w:t>
      </w:r>
      <w:r w:rsidR="00521C5B" w:rsidRPr="00F82F9B">
        <w:rPr>
          <w:rFonts w:ascii="Avenir Next" w:hAnsi="Avenir Next" w:cs="Arial"/>
          <w:i/>
          <w:iCs/>
          <w:color w:val="7B7B7B" w:themeColor="accent3" w:themeShade="BF"/>
          <w:sz w:val="22"/>
          <w:szCs w:val="22"/>
          <w:lang w:val="en-GB"/>
        </w:rPr>
        <w:t>Friman</w:t>
      </w:r>
      <w:r w:rsidR="00521C5B">
        <w:rPr>
          <w:rFonts w:ascii="Avenir Next" w:hAnsi="Avenir Next" w:cs="Arial"/>
          <w:color w:val="7B7B7B" w:themeColor="accent3" w:themeShade="BF"/>
          <w:sz w:val="22"/>
          <w:szCs w:val="22"/>
          <w:lang w:val="en-GB"/>
        </w:rPr>
        <w:t xml:space="preserve"> states that as a result of this difficulty</w:t>
      </w:r>
      <w:r w:rsidR="001C3D1B">
        <w:rPr>
          <w:rFonts w:ascii="Avenir Next" w:hAnsi="Avenir Next" w:cs="Arial"/>
          <w:color w:val="7B7B7B" w:themeColor="accent3" w:themeShade="BF"/>
          <w:sz w:val="22"/>
          <w:szCs w:val="22"/>
          <w:lang w:val="en-GB"/>
        </w:rPr>
        <w:t>, international conventions and instruments instead focus on defining insolvency proceedings</w:t>
      </w:r>
      <w:r w:rsidR="00854958">
        <w:rPr>
          <w:rFonts w:ascii="Avenir Next" w:hAnsi="Avenir Next" w:cs="Arial"/>
          <w:color w:val="7B7B7B" w:themeColor="accent3" w:themeShade="BF"/>
          <w:sz w:val="22"/>
          <w:szCs w:val="22"/>
          <w:lang w:val="en-GB"/>
        </w:rPr>
        <w:t>.</w:t>
      </w:r>
      <w:r w:rsidR="00854958">
        <w:rPr>
          <w:rStyle w:val="FootnoteReference"/>
          <w:rFonts w:ascii="Avenir Next" w:hAnsi="Avenir Next" w:cs="Arial"/>
          <w:color w:val="7B7B7B" w:themeColor="accent3" w:themeShade="BF"/>
          <w:sz w:val="22"/>
          <w:szCs w:val="22"/>
          <w:lang w:val="en-GB"/>
        </w:rPr>
        <w:footnoteReference w:id="26"/>
      </w:r>
    </w:p>
    <w:p w14:paraId="3DAA6780" w14:textId="2B4C0F4B" w:rsidR="00962045" w:rsidRDefault="00962045" w:rsidP="00C053F7">
      <w:pPr>
        <w:jc w:val="both"/>
        <w:rPr>
          <w:rFonts w:ascii="Avenir Next" w:hAnsi="Avenir Next" w:cs="Arial"/>
          <w:sz w:val="22"/>
          <w:szCs w:val="22"/>
          <w:shd w:val="clear" w:color="auto" w:fill="FFFFFF"/>
          <w:lang w:val="en-GB"/>
        </w:rPr>
      </w:pPr>
    </w:p>
    <w:p w14:paraId="1FF37A94" w14:textId="3FDF57C5" w:rsidR="005C3E88" w:rsidRDefault="005C3E88" w:rsidP="00C053F7">
      <w:pPr>
        <w:jc w:val="both"/>
        <w:rPr>
          <w:rFonts w:ascii="Avenir Next" w:hAnsi="Avenir Next" w:cs="Arial"/>
          <w:color w:val="7B7B7B" w:themeColor="accent3" w:themeShade="BF"/>
          <w:sz w:val="22"/>
          <w:szCs w:val="22"/>
          <w:lang w:val="en-GB"/>
        </w:rPr>
      </w:pPr>
      <w:r w:rsidRPr="005C3E88">
        <w:rPr>
          <w:rFonts w:ascii="Avenir Next" w:hAnsi="Avenir Next" w:cs="Arial"/>
          <w:color w:val="7B7B7B" w:themeColor="accent3" w:themeShade="BF"/>
          <w:sz w:val="22"/>
          <w:szCs w:val="22"/>
          <w:lang w:val="en-GB"/>
        </w:rPr>
        <w:t>Omar</w:t>
      </w:r>
      <w:r>
        <w:rPr>
          <w:rFonts w:ascii="Avenir Next" w:hAnsi="Avenir Next" w:cs="Arial"/>
          <w:color w:val="7B7B7B" w:themeColor="accent3" w:themeShade="BF"/>
          <w:sz w:val="22"/>
          <w:szCs w:val="22"/>
          <w:lang w:val="en-GB"/>
        </w:rPr>
        <w:t xml:space="preserve"> records that the way in which creditors are treated by domestic laws can also have an influence.</w:t>
      </w:r>
      <w:r w:rsidR="001F6181">
        <w:rPr>
          <w:rStyle w:val="FootnoteReference"/>
          <w:rFonts w:ascii="Avenir Next" w:hAnsi="Avenir Next" w:cs="Arial"/>
          <w:color w:val="7B7B7B" w:themeColor="accent3" w:themeShade="BF"/>
          <w:sz w:val="22"/>
          <w:szCs w:val="22"/>
          <w:lang w:val="en-GB"/>
        </w:rPr>
        <w:footnoteReference w:id="27"/>
      </w:r>
      <w:r>
        <w:rPr>
          <w:rFonts w:ascii="Avenir Next" w:hAnsi="Avenir Next" w:cs="Arial"/>
          <w:color w:val="7B7B7B" w:themeColor="accent3" w:themeShade="BF"/>
          <w:sz w:val="22"/>
          <w:szCs w:val="22"/>
          <w:lang w:val="en-GB"/>
        </w:rPr>
        <w:t xml:space="preserve"> This treatment may be in the way </w:t>
      </w:r>
      <w:r w:rsidR="00D55F3C">
        <w:rPr>
          <w:rFonts w:ascii="Avenir Next" w:hAnsi="Avenir Next" w:cs="Arial"/>
          <w:color w:val="7B7B7B" w:themeColor="accent3" w:themeShade="BF"/>
          <w:sz w:val="22"/>
          <w:szCs w:val="22"/>
          <w:lang w:val="en-GB"/>
        </w:rPr>
        <w:t>employee entitlements are subrogated by government, securit</w:t>
      </w:r>
      <w:r w:rsidR="00CE4BD5">
        <w:rPr>
          <w:rFonts w:ascii="Avenir Next" w:hAnsi="Avenir Next" w:cs="Arial"/>
          <w:color w:val="7B7B7B" w:themeColor="accent3" w:themeShade="BF"/>
          <w:sz w:val="22"/>
          <w:szCs w:val="22"/>
          <w:lang w:val="en-GB"/>
        </w:rPr>
        <w:t>ed</w:t>
      </w:r>
      <w:r w:rsidR="00D55F3C">
        <w:rPr>
          <w:rFonts w:ascii="Avenir Next" w:hAnsi="Avenir Next" w:cs="Arial"/>
          <w:color w:val="7B7B7B" w:themeColor="accent3" w:themeShade="BF"/>
          <w:sz w:val="22"/>
          <w:szCs w:val="22"/>
          <w:lang w:val="en-GB"/>
        </w:rPr>
        <w:t xml:space="preserve"> </w:t>
      </w:r>
      <w:r w:rsidR="003B490F">
        <w:rPr>
          <w:rFonts w:ascii="Avenir Next" w:hAnsi="Avenir Next" w:cs="Arial"/>
          <w:color w:val="7B7B7B" w:themeColor="accent3" w:themeShade="BF"/>
          <w:sz w:val="22"/>
          <w:szCs w:val="22"/>
          <w:lang w:val="en-GB"/>
        </w:rPr>
        <w:t>creditor enforcement rights</w:t>
      </w:r>
      <w:r w:rsidR="00D55F3C">
        <w:rPr>
          <w:rFonts w:ascii="Avenir Next" w:hAnsi="Avenir Next" w:cs="Arial"/>
          <w:color w:val="7B7B7B" w:themeColor="accent3" w:themeShade="BF"/>
          <w:sz w:val="22"/>
          <w:szCs w:val="22"/>
          <w:lang w:val="en-GB"/>
        </w:rPr>
        <w:t xml:space="preserve"> (for example, in Australia we have the Personal Property Securities Register)</w:t>
      </w:r>
      <w:r w:rsidR="00C11A1C">
        <w:rPr>
          <w:rFonts w:ascii="Avenir Next" w:hAnsi="Avenir Next" w:cs="Arial"/>
          <w:color w:val="7B7B7B" w:themeColor="accent3" w:themeShade="BF"/>
          <w:sz w:val="22"/>
          <w:szCs w:val="22"/>
          <w:lang w:val="en-GB"/>
        </w:rPr>
        <w:t xml:space="preserve">, </w:t>
      </w:r>
      <w:r w:rsidR="00394E0A">
        <w:rPr>
          <w:rFonts w:ascii="Avenir Next" w:hAnsi="Avenir Next" w:cs="Arial"/>
          <w:color w:val="7B7B7B" w:themeColor="accent3" w:themeShade="BF"/>
          <w:sz w:val="22"/>
          <w:szCs w:val="22"/>
          <w:lang w:val="en-GB"/>
        </w:rPr>
        <w:t>contractual or statutory set-off rights</w:t>
      </w:r>
      <w:r w:rsidR="00B211BA">
        <w:rPr>
          <w:rFonts w:ascii="Avenir Next" w:hAnsi="Avenir Next" w:cs="Arial"/>
          <w:color w:val="7B7B7B" w:themeColor="accent3" w:themeShade="BF"/>
          <w:sz w:val="22"/>
          <w:szCs w:val="22"/>
          <w:lang w:val="en-GB"/>
        </w:rPr>
        <w:t xml:space="preserve">, </w:t>
      </w:r>
      <w:r w:rsidR="00084A4E">
        <w:rPr>
          <w:rFonts w:ascii="Avenir Next" w:hAnsi="Avenir Next" w:cs="Arial"/>
          <w:color w:val="7B7B7B" w:themeColor="accent3" w:themeShade="BF"/>
          <w:sz w:val="22"/>
          <w:szCs w:val="22"/>
          <w:lang w:val="en-GB"/>
        </w:rPr>
        <w:t xml:space="preserve">automatic stays on </w:t>
      </w:r>
      <w:r w:rsidR="00897627" w:rsidRPr="00084A4E">
        <w:rPr>
          <w:rFonts w:ascii="Avenir Next" w:hAnsi="Avenir Next" w:cs="Arial"/>
          <w:i/>
          <w:iCs/>
          <w:color w:val="7B7B7B" w:themeColor="accent3" w:themeShade="BF"/>
          <w:sz w:val="22"/>
          <w:szCs w:val="22"/>
          <w:lang w:val="en-GB"/>
        </w:rPr>
        <w:t>ipso facto</w:t>
      </w:r>
      <w:r w:rsidR="00897627">
        <w:rPr>
          <w:rFonts w:ascii="Avenir Next" w:hAnsi="Avenir Next" w:cs="Arial"/>
          <w:color w:val="7B7B7B" w:themeColor="accent3" w:themeShade="BF"/>
          <w:sz w:val="22"/>
          <w:szCs w:val="22"/>
          <w:lang w:val="en-GB"/>
        </w:rPr>
        <w:t xml:space="preserve"> clause</w:t>
      </w:r>
      <w:r w:rsidR="00084A4E">
        <w:rPr>
          <w:rFonts w:ascii="Avenir Next" w:hAnsi="Avenir Next" w:cs="Arial"/>
          <w:color w:val="7B7B7B" w:themeColor="accent3" w:themeShade="BF"/>
          <w:sz w:val="22"/>
          <w:szCs w:val="22"/>
          <w:lang w:val="en-GB"/>
        </w:rPr>
        <w:t xml:space="preserve">s, </w:t>
      </w:r>
      <w:r w:rsidR="00897627">
        <w:rPr>
          <w:rFonts w:ascii="Avenir Next" w:hAnsi="Avenir Next" w:cs="Arial"/>
          <w:color w:val="7B7B7B" w:themeColor="accent3" w:themeShade="BF"/>
          <w:sz w:val="22"/>
          <w:szCs w:val="22"/>
          <w:lang w:val="en-GB"/>
        </w:rPr>
        <w:t xml:space="preserve"> </w:t>
      </w:r>
      <w:r w:rsidR="00B211BA">
        <w:rPr>
          <w:rFonts w:ascii="Avenir Next" w:hAnsi="Avenir Next" w:cs="Arial"/>
          <w:color w:val="7B7B7B" w:themeColor="accent3" w:themeShade="BF"/>
          <w:sz w:val="22"/>
          <w:szCs w:val="22"/>
          <w:lang w:val="en-GB"/>
        </w:rPr>
        <w:t xml:space="preserve">moratoriums </w:t>
      </w:r>
      <w:r w:rsidR="00A57743">
        <w:rPr>
          <w:rFonts w:ascii="Avenir Next" w:hAnsi="Avenir Next" w:cs="Arial"/>
          <w:color w:val="7B7B7B" w:themeColor="accent3" w:themeShade="BF"/>
          <w:sz w:val="22"/>
          <w:szCs w:val="22"/>
          <w:lang w:val="en-GB"/>
        </w:rPr>
        <w:t>against personal guarantees, etc.</w:t>
      </w:r>
    </w:p>
    <w:p w14:paraId="495350B3" w14:textId="1C4BBFB7" w:rsidR="00A57743" w:rsidRDefault="00A57743" w:rsidP="00C053F7">
      <w:pPr>
        <w:jc w:val="both"/>
        <w:rPr>
          <w:rFonts w:ascii="Avenir Next" w:hAnsi="Avenir Next" w:cs="Arial"/>
          <w:color w:val="7B7B7B" w:themeColor="accent3" w:themeShade="BF"/>
          <w:sz w:val="22"/>
          <w:szCs w:val="22"/>
          <w:lang w:val="en-GB"/>
        </w:rPr>
      </w:pPr>
    </w:p>
    <w:p w14:paraId="21069D68" w14:textId="667E5E74" w:rsidR="00A57743" w:rsidRDefault="0044573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w:t>
      </w:r>
      <w:r w:rsidR="004A5D4E">
        <w:rPr>
          <w:rFonts w:ascii="Avenir Next" w:hAnsi="Avenir Next" w:cs="Arial"/>
          <w:color w:val="7B7B7B" w:themeColor="accent3" w:themeShade="BF"/>
          <w:sz w:val="22"/>
          <w:szCs w:val="22"/>
          <w:lang w:val="en-GB"/>
        </w:rPr>
        <w:t>key issues (not already addressed above) and that make up the balance of the nine issues identified by Westbrook are:</w:t>
      </w:r>
      <w:r w:rsidR="003E654D">
        <w:rPr>
          <w:rStyle w:val="FootnoteReference"/>
          <w:rFonts w:ascii="Avenir Next" w:hAnsi="Avenir Next" w:cs="Arial"/>
          <w:color w:val="7B7B7B" w:themeColor="accent3" w:themeShade="BF"/>
          <w:sz w:val="22"/>
          <w:szCs w:val="22"/>
          <w:lang w:val="en-GB"/>
        </w:rPr>
        <w:footnoteReference w:id="28"/>
      </w:r>
    </w:p>
    <w:p w14:paraId="7455B16E" w14:textId="1684B22A" w:rsidR="004A5D4E" w:rsidRDefault="004A5D4E" w:rsidP="00C053F7">
      <w:pPr>
        <w:jc w:val="both"/>
        <w:rPr>
          <w:rFonts w:ascii="Avenir Next" w:hAnsi="Avenir Next" w:cs="Arial"/>
          <w:color w:val="7B7B7B" w:themeColor="accent3" w:themeShade="BF"/>
          <w:sz w:val="22"/>
          <w:szCs w:val="22"/>
          <w:lang w:val="en-GB"/>
        </w:rPr>
      </w:pPr>
    </w:p>
    <w:p w14:paraId="0649A148" w14:textId="3F0507AA" w:rsidR="00E83741" w:rsidRDefault="00E83741" w:rsidP="004A5D4E">
      <w:pPr>
        <w:pStyle w:val="ListParagraph"/>
        <w:numPr>
          <w:ilvl w:val="0"/>
          <w:numId w:val="24"/>
        </w:numPr>
        <w:jc w:val="both"/>
        <w:rPr>
          <w:rFonts w:ascii="Avenir Next" w:hAnsi="Avenir Next" w:cs="Arial"/>
          <w:color w:val="7B7B7B" w:themeColor="accent3" w:themeShade="BF"/>
          <w:sz w:val="22"/>
          <w:szCs w:val="22"/>
          <w:lang w:val="en-GB"/>
        </w:rPr>
      </w:pPr>
      <w:r w:rsidRPr="00E83741">
        <w:rPr>
          <w:rFonts w:ascii="Avenir Next" w:hAnsi="Avenir Next" w:cs="Arial"/>
          <w:color w:val="7B7B7B" w:themeColor="accent3" w:themeShade="BF"/>
          <w:sz w:val="22"/>
          <w:szCs w:val="22"/>
          <w:lang w:val="en-GB"/>
        </w:rPr>
        <w:t>Standing to</w:t>
      </w:r>
      <w:r>
        <w:rPr>
          <w:rFonts w:ascii="Avenir Next" w:hAnsi="Avenir Next" w:cs="Arial"/>
          <w:color w:val="7B7B7B" w:themeColor="accent3" w:themeShade="BF"/>
          <w:sz w:val="22"/>
          <w:szCs w:val="22"/>
          <w:lang w:val="en-GB"/>
        </w:rPr>
        <w:t xml:space="preserve"> bring proceedings</w:t>
      </w:r>
      <w:r w:rsidR="0095536E">
        <w:rPr>
          <w:rFonts w:ascii="Avenir Next" w:hAnsi="Avenir Next" w:cs="Arial"/>
          <w:color w:val="7B7B7B" w:themeColor="accent3" w:themeShade="BF"/>
          <w:sz w:val="22"/>
          <w:szCs w:val="22"/>
          <w:lang w:val="en-GB"/>
        </w:rPr>
        <w:t xml:space="preserve"> and conflict of laws issues</w:t>
      </w:r>
      <w:r>
        <w:rPr>
          <w:rFonts w:ascii="Avenir Next" w:hAnsi="Avenir Next" w:cs="Arial"/>
          <w:color w:val="7B7B7B" w:themeColor="accent3" w:themeShade="BF"/>
          <w:sz w:val="22"/>
          <w:szCs w:val="22"/>
          <w:lang w:val="en-GB"/>
        </w:rPr>
        <w:t>;</w:t>
      </w:r>
    </w:p>
    <w:p w14:paraId="67615442" w14:textId="77777777" w:rsidR="00C33616" w:rsidRDefault="00084A4E" w:rsidP="004A5D4E">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participation</w:t>
      </w:r>
      <w:r w:rsidR="00FE42B0">
        <w:rPr>
          <w:rFonts w:ascii="Avenir Next" w:hAnsi="Avenir Next" w:cs="Arial"/>
          <w:color w:val="7B7B7B" w:themeColor="accent3" w:themeShade="BF"/>
          <w:sz w:val="22"/>
          <w:szCs w:val="22"/>
          <w:lang w:val="en-GB"/>
        </w:rPr>
        <w:t>, and</w:t>
      </w:r>
      <w:r w:rsidR="00C33616">
        <w:rPr>
          <w:rFonts w:ascii="Avenir Next" w:hAnsi="Avenir Next" w:cs="Arial"/>
          <w:color w:val="7B7B7B" w:themeColor="accent3" w:themeShade="BF"/>
          <w:sz w:val="22"/>
          <w:szCs w:val="22"/>
          <w:lang w:val="en-GB"/>
        </w:rPr>
        <w:t>,</w:t>
      </w:r>
      <w:r w:rsidR="00FE42B0">
        <w:rPr>
          <w:rFonts w:ascii="Avenir Next" w:hAnsi="Avenir Next" w:cs="Arial"/>
          <w:color w:val="7B7B7B" w:themeColor="accent3" w:themeShade="BF"/>
          <w:sz w:val="22"/>
          <w:szCs w:val="22"/>
          <w:lang w:val="en-GB"/>
        </w:rPr>
        <w:t xml:space="preserve"> I would add</w:t>
      </w:r>
      <w:r w:rsidR="00C33616">
        <w:rPr>
          <w:rFonts w:ascii="Avenir Next" w:hAnsi="Avenir Next" w:cs="Arial"/>
          <w:color w:val="7B7B7B" w:themeColor="accent3" w:themeShade="BF"/>
          <w:sz w:val="22"/>
          <w:szCs w:val="22"/>
          <w:lang w:val="en-GB"/>
        </w:rPr>
        <w:t>,</w:t>
      </w:r>
      <w:r w:rsidR="00FE42B0">
        <w:rPr>
          <w:rFonts w:ascii="Avenir Next" w:hAnsi="Avenir Next" w:cs="Arial"/>
          <w:color w:val="7B7B7B" w:themeColor="accent3" w:themeShade="BF"/>
          <w:sz w:val="22"/>
          <w:szCs w:val="22"/>
          <w:lang w:val="en-GB"/>
        </w:rPr>
        <w:t xml:space="preserve"> creditor’s financial or </w:t>
      </w:r>
      <w:r w:rsidR="00C33616">
        <w:rPr>
          <w:rFonts w:ascii="Avenir Next" w:hAnsi="Avenir Next" w:cs="Arial"/>
          <w:color w:val="7B7B7B" w:themeColor="accent3" w:themeShade="BF"/>
          <w:sz w:val="22"/>
          <w:szCs w:val="22"/>
          <w:lang w:val="en-GB"/>
        </w:rPr>
        <w:t xml:space="preserve">mental </w:t>
      </w:r>
      <w:r w:rsidR="00FE42B0">
        <w:rPr>
          <w:rFonts w:ascii="Avenir Next" w:hAnsi="Avenir Next" w:cs="Arial"/>
          <w:color w:val="7B7B7B" w:themeColor="accent3" w:themeShade="BF"/>
          <w:sz w:val="22"/>
          <w:szCs w:val="22"/>
          <w:lang w:val="en-GB"/>
        </w:rPr>
        <w:t xml:space="preserve">capacity to participate in the </w:t>
      </w:r>
      <w:r w:rsidR="00C33616">
        <w:rPr>
          <w:rFonts w:ascii="Avenir Next" w:hAnsi="Avenir Next" w:cs="Arial"/>
          <w:color w:val="7B7B7B" w:themeColor="accent3" w:themeShade="BF"/>
          <w:sz w:val="22"/>
          <w:szCs w:val="22"/>
          <w:lang w:val="en-GB"/>
        </w:rPr>
        <w:t xml:space="preserve">foreign </w:t>
      </w:r>
      <w:r w:rsidR="00FE42B0">
        <w:rPr>
          <w:rFonts w:ascii="Avenir Next" w:hAnsi="Avenir Next" w:cs="Arial"/>
          <w:color w:val="7B7B7B" w:themeColor="accent3" w:themeShade="BF"/>
          <w:sz w:val="22"/>
          <w:szCs w:val="22"/>
          <w:lang w:val="en-GB"/>
        </w:rPr>
        <w:t>insolvency proceeding</w:t>
      </w:r>
      <w:r w:rsidR="00C33616">
        <w:rPr>
          <w:rFonts w:ascii="Avenir Next" w:hAnsi="Avenir Next" w:cs="Arial"/>
          <w:color w:val="7B7B7B" w:themeColor="accent3" w:themeShade="BF"/>
          <w:sz w:val="22"/>
          <w:szCs w:val="22"/>
          <w:lang w:val="en-GB"/>
        </w:rPr>
        <w:t>;</w:t>
      </w:r>
    </w:p>
    <w:p w14:paraId="4626A763" w14:textId="77777777" w:rsidR="00C33616" w:rsidRDefault="00C33616" w:rsidP="004A5D4E">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Executory contracts;</w:t>
      </w:r>
    </w:p>
    <w:p w14:paraId="49CA96D5" w14:textId="77777777" w:rsidR="0095536E" w:rsidRDefault="0095536E" w:rsidP="004A5D4E">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Co-ordinated claims procedures; </w:t>
      </w:r>
    </w:p>
    <w:p w14:paraId="3CD8D23C" w14:textId="1EFB1F4C" w:rsidR="0095536E" w:rsidRDefault="0095536E" w:rsidP="004A5D4E">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Voidable transaction provisions; and</w:t>
      </w:r>
    </w:p>
    <w:p w14:paraId="7BB3A9A1" w14:textId="2AA3BC5F" w:rsidR="004A5D4E" w:rsidRPr="00E83741" w:rsidRDefault="003E654D" w:rsidP="004A5D4E">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Discharges.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63692BE7" w14:textId="77777777" w:rsidR="00652CB8" w:rsidRDefault="00652CB8">
      <w:pPr>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br w:type="page"/>
      </w:r>
    </w:p>
    <w:p w14:paraId="4B3595C7" w14:textId="5C4BCFA1"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lastRenderedPageBreak/>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 xml:space="preserve">What multilateral steps have been taken </w:t>
      </w:r>
      <w:r w:rsidRPr="00DD3C2C">
        <w:rPr>
          <w:rFonts w:ascii="Avenir Next" w:hAnsi="Avenir Next" w:cs="Arial"/>
          <w:sz w:val="22"/>
          <w:szCs w:val="22"/>
          <w:lang w:val="en-GB"/>
        </w:rPr>
        <w:t>in the 21</w:t>
      </w:r>
      <w:r w:rsidRPr="00DD3C2C">
        <w:rPr>
          <w:rFonts w:ascii="Avenir Next" w:hAnsi="Avenir Next" w:cs="Arial"/>
          <w:sz w:val="22"/>
          <w:szCs w:val="22"/>
          <w:vertAlign w:val="superscript"/>
          <w:lang w:val="en-GB"/>
        </w:rPr>
        <w:t>st</w:t>
      </w:r>
      <w:r w:rsidRPr="00DD3C2C">
        <w:rPr>
          <w:rFonts w:ascii="Avenir Next" w:hAnsi="Avenir Next" w:cs="Arial"/>
          <w:sz w:val="22"/>
          <w:szCs w:val="22"/>
          <w:lang w:val="en-GB"/>
        </w:rPr>
        <w:t xml:space="preserve"> century to promote</w:t>
      </w:r>
      <w:r w:rsidRPr="00827D56">
        <w:rPr>
          <w:rFonts w:ascii="Avenir Next" w:hAnsi="Avenir Next" w:cs="Arial"/>
          <w:sz w:val="22"/>
          <w:szCs w:val="22"/>
          <w:shd w:val="clear" w:color="auto" w:fill="FFFFFF"/>
          <w:lang w:val="en-GB"/>
        </w:rPr>
        <w:t xml:space="preserv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46B38669" w:rsidR="00DF75F8" w:rsidRDefault="0074362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Developments </w:t>
      </w:r>
      <w:r w:rsidR="00392316">
        <w:rPr>
          <w:rFonts w:ascii="Avenir Next" w:hAnsi="Avenir Next" w:cs="Arial"/>
          <w:color w:val="7B7B7B" w:themeColor="accent3" w:themeShade="BF"/>
          <w:sz w:val="22"/>
          <w:szCs w:val="22"/>
          <w:lang w:val="en-GB"/>
        </w:rPr>
        <w:t xml:space="preserve">to harmonise </w:t>
      </w:r>
      <w:r w:rsidR="00F32B3F">
        <w:rPr>
          <w:rFonts w:ascii="Avenir Next" w:hAnsi="Avenir Next" w:cs="Arial"/>
          <w:color w:val="7B7B7B" w:themeColor="accent3" w:themeShade="BF"/>
          <w:sz w:val="22"/>
          <w:szCs w:val="22"/>
          <w:lang w:val="en-GB"/>
        </w:rPr>
        <w:t>during the 21</w:t>
      </w:r>
      <w:r w:rsidR="00F32B3F" w:rsidRPr="00F32B3F">
        <w:rPr>
          <w:rFonts w:ascii="Avenir Next" w:hAnsi="Avenir Next" w:cs="Arial"/>
          <w:color w:val="7B7B7B" w:themeColor="accent3" w:themeShade="BF"/>
          <w:sz w:val="22"/>
          <w:szCs w:val="22"/>
          <w:vertAlign w:val="superscript"/>
          <w:lang w:val="en-GB"/>
        </w:rPr>
        <w:t>st</w:t>
      </w:r>
      <w:r w:rsidR="00F32B3F">
        <w:rPr>
          <w:rFonts w:ascii="Avenir Next" w:hAnsi="Avenir Next" w:cs="Arial"/>
          <w:color w:val="7B7B7B" w:themeColor="accent3" w:themeShade="BF"/>
          <w:sz w:val="22"/>
          <w:szCs w:val="22"/>
          <w:lang w:val="en-GB"/>
        </w:rPr>
        <w:t xml:space="preserve"> century include: </w:t>
      </w:r>
    </w:p>
    <w:p w14:paraId="2A1AF4BA" w14:textId="672B4C06" w:rsidR="00F32B3F" w:rsidRDefault="00F32B3F" w:rsidP="00C053F7">
      <w:pPr>
        <w:jc w:val="both"/>
        <w:rPr>
          <w:rFonts w:ascii="Avenir Next" w:hAnsi="Avenir Next" w:cs="Arial"/>
          <w:color w:val="7B7B7B" w:themeColor="accent3" w:themeShade="BF"/>
          <w:sz w:val="22"/>
          <w:szCs w:val="22"/>
          <w:lang w:val="en-GB"/>
        </w:rPr>
      </w:pPr>
    </w:p>
    <w:p w14:paraId="031074D3" w14:textId="40CAEF94" w:rsidR="00F32B3F" w:rsidRPr="00DD3C2C" w:rsidRDefault="00F579D4" w:rsidP="00F32B3F">
      <w:pPr>
        <w:pStyle w:val="ListParagraph"/>
        <w:numPr>
          <w:ilvl w:val="0"/>
          <w:numId w:val="23"/>
        </w:numPr>
        <w:jc w:val="both"/>
        <w:rPr>
          <w:rFonts w:ascii="Avenir Next" w:hAnsi="Avenir Next" w:cs="Arial"/>
          <w:color w:val="7B7B7B" w:themeColor="accent3" w:themeShade="BF"/>
          <w:sz w:val="22"/>
          <w:szCs w:val="22"/>
          <w:lang w:val="en-GB"/>
        </w:rPr>
      </w:pPr>
      <w:r w:rsidRPr="00DD3C2C">
        <w:rPr>
          <w:rFonts w:ascii="Avenir Next" w:hAnsi="Avenir Next" w:cs="Arial"/>
          <w:color w:val="7B7B7B" w:themeColor="accent3" w:themeShade="BF"/>
          <w:sz w:val="22"/>
          <w:szCs w:val="22"/>
          <w:lang w:val="en-GB"/>
        </w:rPr>
        <w:t xml:space="preserve">The World Bank released the </w:t>
      </w:r>
      <w:r w:rsidR="00F32B3F" w:rsidRPr="00DD3C2C">
        <w:rPr>
          <w:rFonts w:ascii="Avenir Next" w:hAnsi="Avenir Next" w:cs="Arial"/>
          <w:color w:val="7B7B7B" w:themeColor="accent3" w:themeShade="BF"/>
          <w:sz w:val="22"/>
          <w:szCs w:val="22"/>
          <w:lang w:val="en-GB"/>
        </w:rPr>
        <w:t xml:space="preserve">Principles </w:t>
      </w:r>
      <w:r w:rsidRPr="00DD3C2C">
        <w:rPr>
          <w:rFonts w:ascii="Avenir Next" w:hAnsi="Avenir Next" w:cs="Arial"/>
          <w:color w:val="7B7B7B" w:themeColor="accent3" w:themeShade="BF"/>
          <w:sz w:val="22"/>
          <w:szCs w:val="22"/>
          <w:lang w:val="en-GB"/>
        </w:rPr>
        <w:t>for Effective Insolvency and Creditor / Debtor Regimes</w:t>
      </w:r>
      <w:r w:rsidR="00BD7708" w:rsidRPr="00DD3C2C">
        <w:rPr>
          <w:rFonts w:ascii="Avenir Next" w:hAnsi="Avenir Next" w:cs="Arial"/>
          <w:color w:val="7B7B7B" w:themeColor="accent3" w:themeShade="BF"/>
          <w:sz w:val="22"/>
          <w:szCs w:val="22"/>
          <w:lang w:val="en-GB"/>
        </w:rPr>
        <w:t>, with revisi</w:t>
      </w:r>
      <w:r w:rsidR="00BB76AD" w:rsidRPr="00DD3C2C">
        <w:rPr>
          <w:rFonts w:ascii="Avenir Next" w:hAnsi="Avenir Next" w:cs="Arial"/>
          <w:color w:val="7B7B7B" w:themeColor="accent3" w:themeShade="BF"/>
          <w:sz w:val="22"/>
          <w:szCs w:val="22"/>
          <w:lang w:val="en-GB"/>
        </w:rPr>
        <w:t>ons</w:t>
      </w:r>
      <w:r w:rsidR="00BD7708" w:rsidRPr="00DD3C2C">
        <w:rPr>
          <w:rFonts w:ascii="Avenir Next" w:hAnsi="Avenir Next" w:cs="Arial"/>
          <w:color w:val="7B7B7B" w:themeColor="accent3" w:themeShade="BF"/>
          <w:sz w:val="22"/>
          <w:szCs w:val="22"/>
          <w:lang w:val="en-GB"/>
        </w:rPr>
        <w:t xml:space="preserve"> in 2005, 2011, 2015 and 2021</w:t>
      </w:r>
      <w:r w:rsidR="004E79A8" w:rsidRPr="00DD3C2C">
        <w:rPr>
          <w:rFonts w:ascii="Avenir Next" w:hAnsi="Avenir Next" w:cs="Arial"/>
          <w:color w:val="7B7B7B" w:themeColor="accent3" w:themeShade="BF"/>
          <w:sz w:val="22"/>
          <w:szCs w:val="22"/>
          <w:lang w:val="en-GB"/>
        </w:rPr>
        <w:t>.</w:t>
      </w:r>
      <w:r w:rsidR="003706B8" w:rsidRPr="00F73C98">
        <w:rPr>
          <w:color w:val="7B7B7B" w:themeColor="accent3" w:themeShade="BF"/>
          <w:vertAlign w:val="superscript"/>
        </w:rPr>
        <w:footnoteReference w:id="29"/>
      </w:r>
      <w:r w:rsidR="004E79A8" w:rsidRPr="00DD3C2C">
        <w:rPr>
          <w:rFonts w:ascii="Avenir Next" w:hAnsi="Avenir Next" w:cs="Arial"/>
          <w:color w:val="7B7B7B" w:themeColor="accent3" w:themeShade="BF"/>
          <w:sz w:val="22"/>
          <w:szCs w:val="22"/>
          <w:lang w:val="en-GB"/>
        </w:rPr>
        <w:t xml:space="preserve"> </w:t>
      </w:r>
      <w:r w:rsidR="00192CD3" w:rsidRPr="00DD3C2C">
        <w:rPr>
          <w:rFonts w:ascii="Avenir Next" w:hAnsi="Avenir Next" w:cs="Arial"/>
          <w:color w:val="7B7B7B" w:themeColor="accent3" w:themeShade="BF"/>
          <w:sz w:val="22"/>
          <w:szCs w:val="22"/>
          <w:lang w:val="en-GB"/>
        </w:rPr>
        <w:t>A few key aspects of this Principle</w:t>
      </w:r>
      <w:r w:rsidR="00B01F47" w:rsidRPr="00DD3C2C">
        <w:rPr>
          <w:rFonts w:ascii="Avenir Next" w:hAnsi="Avenir Next" w:cs="Arial"/>
          <w:color w:val="7B7B7B" w:themeColor="accent3" w:themeShade="BF"/>
          <w:sz w:val="22"/>
          <w:szCs w:val="22"/>
          <w:lang w:val="en-GB"/>
        </w:rPr>
        <w:t xml:space="preserve"> are: non-discrim</w:t>
      </w:r>
      <w:r w:rsidR="00D45959" w:rsidRPr="00DD3C2C">
        <w:rPr>
          <w:rFonts w:ascii="Avenir Next" w:hAnsi="Avenir Next" w:cs="Arial"/>
          <w:color w:val="7B7B7B" w:themeColor="accent3" w:themeShade="BF"/>
          <w:sz w:val="22"/>
          <w:szCs w:val="22"/>
          <w:lang w:val="en-GB"/>
        </w:rPr>
        <w:t>in</w:t>
      </w:r>
      <w:r w:rsidR="00B01F47" w:rsidRPr="00DD3C2C">
        <w:rPr>
          <w:rFonts w:ascii="Avenir Next" w:hAnsi="Avenir Next" w:cs="Arial"/>
          <w:color w:val="7B7B7B" w:themeColor="accent3" w:themeShade="BF"/>
          <w:sz w:val="22"/>
          <w:szCs w:val="22"/>
          <w:lang w:val="en-GB"/>
        </w:rPr>
        <w:t xml:space="preserve">ation of foreign stakeholders, </w:t>
      </w:r>
      <w:r w:rsidR="00FB0F0B" w:rsidRPr="00DD3C2C">
        <w:rPr>
          <w:rFonts w:ascii="Avenir Next" w:hAnsi="Avenir Next" w:cs="Arial"/>
          <w:color w:val="7B7B7B" w:themeColor="accent3" w:themeShade="BF"/>
          <w:sz w:val="22"/>
          <w:szCs w:val="22"/>
          <w:lang w:val="en-GB"/>
        </w:rPr>
        <w:t xml:space="preserve">a </w:t>
      </w:r>
      <w:r w:rsidR="00D45959" w:rsidRPr="00DD3C2C">
        <w:rPr>
          <w:rFonts w:ascii="Avenir Next" w:hAnsi="Avenir Next" w:cs="Arial"/>
          <w:color w:val="7B7B7B" w:themeColor="accent3" w:themeShade="BF"/>
          <w:sz w:val="22"/>
          <w:szCs w:val="22"/>
          <w:lang w:val="en-GB"/>
        </w:rPr>
        <w:t xml:space="preserve">clear and speedy process to obtain recognition </w:t>
      </w:r>
      <w:r w:rsidR="00FB0F0B" w:rsidRPr="00DD3C2C">
        <w:rPr>
          <w:rFonts w:ascii="Avenir Next" w:hAnsi="Avenir Next" w:cs="Arial"/>
          <w:color w:val="7B7B7B" w:themeColor="accent3" w:themeShade="BF"/>
          <w:sz w:val="22"/>
          <w:szCs w:val="22"/>
          <w:lang w:val="en-GB"/>
        </w:rPr>
        <w:t xml:space="preserve">and relief (in appropriate circumstances) </w:t>
      </w:r>
      <w:r w:rsidR="007553AD" w:rsidRPr="00DD3C2C">
        <w:rPr>
          <w:rFonts w:ascii="Avenir Next" w:hAnsi="Avenir Next" w:cs="Arial"/>
          <w:color w:val="7B7B7B" w:themeColor="accent3" w:themeShade="BF"/>
          <w:sz w:val="22"/>
          <w:szCs w:val="22"/>
          <w:lang w:val="en-GB"/>
        </w:rPr>
        <w:t xml:space="preserve">and </w:t>
      </w:r>
      <w:r w:rsidR="007553AD" w:rsidRPr="00F73C98">
        <w:rPr>
          <w:rFonts w:ascii="Avenir Next" w:hAnsi="Avenir Next" w:cs="Arial"/>
          <w:color w:val="7B7B7B" w:themeColor="accent3" w:themeShade="BF"/>
          <w:sz w:val="22"/>
          <w:szCs w:val="22"/>
          <w:lang w:val="en-GB"/>
        </w:rPr>
        <w:t>the granting</w:t>
      </w:r>
      <w:r w:rsidR="00F73C98" w:rsidRPr="00F73C98">
        <w:rPr>
          <w:rFonts w:ascii="Avenir Next" w:hAnsi="Avenir Next" w:cs="Arial"/>
          <w:color w:val="7B7B7B" w:themeColor="accent3" w:themeShade="BF"/>
          <w:sz w:val="22"/>
          <w:szCs w:val="22"/>
          <w:lang w:val="en-GB"/>
        </w:rPr>
        <w:t xml:space="preserve"> of</w:t>
      </w:r>
      <w:r w:rsidR="007553AD" w:rsidRPr="00F73C98">
        <w:rPr>
          <w:rFonts w:ascii="Avenir Next" w:hAnsi="Avenir Next" w:cs="Arial"/>
          <w:color w:val="7B7B7B" w:themeColor="accent3" w:themeShade="BF"/>
          <w:sz w:val="22"/>
          <w:szCs w:val="22"/>
          <w:lang w:val="en-GB"/>
        </w:rPr>
        <w:t xml:space="preserve"> foreign insolvency</w:t>
      </w:r>
      <w:r w:rsidR="007553AD" w:rsidRPr="00DD3C2C">
        <w:rPr>
          <w:rFonts w:ascii="Avenir Next" w:hAnsi="Avenir Next" w:cs="Arial"/>
          <w:color w:val="7B7B7B" w:themeColor="accent3" w:themeShade="BF"/>
          <w:sz w:val="22"/>
          <w:szCs w:val="22"/>
          <w:lang w:val="en-GB"/>
        </w:rPr>
        <w:t xml:space="preserve"> representatives with access to local courts a</w:t>
      </w:r>
      <w:r w:rsidR="00DD3C2C" w:rsidRPr="00DD3C2C">
        <w:rPr>
          <w:rFonts w:ascii="Avenir Next" w:hAnsi="Avenir Next" w:cs="Arial"/>
          <w:color w:val="7B7B7B" w:themeColor="accent3" w:themeShade="BF"/>
          <w:sz w:val="22"/>
          <w:szCs w:val="22"/>
          <w:lang w:val="en-GB"/>
        </w:rPr>
        <w:t>nd local authorities.</w:t>
      </w:r>
    </w:p>
    <w:p w14:paraId="2ACB3EC3" w14:textId="77777777" w:rsidR="00DD3C2C" w:rsidRPr="00DD3C2C" w:rsidRDefault="00DD3C2C" w:rsidP="00DD3C2C">
      <w:pPr>
        <w:pStyle w:val="ListParagraph"/>
        <w:ind w:left="360"/>
        <w:jc w:val="both"/>
        <w:rPr>
          <w:rFonts w:ascii="Avenir Next" w:hAnsi="Avenir Next" w:cs="Arial"/>
          <w:color w:val="7B7B7B" w:themeColor="accent3" w:themeShade="BF"/>
          <w:sz w:val="22"/>
          <w:szCs w:val="22"/>
          <w:lang w:val="en-GB"/>
        </w:rPr>
      </w:pPr>
    </w:p>
    <w:p w14:paraId="627B2B15" w14:textId="47602BA3" w:rsidR="00DD3C2C" w:rsidRPr="00DD3C2C" w:rsidRDefault="003C64AB" w:rsidP="00F32B3F">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Harmonisation of Insolvency </w:t>
      </w:r>
      <w:r w:rsidR="004043A4">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aw at EU Level</w:t>
      </w:r>
      <w:r w:rsidR="00F33DD6">
        <w:rPr>
          <w:rFonts w:ascii="Avenir Next" w:hAnsi="Avenir Next" w:cs="Arial"/>
          <w:color w:val="7B7B7B" w:themeColor="accent3" w:themeShade="BF"/>
          <w:sz w:val="22"/>
          <w:szCs w:val="22"/>
          <w:lang w:val="en-GB"/>
        </w:rPr>
        <w:t xml:space="preserve"> </w:t>
      </w:r>
      <w:r w:rsidR="00D0744D">
        <w:rPr>
          <w:rFonts w:ascii="Avenir Next" w:hAnsi="Avenir Next" w:cs="Arial"/>
          <w:color w:val="7B7B7B" w:themeColor="accent3" w:themeShade="BF"/>
          <w:sz w:val="22"/>
          <w:szCs w:val="22"/>
          <w:lang w:val="en-GB"/>
        </w:rPr>
        <w:t>R</w:t>
      </w:r>
      <w:r w:rsidR="00F33DD6">
        <w:rPr>
          <w:rFonts w:ascii="Avenir Next" w:hAnsi="Avenir Next" w:cs="Arial"/>
          <w:color w:val="7B7B7B" w:themeColor="accent3" w:themeShade="BF"/>
          <w:sz w:val="22"/>
          <w:szCs w:val="22"/>
          <w:lang w:val="en-GB"/>
        </w:rPr>
        <w:t xml:space="preserve">eport was published in 2010, with the primary aim of harmonising </w:t>
      </w:r>
      <w:r w:rsidR="00EF4475">
        <w:rPr>
          <w:rFonts w:ascii="Avenir Next" w:hAnsi="Avenir Next" w:cs="Arial"/>
          <w:color w:val="7B7B7B" w:themeColor="accent3" w:themeShade="BF"/>
          <w:sz w:val="22"/>
          <w:szCs w:val="22"/>
          <w:lang w:val="en-GB"/>
        </w:rPr>
        <w:t>a number of laws, including: definition of insolvency, proofs of debts</w:t>
      </w:r>
      <w:r w:rsidR="00C84FEC">
        <w:rPr>
          <w:rFonts w:ascii="Avenir Next" w:hAnsi="Avenir Next" w:cs="Arial"/>
          <w:color w:val="7B7B7B" w:themeColor="accent3" w:themeShade="BF"/>
          <w:sz w:val="22"/>
          <w:szCs w:val="22"/>
          <w:lang w:val="en-GB"/>
        </w:rPr>
        <w:t xml:space="preserve"> and the adjudication of same, director responsibilities pre-appointment and post-appointment, etc. </w:t>
      </w:r>
      <w:r w:rsidR="00C84FEC">
        <w:rPr>
          <w:rStyle w:val="FootnoteReference"/>
          <w:rFonts w:ascii="Avenir Next" w:hAnsi="Avenir Next" w:cs="Arial"/>
          <w:color w:val="7B7B7B" w:themeColor="accent3" w:themeShade="BF"/>
          <w:sz w:val="22"/>
          <w:szCs w:val="22"/>
          <w:lang w:val="en-GB"/>
        </w:rPr>
        <w:footnoteReference w:id="30"/>
      </w:r>
    </w:p>
    <w:p w14:paraId="4AE7EA78" w14:textId="1F931A14" w:rsidR="007D7C92" w:rsidRDefault="007D7C92" w:rsidP="00392316">
      <w:pPr>
        <w:jc w:val="both"/>
        <w:rPr>
          <w:rFonts w:ascii="Avenir Next" w:hAnsi="Avenir Next" w:cs="Arial"/>
          <w:color w:val="7B7B7B" w:themeColor="accent3" w:themeShade="BF"/>
          <w:sz w:val="22"/>
          <w:szCs w:val="22"/>
          <w:lang w:val="en-GB"/>
        </w:rPr>
      </w:pPr>
    </w:p>
    <w:p w14:paraId="695C446F" w14:textId="6AF70881" w:rsidR="00392316" w:rsidRDefault="00392316" w:rsidP="0039231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D0744D">
        <w:rPr>
          <w:rFonts w:ascii="Avenir Next" w:hAnsi="Avenir Next" w:cs="Arial"/>
          <w:color w:val="7B7B7B" w:themeColor="accent3" w:themeShade="BF"/>
          <w:sz w:val="22"/>
          <w:szCs w:val="22"/>
          <w:lang w:val="en-GB"/>
        </w:rPr>
        <w:t>ccording to the European Commission’s Action Plan on Building a Capital Markets Union (2015)</w:t>
      </w:r>
      <w:r w:rsidR="00886DFA">
        <w:rPr>
          <w:rFonts w:ascii="Avenir Next" w:hAnsi="Avenir Next" w:cs="Arial"/>
          <w:color w:val="7B7B7B" w:themeColor="accent3" w:themeShade="BF"/>
          <w:sz w:val="22"/>
          <w:szCs w:val="22"/>
          <w:lang w:val="en-GB"/>
        </w:rPr>
        <w:t xml:space="preserve"> (</w:t>
      </w:r>
      <w:r w:rsidR="00886DFA" w:rsidRPr="00886DFA">
        <w:rPr>
          <w:rFonts w:ascii="Avenir Next" w:hAnsi="Avenir Next" w:cs="Arial"/>
          <w:b/>
          <w:bCs/>
          <w:color w:val="7B7B7B" w:themeColor="accent3" w:themeShade="BF"/>
          <w:sz w:val="22"/>
          <w:szCs w:val="22"/>
          <w:lang w:val="en-GB"/>
        </w:rPr>
        <w:t>Action Plan</w:t>
      </w:r>
      <w:r w:rsidR="00886DFA">
        <w:rPr>
          <w:rFonts w:ascii="Avenir Next" w:hAnsi="Avenir Next" w:cs="Arial"/>
          <w:color w:val="7B7B7B" w:themeColor="accent3" w:themeShade="BF"/>
          <w:sz w:val="22"/>
          <w:szCs w:val="22"/>
          <w:lang w:val="en-GB"/>
        </w:rPr>
        <w:t>)</w:t>
      </w:r>
      <w:r w:rsidR="00D0744D">
        <w:rPr>
          <w:rFonts w:ascii="Avenir Next" w:hAnsi="Avenir Next" w:cs="Arial"/>
          <w:color w:val="7B7B7B" w:themeColor="accent3" w:themeShade="BF"/>
          <w:sz w:val="22"/>
          <w:szCs w:val="22"/>
          <w:lang w:val="en-GB"/>
        </w:rPr>
        <w:t xml:space="preserve">, </w:t>
      </w:r>
      <w:r w:rsidR="00984CEA">
        <w:rPr>
          <w:rFonts w:ascii="Avenir Next" w:hAnsi="Avenir Next" w:cs="Arial"/>
          <w:color w:val="7B7B7B" w:themeColor="accent3" w:themeShade="BF"/>
          <w:sz w:val="22"/>
          <w:szCs w:val="22"/>
          <w:lang w:val="en-GB"/>
        </w:rPr>
        <w:t>harmonisation would give cross-border investors</w:t>
      </w:r>
      <w:r w:rsidR="003C578B">
        <w:rPr>
          <w:rFonts w:ascii="Avenir Next" w:hAnsi="Avenir Next" w:cs="Arial"/>
          <w:color w:val="7B7B7B" w:themeColor="accent3" w:themeShade="BF"/>
          <w:sz w:val="22"/>
          <w:szCs w:val="22"/>
          <w:lang w:val="en-GB"/>
        </w:rPr>
        <w:t xml:space="preserve"> greater</w:t>
      </w:r>
      <w:r w:rsidR="00984CEA">
        <w:rPr>
          <w:rFonts w:ascii="Avenir Next" w:hAnsi="Avenir Next" w:cs="Arial"/>
          <w:color w:val="7B7B7B" w:themeColor="accent3" w:themeShade="BF"/>
          <w:sz w:val="22"/>
          <w:szCs w:val="22"/>
          <w:lang w:val="en-GB"/>
        </w:rPr>
        <w:t xml:space="preserve"> legal certainty </w:t>
      </w:r>
      <w:r w:rsidR="003C578B">
        <w:rPr>
          <w:rFonts w:ascii="Avenir Next" w:hAnsi="Avenir Next" w:cs="Arial"/>
          <w:color w:val="7B7B7B" w:themeColor="accent3" w:themeShade="BF"/>
          <w:sz w:val="22"/>
          <w:szCs w:val="22"/>
          <w:lang w:val="en-GB"/>
        </w:rPr>
        <w:t>and would expedite the restructuring process of viable companies.</w:t>
      </w:r>
      <w:r w:rsidR="00A80C90">
        <w:rPr>
          <w:rStyle w:val="FootnoteReference"/>
          <w:rFonts w:ascii="Avenir Next" w:hAnsi="Avenir Next" w:cs="Arial"/>
          <w:color w:val="7B7B7B" w:themeColor="accent3" w:themeShade="BF"/>
          <w:sz w:val="22"/>
          <w:szCs w:val="22"/>
          <w:lang w:val="en-GB"/>
        </w:rPr>
        <w:footnoteReference w:id="31"/>
      </w:r>
      <w:r w:rsidR="003C578B">
        <w:rPr>
          <w:rFonts w:ascii="Avenir Next" w:hAnsi="Avenir Next" w:cs="Arial"/>
          <w:color w:val="7B7B7B" w:themeColor="accent3" w:themeShade="BF"/>
          <w:sz w:val="22"/>
          <w:szCs w:val="22"/>
          <w:lang w:val="en-GB"/>
        </w:rPr>
        <w:t xml:space="preserve"> </w:t>
      </w:r>
      <w:r w:rsidR="00D53E5A">
        <w:rPr>
          <w:rFonts w:ascii="Avenir Next" w:hAnsi="Avenir Next" w:cs="Arial"/>
          <w:color w:val="7B7B7B" w:themeColor="accent3" w:themeShade="BF"/>
          <w:sz w:val="22"/>
          <w:szCs w:val="22"/>
          <w:lang w:val="en-GB"/>
        </w:rPr>
        <w:t xml:space="preserve">The </w:t>
      </w:r>
      <w:bookmarkStart w:id="0" w:name="_Hlk116754582"/>
      <w:r w:rsidR="00D53E5A">
        <w:rPr>
          <w:rFonts w:ascii="Avenir Next" w:hAnsi="Avenir Next" w:cs="Arial"/>
          <w:color w:val="7B7B7B" w:themeColor="accent3" w:themeShade="BF"/>
          <w:sz w:val="22"/>
          <w:szCs w:val="22"/>
          <w:lang w:val="en-GB"/>
        </w:rPr>
        <w:t xml:space="preserve">Final Report of the High Level Forum on Capital Markets Union </w:t>
      </w:r>
      <w:r w:rsidR="00886DFA">
        <w:rPr>
          <w:rFonts w:ascii="Avenir Next" w:hAnsi="Avenir Next" w:cs="Arial"/>
          <w:color w:val="7B7B7B" w:themeColor="accent3" w:themeShade="BF"/>
          <w:sz w:val="22"/>
          <w:szCs w:val="22"/>
          <w:lang w:val="en-GB"/>
        </w:rPr>
        <w:t>(2020)</w:t>
      </w:r>
      <w:bookmarkEnd w:id="0"/>
      <w:r w:rsidR="00886DFA">
        <w:rPr>
          <w:rFonts w:ascii="Avenir Next" w:hAnsi="Avenir Next" w:cs="Arial"/>
          <w:color w:val="7B7B7B" w:themeColor="accent3" w:themeShade="BF"/>
          <w:sz w:val="22"/>
          <w:szCs w:val="22"/>
          <w:lang w:val="en-GB"/>
        </w:rPr>
        <w:t xml:space="preserve"> argues in support of the Action Plan justifications and adds that </w:t>
      </w:r>
      <w:r w:rsidR="00014DD5">
        <w:rPr>
          <w:rFonts w:ascii="Avenir Next" w:hAnsi="Avenir Next" w:cs="Arial"/>
          <w:color w:val="7B7B7B" w:themeColor="accent3" w:themeShade="BF"/>
          <w:sz w:val="22"/>
          <w:szCs w:val="22"/>
          <w:lang w:val="en-GB"/>
        </w:rPr>
        <w:t>(</w:t>
      </w:r>
      <w:r w:rsidR="00014DD5">
        <w:rPr>
          <w:rFonts w:ascii="Avenir Next" w:hAnsi="Avenir Next" w:cs="Arial"/>
          <w:i/>
          <w:iCs/>
          <w:color w:val="7B7B7B" w:themeColor="accent3" w:themeShade="BF"/>
          <w:sz w:val="22"/>
          <w:szCs w:val="22"/>
          <w:lang w:val="en-GB"/>
        </w:rPr>
        <w:t>inter alia</w:t>
      </w:r>
      <w:r w:rsidR="00014DD5">
        <w:rPr>
          <w:rFonts w:ascii="Avenir Next" w:hAnsi="Avenir Next" w:cs="Arial"/>
          <w:color w:val="7B7B7B" w:themeColor="accent3" w:themeShade="BF"/>
          <w:sz w:val="22"/>
          <w:szCs w:val="22"/>
          <w:lang w:val="en-GB"/>
        </w:rPr>
        <w:t xml:space="preserve">) it could avoid </w:t>
      </w:r>
      <w:r w:rsidR="00373E14">
        <w:rPr>
          <w:rFonts w:ascii="Avenir Next" w:hAnsi="Avenir Next" w:cs="Arial"/>
          <w:color w:val="7B7B7B" w:themeColor="accent3" w:themeShade="BF"/>
          <w:sz w:val="22"/>
          <w:szCs w:val="22"/>
          <w:lang w:val="en-GB"/>
        </w:rPr>
        <w:t xml:space="preserve">the build-up of </w:t>
      </w:r>
      <w:r w:rsidR="00014DD5">
        <w:rPr>
          <w:rFonts w:ascii="Avenir Next" w:hAnsi="Avenir Next" w:cs="Arial"/>
          <w:color w:val="7B7B7B" w:themeColor="accent3" w:themeShade="BF"/>
          <w:sz w:val="22"/>
          <w:szCs w:val="22"/>
          <w:lang w:val="en-GB"/>
        </w:rPr>
        <w:t>non-performing bank</w:t>
      </w:r>
      <w:r w:rsidR="00373E14">
        <w:rPr>
          <w:rFonts w:ascii="Avenir Next" w:hAnsi="Avenir Next" w:cs="Arial"/>
          <w:color w:val="7B7B7B" w:themeColor="accent3" w:themeShade="BF"/>
          <w:sz w:val="22"/>
          <w:szCs w:val="22"/>
          <w:lang w:val="en-GB"/>
        </w:rPr>
        <w:t xml:space="preserve"> loans, assist investors </w:t>
      </w:r>
      <w:r w:rsidR="000B7EA8">
        <w:rPr>
          <w:rFonts w:ascii="Avenir Next" w:hAnsi="Avenir Next" w:cs="Arial"/>
          <w:color w:val="7B7B7B" w:themeColor="accent3" w:themeShade="BF"/>
          <w:sz w:val="22"/>
          <w:szCs w:val="22"/>
          <w:lang w:val="en-GB"/>
        </w:rPr>
        <w:t xml:space="preserve">in navigating the legal complexities by not having to review 27 different national regimes within the European Union and </w:t>
      </w:r>
      <w:r w:rsidR="00903B2D">
        <w:rPr>
          <w:rFonts w:ascii="Avenir Next" w:hAnsi="Avenir Next" w:cs="Arial"/>
          <w:color w:val="7B7B7B" w:themeColor="accent3" w:themeShade="BF"/>
          <w:sz w:val="22"/>
          <w:szCs w:val="22"/>
          <w:lang w:val="en-GB"/>
        </w:rPr>
        <w:t>reduce “</w:t>
      </w:r>
      <w:r w:rsidR="00903B2D" w:rsidRPr="00903B2D">
        <w:rPr>
          <w:rFonts w:ascii="Avenir Next" w:hAnsi="Avenir Next" w:cs="Arial"/>
          <w:i/>
          <w:iCs/>
          <w:color w:val="7B7B7B" w:themeColor="accent3" w:themeShade="BF"/>
          <w:sz w:val="22"/>
          <w:szCs w:val="22"/>
          <w:lang w:val="en-GB"/>
        </w:rPr>
        <w:t>home bias</w:t>
      </w:r>
      <w:r w:rsidR="00903B2D">
        <w:rPr>
          <w:rFonts w:ascii="Avenir Next" w:hAnsi="Avenir Next" w:cs="Arial"/>
          <w:color w:val="7B7B7B" w:themeColor="accent3" w:themeShade="BF"/>
          <w:sz w:val="22"/>
          <w:szCs w:val="22"/>
          <w:lang w:val="en-GB"/>
        </w:rPr>
        <w:t>”.</w:t>
      </w:r>
      <w:r w:rsidR="00903B2D">
        <w:rPr>
          <w:rStyle w:val="FootnoteReference"/>
          <w:rFonts w:ascii="Avenir Next" w:hAnsi="Avenir Next" w:cs="Arial"/>
          <w:color w:val="7B7B7B" w:themeColor="accent3" w:themeShade="BF"/>
          <w:sz w:val="22"/>
          <w:szCs w:val="22"/>
          <w:lang w:val="en-GB"/>
        </w:rPr>
        <w:footnoteReference w:id="32"/>
      </w:r>
    </w:p>
    <w:p w14:paraId="220E349A" w14:textId="1604B59D" w:rsidR="00B610F9" w:rsidRDefault="00B610F9" w:rsidP="00392316">
      <w:pPr>
        <w:jc w:val="both"/>
        <w:rPr>
          <w:rFonts w:ascii="Avenir Next" w:hAnsi="Avenir Next" w:cs="Arial"/>
          <w:color w:val="7B7B7B" w:themeColor="accent3" w:themeShade="BF"/>
          <w:sz w:val="22"/>
          <w:szCs w:val="22"/>
          <w:lang w:val="en-GB"/>
        </w:rPr>
      </w:pPr>
    </w:p>
    <w:p w14:paraId="4DB80E51" w14:textId="6E1C3904" w:rsidR="00B610F9" w:rsidRDefault="004043A4" w:rsidP="0039231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do not agree that harmonisation </w:t>
      </w:r>
      <w:r w:rsidR="00744CCB">
        <w:rPr>
          <w:rFonts w:ascii="Avenir Next" w:hAnsi="Avenir Next" w:cs="Arial"/>
          <w:color w:val="7B7B7B" w:themeColor="accent3" w:themeShade="BF"/>
          <w:sz w:val="22"/>
          <w:szCs w:val="22"/>
          <w:lang w:val="en-GB"/>
        </w:rPr>
        <w:t>will achieve the stated objectives, or is</w:t>
      </w:r>
      <w:r w:rsidR="00EB01A4">
        <w:rPr>
          <w:rFonts w:ascii="Avenir Next" w:hAnsi="Avenir Next" w:cs="Arial"/>
          <w:color w:val="7B7B7B" w:themeColor="accent3" w:themeShade="BF"/>
          <w:sz w:val="22"/>
          <w:szCs w:val="22"/>
          <w:lang w:val="en-GB"/>
        </w:rPr>
        <w:t xml:space="preserve"> even</w:t>
      </w:r>
      <w:r w:rsidR="00744CCB">
        <w:rPr>
          <w:rFonts w:ascii="Avenir Next" w:hAnsi="Avenir Next" w:cs="Arial"/>
          <w:color w:val="7B7B7B" w:themeColor="accent3" w:themeShade="BF"/>
          <w:sz w:val="22"/>
          <w:szCs w:val="22"/>
          <w:lang w:val="en-GB"/>
        </w:rPr>
        <w:t xml:space="preserve"> achievable at all</w:t>
      </w:r>
      <w:r w:rsidR="007A151A">
        <w:rPr>
          <w:rFonts w:ascii="Avenir Next" w:hAnsi="Avenir Next" w:cs="Arial"/>
          <w:color w:val="7B7B7B" w:themeColor="accent3" w:themeShade="BF"/>
          <w:sz w:val="22"/>
          <w:szCs w:val="22"/>
          <w:lang w:val="en-GB"/>
        </w:rPr>
        <w:t>. Given this is only a formative assessment, I am only going to provide some reasons:</w:t>
      </w:r>
    </w:p>
    <w:p w14:paraId="6CDDC878" w14:textId="1360A659" w:rsidR="007A151A" w:rsidRPr="002464B2" w:rsidRDefault="007A151A" w:rsidP="00392316">
      <w:pPr>
        <w:jc w:val="both"/>
        <w:rPr>
          <w:rFonts w:ascii="Avenir Next" w:hAnsi="Avenir Next" w:cs="Arial"/>
          <w:color w:val="7B7B7B" w:themeColor="accent3" w:themeShade="BF"/>
          <w:sz w:val="14"/>
          <w:szCs w:val="14"/>
          <w:lang w:val="en-GB"/>
        </w:rPr>
      </w:pPr>
    </w:p>
    <w:p w14:paraId="7DDA5675" w14:textId="77AFC186" w:rsidR="007A151A" w:rsidRDefault="00C6491F" w:rsidP="003746B2">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3746B2">
        <w:rPr>
          <w:rFonts w:ascii="Avenir Next" w:hAnsi="Avenir Next" w:cs="Arial"/>
          <w:color w:val="7B7B7B" w:themeColor="accent3" w:themeShade="BF"/>
          <w:sz w:val="22"/>
          <w:szCs w:val="22"/>
          <w:lang w:val="en-GB"/>
        </w:rPr>
        <w:t>ocial, religious, moral or cultural differences between nations</w:t>
      </w:r>
      <w:r w:rsidR="004A5AC3">
        <w:rPr>
          <w:rFonts w:ascii="Avenir Next" w:hAnsi="Avenir Next" w:cs="Arial"/>
          <w:color w:val="7B7B7B" w:themeColor="accent3" w:themeShade="BF"/>
          <w:sz w:val="22"/>
          <w:szCs w:val="22"/>
          <w:lang w:val="en-GB"/>
        </w:rPr>
        <w:t xml:space="preserve">, including ongoing wars and </w:t>
      </w:r>
      <w:r w:rsidR="0014563E">
        <w:rPr>
          <w:rFonts w:ascii="Avenir Next" w:hAnsi="Avenir Next" w:cs="Arial"/>
          <w:color w:val="7B7B7B" w:themeColor="accent3" w:themeShade="BF"/>
          <w:sz w:val="22"/>
          <w:szCs w:val="22"/>
          <w:lang w:val="en-GB"/>
        </w:rPr>
        <w:t>breaching</w:t>
      </w:r>
      <w:r w:rsidR="004E3393">
        <w:rPr>
          <w:rFonts w:ascii="Avenir Next" w:hAnsi="Avenir Next" w:cs="Arial"/>
          <w:color w:val="7B7B7B" w:themeColor="accent3" w:themeShade="BF"/>
          <w:sz w:val="22"/>
          <w:szCs w:val="22"/>
          <w:lang w:val="en-GB"/>
        </w:rPr>
        <w:t xml:space="preserve"> of</w:t>
      </w:r>
      <w:r w:rsidR="0014563E">
        <w:rPr>
          <w:rFonts w:ascii="Avenir Next" w:hAnsi="Avenir Next" w:cs="Arial"/>
          <w:color w:val="7B7B7B" w:themeColor="accent3" w:themeShade="BF"/>
          <w:sz w:val="22"/>
          <w:szCs w:val="22"/>
          <w:lang w:val="en-GB"/>
        </w:rPr>
        <w:t xml:space="preserve"> the</w:t>
      </w:r>
      <w:r w:rsidR="004E3393">
        <w:rPr>
          <w:rFonts w:ascii="Avenir Next" w:hAnsi="Avenir Next" w:cs="Arial"/>
          <w:color w:val="7B7B7B" w:themeColor="accent3" w:themeShade="BF"/>
          <w:sz w:val="22"/>
          <w:szCs w:val="22"/>
          <w:lang w:val="en-GB"/>
        </w:rPr>
        <w:t xml:space="preserve"> peace</w:t>
      </w:r>
      <w:r w:rsidR="00DD4597">
        <w:rPr>
          <w:rFonts w:ascii="Avenir Next" w:hAnsi="Avenir Next" w:cs="Arial"/>
          <w:color w:val="7B7B7B" w:themeColor="accent3" w:themeShade="BF"/>
          <w:sz w:val="22"/>
          <w:szCs w:val="22"/>
          <w:lang w:val="en-GB"/>
        </w:rPr>
        <w:t>;</w:t>
      </w:r>
    </w:p>
    <w:p w14:paraId="2CA035EE" w14:textId="77777777" w:rsidR="00C6491F" w:rsidRPr="00C6491F" w:rsidRDefault="00C6491F" w:rsidP="00C6491F">
      <w:pPr>
        <w:pStyle w:val="ListParagraph"/>
        <w:ind w:left="360"/>
        <w:jc w:val="both"/>
        <w:rPr>
          <w:rFonts w:ascii="Avenir Next" w:hAnsi="Avenir Next" w:cs="Arial"/>
          <w:color w:val="7B7B7B" w:themeColor="accent3" w:themeShade="BF"/>
          <w:sz w:val="10"/>
          <w:szCs w:val="10"/>
          <w:lang w:val="en-GB"/>
        </w:rPr>
      </w:pPr>
    </w:p>
    <w:p w14:paraId="6B673A0A" w14:textId="1941B5DE" w:rsidR="008646D7" w:rsidRDefault="00C6491F" w:rsidP="003746B2">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DD4597">
        <w:rPr>
          <w:rFonts w:ascii="Avenir Next" w:hAnsi="Avenir Next" w:cs="Arial"/>
          <w:color w:val="7B7B7B" w:themeColor="accent3" w:themeShade="BF"/>
          <w:sz w:val="22"/>
          <w:szCs w:val="22"/>
          <w:lang w:val="en-GB"/>
        </w:rPr>
        <w:t>ifferences in civil and common law jurisdictions</w:t>
      </w:r>
      <w:r w:rsidR="008646D7">
        <w:rPr>
          <w:rFonts w:ascii="Avenir Next" w:hAnsi="Avenir Next" w:cs="Arial"/>
          <w:color w:val="7B7B7B" w:themeColor="accent3" w:themeShade="BF"/>
          <w:sz w:val="22"/>
          <w:szCs w:val="22"/>
          <w:lang w:val="en-GB"/>
        </w:rPr>
        <w:t>;</w:t>
      </w:r>
    </w:p>
    <w:p w14:paraId="08EAC74A" w14:textId="77777777" w:rsidR="00C6491F" w:rsidRPr="00C6491F" w:rsidRDefault="00C6491F" w:rsidP="00C6491F">
      <w:pPr>
        <w:jc w:val="both"/>
        <w:rPr>
          <w:rFonts w:ascii="Avenir Next" w:hAnsi="Avenir Next" w:cs="Arial"/>
          <w:color w:val="7B7B7B" w:themeColor="accent3" w:themeShade="BF"/>
          <w:sz w:val="10"/>
          <w:szCs w:val="10"/>
          <w:lang w:val="en-GB"/>
        </w:rPr>
      </w:pPr>
    </w:p>
    <w:p w14:paraId="5F2CBE89" w14:textId="7139EBF1" w:rsidR="005F5638" w:rsidRDefault="00C6491F" w:rsidP="003746B2">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EB01A4">
        <w:rPr>
          <w:rFonts w:ascii="Avenir Next" w:hAnsi="Avenir Next" w:cs="Arial"/>
          <w:color w:val="7B7B7B" w:themeColor="accent3" w:themeShade="BF"/>
          <w:sz w:val="22"/>
          <w:szCs w:val="22"/>
          <w:lang w:val="en-GB"/>
        </w:rPr>
        <w:t>ifferences in priorities</w:t>
      </w:r>
      <w:r w:rsidR="005F5638">
        <w:rPr>
          <w:rFonts w:ascii="Avenir Next" w:hAnsi="Avenir Next" w:cs="Arial"/>
          <w:color w:val="7B7B7B" w:themeColor="accent3" w:themeShade="BF"/>
          <w:sz w:val="22"/>
          <w:szCs w:val="22"/>
          <w:lang w:val="en-GB"/>
        </w:rPr>
        <w:t xml:space="preserve"> –</w:t>
      </w:r>
      <w:r w:rsidR="00EB01A4">
        <w:rPr>
          <w:rFonts w:ascii="Avenir Next" w:hAnsi="Avenir Next" w:cs="Arial"/>
          <w:color w:val="7B7B7B" w:themeColor="accent3" w:themeShade="BF"/>
          <w:sz w:val="22"/>
          <w:szCs w:val="22"/>
          <w:lang w:val="en-GB"/>
        </w:rPr>
        <w:t xml:space="preserve"> </w:t>
      </w:r>
      <w:r w:rsidR="002507F9">
        <w:rPr>
          <w:rFonts w:ascii="Avenir Next" w:hAnsi="Avenir Next" w:cs="Arial"/>
          <w:color w:val="7B7B7B" w:themeColor="accent3" w:themeShade="BF"/>
          <w:sz w:val="22"/>
          <w:szCs w:val="22"/>
          <w:lang w:val="en-GB"/>
        </w:rPr>
        <w:t>ie</w:t>
      </w:r>
      <w:r w:rsidR="005F5638">
        <w:rPr>
          <w:rFonts w:ascii="Avenir Next" w:hAnsi="Avenir Next" w:cs="Arial"/>
          <w:color w:val="7B7B7B" w:themeColor="accent3" w:themeShade="BF"/>
          <w:sz w:val="22"/>
          <w:szCs w:val="22"/>
          <w:lang w:val="en-GB"/>
        </w:rPr>
        <w:t xml:space="preserve"> </w:t>
      </w:r>
      <w:r w:rsidR="002507F9">
        <w:rPr>
          <w:rFonts w:ascii="Avenir Next" w:hAnsi="Avenir Next" w:cs="Arial"/>
          <w:color w:val="7B7B7B" w:themeColor="accent3" w:themeShade="BF"/>
          <w:sz w:val="22"/>
          <w:szCs w:val="22"/>
          <w:lang w:val="en-GB"/>
        </w:rPr>
        <w:t xml:space="preserve">protection of employees, promoting innovation and recovery, debtor-driven insolvency approach </w:t>
      </w:r>
      <w:r w:rsidR="005F5638">
        <w:rPr>
          <w:rFonts w:ascii="Avenir Next" w:hAnsi="Avenir Next" w:cs="Arial"/>
          <w:color w:val="7B7B7B" w:themeColor="accent3" w:themeShade="BF"/>
          <w:sz w:val="22"/>
          <w:szCs w:val="22"/>
          <w:lang w:val="en-GB"/>
        </w:rPr>
        <w:t>compared to a creditor-driven insolvency approach;</w:t>
      </w:r>
    </w:p>
    <w:p w14:paraId="561D64C6" w14:textId="77777777" w:rsidR="00C6491F" w:rsidRPr="00C6491F" w:rsidRDefault="00C6491F" w:rsidP="00C6491F">
      <w:pPr>
        <w:jc w:val="both"/>
        <w:rPr>
          <w:rFonts w:ascii="Avenir Next" w:hAnsi="Avenir Next" w:cs="Arial"/>
          <w:color w:val="7B7B7B" w:themeColor="accent3" w:themeShade="BF"/>
          <w:sz w:val="10"/>
          <w:szCs w:val="10"/>
          <w:lang w:val="en-GB"/>
        </w:rPr>
      </w:pPr>
    </w:p>
    <w:p w14:paraId="111EA170" w14:textId="576AC364" w:rsidR="00D17FDC" w:rsidRDefault="00C6491F" w:rsidP="002F29D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57640A">
        <w:rPr>
          <w:rFonts w:ascii="Avenir Next" w:hAnsi="Avenir Next" w:cs="Arial"/>
          <w:color w:val="7B7B7B" w:themeColor="accent3" w:themeShade="BF"/>
          <w:sz w:val="22"/>
          <w:szCs w:val="22"/>
          <w:lang w:val="en-GB"/>
        </w:rPr>
        <w:t xml:space="preserve">espite the Model Laws being in effect for some 25 years or so, only </w:t>
      </w:r>
      <w:r w:rsidR="00753B3D">
        <w:rPr>
          <w:rFonts w:ascii="Avenir Next" w:hAnsi="Avenir Next" w:cs="Arial"/>
          <w:color w:val="7B7B7B" w:themeColor="accent3" w:themeShade="BF"/>
          <w:sz w:val="22"/>
          <w:szCs w:val="22"/>
          <w:lang w:val="en-GB"/>
        </w:rPr>
        <w:t>53 States</w:t>
      </w:r>
      <w:r w:rsidR="002464B2">
        <w:rPr>
          <w:rFonts w:ascii="Avenir Next" w:hAnsi="Avenir Next" w:cs="Arial"/>
          <w:color w:val="7B7B7B" w:themeColor="accent3" w:themeShade="BF"/>
          <w:sz w:val="22"/>
          <w:szCs w:val="22"/>
          <w:lang w:val="en-GB"/>
        </w:rPr>
        <w:t xml:space="preserve"> are signatories</w:t>
      </w:r>
      <w:r w:rsidR="00ED18A8">
        <w:rPr>
          <w:rFonts w:ascii="Avenir Next" w:hAnsi="Avenir Next" w:cs="Arial"/>
          <w:color w:val="7B7B7B" w:themeColor="accent3" w:themeShade="BF"/>
          <w:sz w:val="22"/>
          <w:szCs w:val="22"/>
          <w:lang w:val="en-GB"/>
        </w:rPr>
        <w:t>.</w:t>
      </w:r>
      <w:r w:rsidR="002464B2">
        <w:rPr>
          <w:rStyle w:val="FootnoteReference"/>
          <w:rFonts w:ascii="Avenir Next" w:hAnsi="Avenir Next" w:cs="Arial"/>
          <w:color w:val="7B7B7B" w:themeColor="accent3" w:themeShade="BF"/>
          <w:sz w:val="22"/>
          <w:szCs w:val="22"/>
          <w:lang w:val="en-GB"/>
        </w:rPr>
        <w:footnoteReference w:id="33"/>
      </w:r>
      <w:r w:rsidR="00ED18A8">
        <w:rPr>
          <w:rFonts w:ascii="Avenir Next" w:hAnsi="Avenir Next" w:cs="Arial"/>
          <w:color w:val="7B7B7B" w:themeColor="accent3" w:themeShade="BF"/>
          <w:sz w:val="22"/>
          <w:szCs w:val="22"/>
          <w:lang w:val="en-GB"/>
        </w:rPr>
        <w:t xml:space="preserve"> Noticeable absentees include: </w:t>
      </w:r>
      <w:r w:rsidR="00F74E16">
        <w:rPr>
          <w:rFonts w:ascii="Avenir Next" w:hAnsi="Avenir Next" w:cs="Arial"/>
          <w:color w:val="7B7B7B" w:themeColor="accent3" w:themeShade="BF"/>
          <w:sz w:val="22"/>
          <w:szCs w:val="22"/>
          <w:lang w:val="en-GB"/>
        </w:rPr>
        <w:t>Russia, China, India</w:t>
      </w:r>
      <w:r w:rsidR="003C600E">
        <w:rPr>
          <w:rFonts w:ascii="Avenir Next" w:hAnsi="Avenir Next" w:cs="Arial"/>
          <w:color w:val="7B7B7B" w:themeColor="accent3" w:themeShade="BF"/>
          <w:sz w:val="22"/>
          <w:szCs w:val="22"/>
          <w:lang w:val="en-GB"/>
        </w:rPr>
        <w:t>, Nigeria</w:t>
      </w:r>
      <w:r w:rsidR="007D252A">
        <w:rPr>
          <w:rFonts w:ascii="Avenir Next" w:hAnsi="Avenir Next" w:cs="Arial"/>
          <w:color w:val="7B7B7B" w:themeColor="accent3" w:themeShade="BF"/>
          <w:sz w:val="22"/>
          <w:szCs w:val="22"/>
          <w:lang w:val="en-GB"/>
        </w:rPr>
        <w:t>, Germany, France, etc;</w:t>
      </w:r>
      <w:r w:rsidR="000B3E9B">
        <w:rPr>
          <w:rFonts w:ascii="Avenir Next" w:hAnsi="Avenir Next" w:cs="Arial"/>
          <w:color w:val="7B7B7B" w:themeColor="accent3" w:themeShade="BF"/>
          <w:sz w:val="22"/>
          <w:szCs w:val="22"/>
          <w:lang w:val="en-GB"/>
        </w:rPr>
        <w:t xml:space="preserve"> and</w:t>
      </w:r>
    </w:p>
    <w:p w14:paraId="254AF2C5" w14:textId="77777777" w:rsidR="00C6491F" w:rsidRPr="00C6491F" w:rsidRDefault="00C6491F" w:rsidP="00C6491F">
      <w:pPr>
        <w:jc w:val="both"/>
        <w:rPr>
          <w:rFonts w:ascii="Avenir Next" w:hAnsi="Avenir Next" w:cs="Arial"/>
          <w:color w:val="7B7B7B" w:themeColor="accent3" w:themeShade="BF"/>
          <w:sz w:val="10"/>
          <w:szCs w:val="10"/>
          <w:lang w:val="en-GB"/>
        </w:rPr>
      </w:pPr>
    </w:p>
    <w:p w14:paraId="3A4025E3" w14:textId="1FB11EC8" w:rsidR="00677F34" w:rsidRPr="000B3E9B" w:rsidRDefault="002F29D3" w:rsidP="000B3E9B">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w:t>
      </w:r>
      <w:r w:rsidR="00EC6D4E">
        <w:rPr>
          <w:rFonts w:ascii="Avenir Next" w:hAnsi="Avenir Next" w:cs="Arial"/>
          <w:color w:val="7B7B7B" w:themeColor="accent3" w:themeShade="BF"/>
          <w:sz w:val="22"/>
          <w:szCs w:val="22"/>
          <w:lang w:val="en-GB"/>
        </w:rPr>
        <w:t xml:space="preserve"> a high inflationary environment </w:t>
      </w:r>
      <w:r w:rsidR="00347B62">
        <w:rPr>
          <w:rFonts w:ascii="Avenir Next" w:hAnsi="Avenir Next" w:cs="Arial"/>
          <w:color w:val="7B7B7B" w:themeColor="accent3" w:themeShade="BF"/>
          <w:sz w:val="22"/>
          <w:szCs w:val="22"/>
          <w:lang w:val="en-GB"/>
        </w:rPr>
        <w:t>(such as we are in now) in</w:t>
      </w:r>
      <w:r>
        <w:rPr>
          <w:rFonts w:ascii="Avenir Next" w:hAnsi="Avenir Next" w:cs="Arial"/>
          <w:color w:val="7B7B7B" w:themeColor="accent3" w:themeShade="BF"/>
          <w:sz w:val="22"/>
          <w:szCs w:val="22"/>
          <w:lang w:val="en-GB"/>
        </w:rPr>
        <w:t xml:space="preserve">vestors are already </w:t>
      </w:r>
      <w:r w:rsidR="00347B62">
        <w:rPr>
          <w:rFonts w:ascii="Avenir Next" w:hAnsi="Avenir Next" w:cs="Arial"/>
          <w:color w:val="7B7B7B" w:themeColor="accent3" w:themeShade="BF"/>
          <w:sz w:val="22"/>
          <w:szCs w:val="22"/>
          <w:lang w:val="en-GB"/>
        </w:rPr>
        <w:t xml:space="preserve">pricing in risk of loss and moving to </w:t>
      </w:r>
      <w:r w:rsidR="00F40F88">
        <w:rPr>
          <w:rFonts w:ascii="Avenir Next" w:hAnsi="Avenir Next" w:cs="Arial"/>
          <w:color w:val="7B7B7B" w:themeColor="accent3" w:themeShade="BF"/>
          <w:sz w:val="22"/>
          <w:szCs w:val="22"/>
          <w:lang w:val="en-GB"/>
        </w:rPr>
        <w:t>bonds and other types of divers</w:t>
      </w:r>
      <w:r w:rsidR="00677F34">
        <w:rPr>
          <w:rFonts w:ascii="Avenir Next" w:hAnsi="Avenir Next" w:cs="Arial"/>
          <w:color w:val="7B7B7B" w:themeColor="accent3" w:themeShade="BF"/>
          <w:sz w:val="22"/>
          <w:szCs w:val="22"/>
          <w:lang w:val="en-GB"/>
        </w:rPr>
        <w:t>i</w:t>
      </w:r>
      <w:r w:rsidR="00F40F88">
        <w:rPr>
          <w:rFonts w:ascii="Avenir Next" w:hAnsi="Avenir Next" w:cs="Arial"/>
          <w:color w:val="7B7B7B" w:themeColor="accent3" w:themeShade="BF"/>
          <w:sz w:val="22"/>
          <w:szCs w:val="22"/>
          <w:lang w:val="en-GB"/>
        </w:rPr>
        <w:t>fications.</w:t>
      </w:r>
      <w:r w:rsidR="00347B62">
        <w:rPr>
          <w:rFonts w:ascii="Avenir Next" w:hAnsi="Avenir Next" w:cs="Arial"/>
          <w:color w:val="7B7B7B" w:themeColor="accent3" w:themeShade="BF"/>
          <w:sz w:val="22"/>
          <w:szCs w:val="22"/>
          <w:lang w:val="en-GB"/>
        </w:rPr>
        <w:t xml:space="preserve"> </w:t>
      </w:r>
      <w:r w:rsidR="00F40F88">
        <w:rPr>
          <w:rFonts w:ascii="Avenir Next" w:hAnsi="Avenir Next" w:cs="Arial"/>
          <w:color w:val="7B7B7B" w:themeColor="accent3" w:themeShade="BF"/>
          <w:sz w:val="22"/>
          <w:szCs w:val="22"/>
          <w:lang w:val="en-GB"/>
        </w:rPr>
        <w:t>I do not believe insolvency laws play a big part in their decision-making processes</w:t>
      </w:r>
      <w:r w:rsidR="000B3E9B">
        <w:rPr>
          <w:rFonts w:ascii="Avenir Next" w:hAnsi="Avenir Next" w:cs="Arial"/>
          <w:color w:val="7B7B7B" w:themeColor="accent3" w:themeShade="BF"/>
          <w:sz w:val="22"/>
          <w:szCs w:val="22"/>
          <w:lang w:val="en-GB"/>
        </w:rPr>
        <w:t>.</w:t>
      </w:r>
      <w:r w:rsidR="00E43E9C">
        <w:rPr>
          <w:rFonts w:ascii="Avenir Next" w:hAnsi="Avenir Next" w:cs="Arial"/>
          <w:color w:val="7B7B7B" w:themeColor="accent3" w:themeShade="BF"/>
          <w:sz w:val="22"/>
          <w:szCs w:val="22"/>
          <w:lang w:val="en-GB"/>
        </w:rPr>
        <w:t xml:space="preserve"> See for example the lack of </w:t>
      </w:r>
      <w:r w:rsidR="003F0C47">
        <w:rPr>
          <w:rFonts w:ascii="Avenir Next" w:hAnsi="Avenir Next" w:cs="Arial"/>
          <w:color w:val="7B7B7B" w:themeColor="accent3" w:themeShade="BF"/>
          <w:sz w:val="22"/>
          <w:szCs w:val="22"/>
          <w:lang w:val="en-GB"/>
        </w:rPr>
        <w:t xml:space="preserve">effective insolvency laws in China, and yet </w:t>
      </w:r>
      <w:r w:rsidR="00903BCB">
        <w:rPr>
          <w:rFonts w:ascii="Avenir Next" w:hAnsi="Avenir Next" w:cs="Arial"/>
          <w:color w:val="7B7B7B" w:themeColor="accent3" w:themeShade="BF"/>
          <w:sz w:val="22"/>
          <w:szCs w:val="22"/>
          <w:lang w:val="en-GB"/>
        </w:rPr>
        <w:t>China is one of the biggest global markets for investors.</w:t>
      </w:r>
    </w:p>
    <w:p w14:paraId="51508E40" w14:textId="77777777" w:rsidR="005D20AD" w:rsidRDefault="005D20AD">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523EE128"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102EBB"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w:t>
      </w:r>
      <w:r w:rsidRPr="00102EBB">
        <w:rPr>
          <w:rFonts w:ascii="Avenir Next" w:hAnsi="Avenir Next" w:cs="Arial"/>
          <w:sz w:val="22"/>
          <w:szCs w:val="22"/>
          <w:lang w:val="en-GB"/>
        </w:rPr>
        <w:t xml:space="preserve">Nadir in Utopia for monies owing for the goods sold and delivered.  </w:t>
      </w:r>
    </w:p>
    <w:p w14:paraId="6963F1AF" w14:textId="77777777" w:rsidR="009B0723" w:rsidRPr="00102EBB"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102EBB" w:rsidRDefault="009B0723" w:rsidP="00C053F7">
      <w:pPr>
        <w:autoSpaceDE w:val="0"/>
        <w:autoSpaceDN w:val="0"/>
        <w:adjustRightInd w:val="0"/>
        <w:jc w:val="both"/>
        <w:rPr>
          <w:rFonts w:ascii="Avenir Next" w:hAnsi="Avenir Next" w:cs="Arial"/>
          <w:sz w:val="22"/>
          <w:szCs w:val="22"/>
          <w:lang w:val="en-GB"/>
        </w:rPr>
      </w:pPr>
      <w:r w:rsidRPr="00102EBB">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102EBB"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102EBB" w:rsidRDefault="009B0723" w:rsidP="00C053F7">
      <w:pPr>
        <w:autoSpaceDE w:val="0"/>
        <w:autoSpaceDN w:val="0"/>
        <w:adjustRightInd w:val="0"/>
        <w:jc w:val="both"/>
        <w:rPr>
          <w:rFonts w:ascii="Avenir Next" w:hAnsi="Avenir Next" w:cs="Arial"/>
          <w:sz w:val="22"/>
          <w:szCs w:val="22"/>
          <w:lang w:val="en-GB"/>
        </w:rPr>
      </w:pPr>
      <w:r w:rsidRPr="00102EBB">
        <w:rPr>
          <w:rFonts w:ascii="Avenir Next" w:hAnsi="Avenir Next" w:cs="Arial"/>
          <w:sz w:val="22"/>
          <w:szCs w:val="22"/>
          <w:lang w:val="en-GB"/>
        </w:rPr>
        <w:t xml:space="preserve">If you require additional information to answer </w:t>
      </w:r>
      <w:r w:rsidR="002D0021" w:rsidRPr="00102EBB">
        <w:rPr>
          <w:rFonts w:ascii="Avenir Next" w:hAnsi="Avenir Next" w:cs="Arial"/>
          <w:sz w:val="22"/>
          <w:szCs w:val="22"/>
          <w:lang w:val="en-GB"/>
        </w:rPr>
        <w:t>the questions</w:t>
      </w:r>
      <w:r w:rsidR="00D17FDC" w:rsidRPr="00102EBB">
        <w:rPr>
          <w:rFonts w:ascii="Avenir Next" w:hAnsi="Avenir Next" w:cs="Arial"/>
          <w:sz w:val="22"/>
          <w:szCs w:val="22"/>
          <w:lang w:val="en-GB"/>
        </w:rPr>
        <w:t xml:space="preserve"> that follow</w:t>
      </w:r>
      <w:r w:rsidRPr="00102EBB">
        <w:rPr>
          <w:rFonts w:ascii="Avenir Next" w:hAnsi="Avenir Next" w:cs="Arial"/>
          <w:sz w:val="22"/>
          <w:szCs w:val="22"/>
          <w:lang w:val="en-GB"/>
        </w:rPr>
        <w:t xml:space="preserve">, briefly state what </w:t>
      </w:r>
      <w:r w:rsidR="00D17FDC" w:rsidRPr="00102EBB">
        <w:rPr>
          <w:rFonts w:ascii="Avenir Next" w:hAnsi="Avenir Next" w:cs="Arial"/>
          <w:sz w:val="22"/>
          <w:szCs w:val="22"/>
          <w:lang w:val="en-GB"/>
        </w:rPr>
        <w:t xml:space="preserve">information </w:t>
      </w:r>
      <w:r w:rsidRPr="00102EBB">
        <w:rPr>
          <w:rFonts w:ascii="Avenir Next" w:hAnsi="Avenir Next" w:cs="Arial"/>
          <w:sz w:val="22"/>
          <w:szCs w:val="22"/>
          <w:lang w:val="en-GB"/>
        </w:rPr>
        <w:t xml:space="preserve">it is </w:t>
      </w:r>
      <w:r w:rsidR="00D17FDC" w:rsidRPr="00102EBB">
        <w:rPr>
          <w:rFonts w:ascii="Avenir Next" w:hAnsi="Avenir Next" w:cs="Arial"/>
          <w:sz w:val="22"/>
          <w:szCs w:val="22"/>
          <w:lang w:val="en-GB"/>
        </w:rPr>
        <w:t xml:space="preserve">you require </w:t>
      </w:r>
      <w:r w:rsidRPr="00102EBB">
        <w:rPr>
          <w:rFonts w:ascii="Avenir Next" w:hAnsi="Avenir Next" w:cs="Arial"/>
          <w:sz w:val="22"/>
          <w:szCs w:val="22"/>
          <w:lang w:val="en-GB"/>
        </w:rPr>
        <w:t xml:space="preserve">and why it is relevant. </w:t>
      </w:r>
    </w:p>
    <w:p w14:paraId="793A98A7" w14:textId="5D21A41F" w:rsidR="009B0723" w:rsidRPr="00102EBB"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Pr="00102EBB"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102EBB"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102EBB" w:rsidRDefault="009B0723" w:rsidP="00C053F7">
      <w:pPr>
        <w:jc w:val="both"/>
        <w:rPr>
          <w:rFonts w:ascii="Avenir Next Demi Bold" w:hAnsi="Avenir Next Demi Bold" w:cs="Arial"/>
          <w:b/>
          <w:bCs/>
          <w:sz w:val="22"/>
          <w:szCs w:val="22"/>
          <w:lang w:val="en-GB"/>
        </w:rPr>
      </w:pPr>
      <w:bookmarkStart w:id="1" w:name="_Hlk17745211"/>
      <w:r w:rsidRPr="00102EBB">
        <w:rPr>
          <w:rFonts w:ascii="Avenir Next Demi Bold" w:hAnsi="Avenir Next Demi Bold" w:cs="Arial"/>
          <w:b/>
          <w:bCs/>
          <w:sz w:val="22"/>
          <w:szCs w:val="22"/>
          <w:lang w:val="en-GB"/>
        </w:rPr>
        <w:t>Question 4.1 [</w:t>
      </w:r>
      <w:r w:rsidR="00D17FDC" w:rsidRPr="00102EBB">
        <w:rPr>
          <w:rFonts w:ascii="Avenir Next Demi Bold" w:hAnsi="Avenir Next Demi Bold" w:cs="Arial"/>
          <w:b/>
          <w:bCs/>
          <w:sz w:val="22"/>
          <w:szCs w:val="22"/>
          <w:lang w:val="en-GB"/>
        </w:rPr>
        <w:t>m</w:t>
      </w:r>
      <w:r w:rsidRPr="00102EBB">
        <w:rPr>
          <w:rFonts w:ascii="Avenir Next Demi Bold" w:hAnsi="Avenir Next Demi Bold" w:cs="Arial"/>
          <w:b/>
          <w:bCs/>
          <w:sz w:val="22"/>
          <w:szCs w:val="22"/>
          <w:lang w:val="en-GB"/>
        </w:rPr>
        <w:t xml:space="preserve">aximum 5 marks] </w:t>
      </w:r>
    </w:p>
    <w:p w14:paraId="0FD43ABB" w14:textId="77777777" w:rsidR="002F75A3" w:rsidRPr="00102EBB"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102EBB">
        <w:rPr>
          <w:rFonts w:ascii="Avenir Next" w:hAnsi="Avenir Next" w:cs="Arial"/>
          <w:sz w:val="22"/>
          <w:szCs w:val="22"/>
          <w:lang w:val="en-GB"/>
        </w:rPr>
        <w:t>Assume the UNCITRAL Model Law on Cross-border Insolvency has been adopted by Utopia</w:t>
      </w:r>
      <w:r w:rsidRPr="00827D56">
        <w:rPr>
          <w:rFonts w:ascii="Avenir Next" w:hAnsi="Avenir Next" w:cs="Arial"/>
          <w:sz w:val="22"/>
          <w:szCs w:val="22"/>
          <w:lang w:val="en-GB"/>
        </w:rPr>
        <w:t xml:space="preserve">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w:t>
      </w:r>
      <w:r w:rsidRPr="00102EBB">
        <w:rPr>
          <w:rFonts w:ascii="Avenir Next" w:hAnsi="Avenir Next" w:cs="Arial"/>
          <w:sz w:val="22"/>
          <w:szCs w:val="22"/>
          <w:lang w:val="en-GB"/>
        </w:rPr>
        <w:t>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1B918A10" w:rsidR="002F75A3" w:rsidRDefault="008B2B86" w:rsidP="00A25A96">
      <w:pPr>
        <w:pStyle w:val="ListParagraph"/>
        <w:numPr>
          <w:ilvl w:val="0"/>
          <w:numId w:val="25"/>
        </w:numPr>
        <w:ind w:left="426" w:hanging="426"/>
        <w:jc w:val="both"/>
        <w:rPr>
          <w:rFonts w:ascii="Avenir Next" w:hAnsi="Avenir Next" w:cs="Arial"/>
          <w:color w:val="7B7B7B" w:themeColor="accent3" w:themeShade="BF"/>
          <w:sz w:val="22"/>
          <w:szCs w:val="22"/>
          <w:lang w:val="en-GB"/>
        </w:rPr>
      </w:pPr>
      <w:r w:rsidRPr="008B2B86">
        <w:rPr>
          <w:rFonts w:ascii="Avenir Next" w:hAnsi="Avenir Next" w:cs="Arial"/>
          <w:color w:val="7B7B7B" w:themeColor="accent3" w:themeShade="BF"/>
          <w:sz w:val="22"/>
          <w:szCs w:val="22"/>
          <w:lang w:val="en-GB"/>
        </w:rPr>
        <w:t xml:space="preserve">Pursuant </w:t>
      </w:r>
      <w:r>
        <w:rPr>
          <w:rFonts w:ascii="Avenir Next" w:hAnsi="Avenir Next" w:cs="Arial"/>
          <w:color w:val="7B7B7B" w:themeColor="accent3" w:themeShade="BF"/>
          <w:sz w:val="22"/>
          <w:szCs w:val="22"/>
          <w:lang w:val="en-GB"/>
        </w:rPr>
        <w:t xml:space="preserve">to </w:t>
      </w:r>
      <w:r w:rsidR="00F505BD">
        <w:rPr>
          <w:rFonts w:ascii="Avenir Next" w:hAnsi="Avenir Next" w:cs="Arial"/>
          <w:color w:val="7B7B7B" w:themeColor="accent3" w:themeShade="BF"/>
          <w:sz w:val="22"/>
          <w:szCs w:val="22"/>
          <w:lang w:val="en-GB"/>
        </w:rPr>
        <w:t>article</w:t>
      </w:r>
      <w:r>
        <w:rPr>
          <w:rFonts w:ascii="Avenir Next" w:hAnsi="Avenir Next" w:cs="Arial"/>
          <w:color w:val="7B7B7B" w:themeColor="accent3" w:themeShade="BF"/>
          <w:sz w:val="22"/>
          <w:szCs w:val="22"/>
          <w:lang w:val="en-GB"/>
        </w:rPr>
        <w:t xml:space="preserve"> 17</w:t>
      </w:r>
      <w:r w:rsidR="0086538D">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 xml:space="preserve"> </w:t>
      </w:r>
      <w:r w:rsidR="006301CD">
        <w:rPr>
          <w:rFonts w:ascii="Avenir Next" w:hAnsi="Avenir Next" w:cs="Arial"/>
          <w:color w:val="7B7B7B" w:themeColor="accent3" w:themeShade="BF"/>
          <w:sz w:val="22"/>
          <w:szCs w:val="22"/>
          <w:lang w:val="en-GB"/>
        </w:rPr>
        <w:t>of the Model Law,</w:t>
      </w:r>
      <w:r w:rsidR="00F27C8B">
        <w:rPr>
          <w:rStyle w:val="FootnoteReference"/>
          <w:rFonts w:ascii="Avenir Next" w:hAnsi="Avenir Next" w:cs="Arial"/>
          <w:color w:val="7B7B7B" w:themeColor="accent3" w:themeShade="BF"/>
          <w:sz w:val="22"/>
          <w:szCs w:val="22"/>
          <w:lang w:val="en-GB"/>
        </w:rPr>
        <w:footnoteReference w:id="34"/>
      </w:r>
      <w:r w:rsidR="006301CD">
        <w:rPr>
          <w:rFonts w:ascii="Avenir Next" w:hAnsi="Avenir Next" w:cs="Arial"/>
          <w:color w:val="7B7B7B" w:themeColor="accent3" w:themeShade="BF"/>
          <w:sz w:val="22"/>
          <w:szCs w:val="22"/>
          <w:lang w:val="en-GB"/>
        </w:rPr>
        <w:t xml:space="preserve"> </w:t>
      </w:r>
      <w:r w:rsidR="00927594">
        <w:rPr>
          <w:rFonts w:ascii="Avenir Next" w:hAnsi="Avenir Next" w:cs="Arial"/>
          <w:color w:val="7B7B7B" w:themeColor="accent3" w:themeShade="BF"/>
          <w:sz w:val="22"/>
          <w:szCs w:val="22"/>
          <w:lang w:val="en-GB"/>
        </w:rPr>
        <w:t xml:space="preserve">a foreign proceeding is to be </w:t>
      </w:r>
      <w:r w:rsidR="00CB7E72">
        <w:rPr>
          <w:rFonts w:ascii="Avenir Next" w:hAnsi="Avenir Next" w:cs="Arial"/>
          <w:color w:val="7B7B7B" w:themeColor="accent3" w:themeShade="BF"/>
          <w:sz w:val="22"/>
          <w:szCs w:val="22"/>
          <w:lang w:val="en-GB"/>
        </w:rPr>
        <w:t>recognised</w:t>
      </w:r>
      <w:r w:rsidR="00927594">
        <w:rPr>
          <w:rFonts w:ascii="Avenir Next" w:hAnsi="Avenir Next" w:cs="Arial"/>
          <w:color w:val="7B7B7B" w:themeColor="accent3" w:themeShade="BF"/>
          <w:sz w:val="22"/>
          <w:szCs w:val="22"/>
          <w:lang w:val="en-GB"/>
        </w:rPr>
        <w:t xml:space="preserve"> by a court </w:t>
      </w:r>
      <w:r w:rsidR="00CB7E72">
        <w:rPr>
          <w:rFonts w:ascii="Avenir Next" w:hAnsi="Avenir Next" w:cs="Arial"/>
          <w:color w:val="7B7B7B" w:themeColor="accent3" w:themeShade="BF"/>
          <w:sz w:val="22"/>
          <w:szCs w:val="22"/>
          <w:lang w:val="en-GB"/>
        </w:rPr>
        <w:t>of</w:t>
      </w:r>
      <w:r w:rsidR="00927594">
        <w:rPr>
          <w:rFonts w:ascii="Avenir Next" w:hAnsi="Avenir Next" w:cs="Arial"/>
          <w:color w:val="7B7B7B" w:themeColor="accent3" w:themeShade="BF"/>
          <w:sz w:val="22"/>
          <w:szCs w:val="22"/>
          <w:lang w:val="en-GB"/>
        </w:rPr>
        <w:t xml:space="preserve"> signatory </w:t>
      </w:r>
      <w:r w:rsidR="00CB7E72">
        <w:rPr>
          <w:rFonts w:ascii="Avenir Next" w:hAnsi="Avenir Next" w:cs="Arial"/>
          <w:color w:val="7B7B7B" w:themeColor="accent3" w:themeShade="BF"/>
          <w:sz w:val="22"/>
          <w:szCs w:val="22"/>
          <w:lang w:val="en-GB"/>
        </w:rPr>
        <w:t>country, subject to the following conditions:</w:t>
      </w:r>
    </w:p>
    <w:p w14:paraId="39C6D08B" w14:textId="77777777" w:rsidR="00A25A96" w:rsidRDefault="00A25A96" w:rsidP="00A25A96">
      <w:pPr>
        <w:pStyle w:val="ListParagraph"/>
        <w:ind w:left="426"/>
        <w:jc w:val="both"/>
        <w:rPr>
          <w:rFonts w:ascii="Avenir Next" w:hAnsi="Avenir Next" w:cs="Arial"/>
          <w:color w:val="7B7B7B" w:themeColor="accent3" w:themeShade="BF"/>
          <w:sz w:val="22"/>
          <w:szCs w:val="22"/>
          <w:lang w:val="en-GB"/>
        </w:rPr>
      </w:pPr>
    </w:p>
    <w:p w14:paraId="11F72DB7" w14:textId="733F9057" w:rsidR="00A25A96" w:rsidRDefault="00804BCA" w:rsidP="00A25A96">
      <w:pPr>
        <w:pStyle w:val="ListParagraph"/>
        <w:numPr>
          <w:ilvl w:val="1"/>
          <w:numId w:val="25"/>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Public policy exceptions in a</w:t>
      </w:r>
      <w:r w:rsidR="00A25A96">
        <w:rPr>
          <w:rFonts w:ascii="Avenir Next" w:hAnsi="Avenir Next" w:cs="Arial"/>
          <w:color w:val="7B7B7B" w:themeColor="accent3" w:themeShade="BF"/>
          <w:sz w:val="22"/>
          <w:szCs w:val="22"/>
          <w:lang w:val="en-GB"/>
        </w:rPr>
        <w:t>rticle 6</w:t>
      </w:r>
      <w:r>
        <w:rPr>
          <w:rFonts w:ascii="Avenir Next" w:hAnsi="Avenir Next" w:cs="Arial"/>
          <w:color w:val="7B7B7B" w:themeColor="accent3" w:themeShade="BF"/>
          <w:sz w:val="22"/>
          <w:szCs w:val="22"/>
          <w:lang w:val="en-GB"/>
        </w:rPr>
        <w:t xml:space="preserve"> do not apply </w:t>
      </w:r>
      <w:r w:rsidR="00A7073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A7073A">
        <w:rPr>
          <w:rFonts w:ascii="Avenir Next" w:hAnsi="Avenir Next" w:cs="Arial"/>
          <w:color w:val="7B7B7B" w:themeColor="accent3" w:themeShade="BF"/>
          <w:sz w:val="22"/>
          <w:szCs w:val="22"/>
          <w:lang w:val="en-GB"/>
        </w:rPr>
        <w:t>I assume that such an action is not “</w:t>
      </w:r>
      <w:r w:rsidR="00A7073A" w:rsidRPr="00A7073A">
        <w:rPr>
          <w:rFonts w:ascii="Avenir Next" w:hAnsi="Avenir Next" w:cs="Arial"/>
          <w:i/>
          <w:iCs/>
          <w:color w:val="7B7B7B" w:themeColor="accent3" w:themeShade="BF"/>
          <w:sz w:val="22"/>
          <w:szCs w:val="22"/>
          <w:lang w:val="en-GB"/>
        </w:rPr>
        <w:t>manifestly contrary to the public policy of this State</w:t>
      </w:r>
      <w:r w:rsidR="00A7073A">
        <w:rPr>
          <w:rFonts w:ascii="Avenir Next" w:hAnsi="Avenir Next" w:cs="Arial"/>
          <w:color w:val="7B7B7B" w:themeColor="accent3" w:themeShade="BF"/>
          <w:sz w:val="22"/>
          <w:szCs w:val="22"/>
          <w:lang w:val="en-GB"/>
        </w:rPr>
        <w:t xml:space="preserve">.” </w:t>
      </w:r>
      <w:r w:rsidR="0047537F">
        <w:rPr>
          <w:rFonts w:ascii="Avenir Next" w:hAnsi="Avenir Next" w:cs="Arial"/>
          <w:color w:val="7B7B7B" w:themeColor="accent3" w:themeShade="BF"/>
          <w:sz w:val="22"/>
          <w:szCs w:val="22"/>
          <w:lang w:val="en-GB"/>
        </w:rPr>
        <w:t>I would seek instructions from the Erewhon liquidator as to whether said exception may apply (to their knowledge);</w:t>
      </w:r>
    </w:p>
    <w:p w14:paraId="425AEA3D" w14:textId="77777777" w:rsidR="0047537F" w:rsidRDefault="0047537F" w:rsidP="0047537F">
      <w:pPr>
        <w:pStyle w:val="ListParagraph"/>
        <w:ind w:left="1134"/>
        <w:jc w:val="both"/>
        <w:rPr>
          <w:rFonts w:ascii="Avenir Next" w:hAnsi="Avenir Next" w:cs="Arial"/>
          <w:color w:val="7B7B7B" w:themeColor="accent3" w:themeShade="BF"/>
          <w:sz w:val="22"/>
          <w:szCs w:val="22"/>
          <w:lang w:val="en-GB"/>
        </w:rPr>
      </w:pPr>
    </w:p>
    <w:p w14:paraId="69F7A043" w14:textId="393CFD83" w:rsidR="0047537F" w:rsidRDefault="0086538D" w:rsidP="00A25A96">
      <w:pPr>
        <w:pStyle w:val="ListParagraph"/>
        <w:numPr>
          <w:ilvl w:val="1"/>
          <w:numId w:val="25"/>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foreign proceedings </w:t>
      </w:r>
      <w:r w:rsidR="00D661F1">
        <w:rPr>
          <w:rFonts w:ascii="Avenir Next" w:hAnsi="Avenir Next" w:cs="Arial"/>
          <w:color w:val="7B7B7B" w:themeColor="accent3" w:themeShade="BF"/>
          <w:sz w:val="22"/>
          <w:szCs w:val="22"/>
          <w:lang w:val="en-GB"/>
        </w:rPr>
        <w:t>is (</w:t>
      </w:r>
      <w:r w:rsidR="00D661F1">
        <w:rPr>
          <w:rFonts w:ascii="Avenir Next" w:hAnsi="Avenir Next" w:cs="Arial"/>
          <w:i/>
          <w:iCs/>
          <w:color w:val="7B7B7B" w:themeColor="accent3" w:themeShade="BF"/>
          <w:sz w:val="22"/>
          <w:szCs w:val="22"/>
          <w:lang w:val="en-GB"/>
        </w:rPr>
        <w:t>inter alia</w:t>
      </w:r>
      <w:r w:rsidR="00D661F1">
        <w:rPr>
          <w:rFonts w:ascii="Avenir Next" w:hAnsi="Avenir Next" w:cs="Arial"/>
          <w:color w:val="7B7B7B" w:themeColor="accent3" w:themeShade="BF"/>
          <w:sz w:val="22"/>
          <w:szCs w:val="22"/>
          <w:lang w:val="en-GB"/>
        </w:rPr>
        <w:t>) a ju</w:t>
      </w:r>
      <w:r w:rsidR="006D7BA1">
        <w:rPr>
          <w:rFonts w:ascii="Avenir Next" w:hAnsi="Avenir Next" w:cs="Arial"/>
          <w:color w:val="7B7B7B" w:themeColor="accent3" w:themeShade="BF"/>
          <w:sz w:val="22"/>
          <w:szCs w:val="22"/>
          <w:lang w:val="en-GB"/>
        </w:rPr>
        <w:t xml:space="preserve">dicial proceeding in a foreign country for the purpose of </w:t>
      </w:r>
      <w:r w:rsidR="00A1467C">
        <w:rPr>
          <w:rFonts w:ascii="Avenir Next" w:hAnsi="Avenir Next" w:cs="Arial"/>
          <w:color w:val="7B7B7B" w:themeColor="accent3" w:themeShade="BF"/>
          <w:sz w:val="22"/>
          <w:szCs w:val="22"/>
          <w:lang w:val="en-GB"/>
        </w:rPr>
        <w:t xml:space="preserve">liquidating </w:t>
      </w:r>
      <w:r w:rsidR="003F67D3">
        <w:rPr>
          <w:rFonts w:ascii="Avenir Next" w:hAnsi="Avenir Next" w:cs="Arial"/>
          <w:color w:val="7B7B7B" w:themeColor="accent3" w:themeShade="BF"/>
          <w:sz w:val="22"/>
          <w:szCs w:val="22"/>
          <w:lang w:val="en-GB"/>
        </w:rPr>
        <w:t>and controlling the assets and affairs of a debtor</w:t>
      </w:r>
      <w:r w:rsidR="008A59AC">
        <w:rPr>
          <w:rFonts w:ascii="Avenir Next" w:hAnsi="Avenir Next" w:cs="Arial"/>
          <w:color w:val="7B7B7B" w:themeColor="accent3" w:themeShade="BF"/>
          <w:sz w:val="22"/>
          <w:szCs w:val="22"/>
          <w:lang w:val="en-GB"/>
        </w:rPr>
        <w:t xml:space="preserve"> (pursuant to </w:t>
      </w:r>
      <w:r w:rsidR="00F505BD">
        <w:rPr>
          <w:rFonts w:ascii="Avenir Next" w:hAnsi="Avenir Next" w:cs="Arial"/>
          <w:color w:val="7B7B7B" w:themeColor="accent3" w:themeShade="BF"/>
          <w:sz w:val="22"/>
          <w:szCs w:val="22"/>
          <w:lang w:val="en-GB"/>
        </w:rPr>
        <w:t>article</w:t>
      </w:r>
      <w:r w:rsidR="008A59AC">
        <w:rPr>
          <w:rFonts w:ascii="Avenir Next" w:hAnsi="Avenir Next" w:cs="Arial"/>
          <w:color w:val="7B7B7B" w:themeColor="accent3" w:themeShade="BF"/>
          <w:sz w:val="22"/>
          <w:szCs w:val="22"/>
          <w:lang w:val="en-GB"/>
        </w:rPr>
        <w:t xml:space="preserve"> 2(a))</w:t>
      </w:r>
      <w:r w:rsidR="003F67D3">
        <w:rPr>
          <w:rFonts w:ascii="Avenir Next" w:hAnsi="Avenir Next" w:cs="Arial"/>
          <w:color w:val="7B7B7B" w:themeColor="accent3" w:themeShade="BF"/>
          <w:sz w:val="22"/>
          <w:szCs w:val="22"/>
          <w:lang w:val="en-GB"/>
        </w:rPr>
        <w:t xml:space="preserve">. I </w:t>
      </w:r>
      <w:r w:rsidR="00DA260C">
        <w:rPr>
          <w:rFonts w:ascii="Avenir Next" w:hAnsi="Avenir Next" w:cs="Arial"/>
          <w:color w:val="7B7B7B" w:themeColor="accent3" w:themeShade="BF"/>
          <w:sz w:val="22"/>
          <w:szCs w:val="22"/>
          <w:lang w:val="en-GB"/>
        </w:rPr>
        <w:t>assume that Erewhon court wind</w:t>
      </w:r>
      <w:r w:rsidR="003707AE">
        <w:rPr>
          <w:rFonts w:ascii="Avenir Next" w:hAnsi="Avenir Next" w:cs="Arial"/>
          <w:color w:val="7B7B7B" w:themeColor="accent3" w:themeShade="BF"/>
          <w:sz w:val="22"/>
          <w:szCs w:val="22"/>
          <w:lang w:val="en-GB"/>
        </w:rPr>
        <w:t>ing-up order was pursuant to an insolvency proceedings. I would seek a copy of the winding-up order from</w:t>
      </w:r>
      <w:r w:rsidR="003F67D3">
        <w:rPr>
          <w:rFonts w:ascii="Avenir Next" w:hAnsi="Avenir Next" w:cs="Arial"/>
          <w:color w:val="7B7B7B" w:themeColor="accent3" w:themeShade="BF"/>
          <w:sz w:val="22"/>
          <w:szCs w:val="22"/>
          <w:lang w:val="en-GB"/>
        </w:rPr>
        <w:t xml:space="preserve"> </w:t>
      </w:r>
      <w:r w:rsidR="003707AE">
        <w:rPr>
          <w:rFonts w:ascii="Avenir Next" w:hAnsi="Avenir Next" w:cs="Arial"/>
          <w:color w:val="7B7B7B" w:themeColor="accent3" w:themeShade="BF"/>
          <w:sz w:val="22"/>
          <w:szCs w:val="22"/>
          <w:lang w:val="en-GB"/>
        </w:rPr>
        <w:t>the Erewhon liquidator or from the relevant court registry service in Erewhon;</w:t>
      </w:r>
    </w:p>
    <w:p w14:paraId="79D80F66" w14:textId="77777777" w:rsidR="003707AE" w:rsidRPr="003707AE" w:rsidRDefault="003707AE" w:rsidP="003707AE">
      <w:pPr>
        <w:pStyle w:val="ListParagraph"/>
        <w:rPr>
          <w:rFonts w:ascii="Avenir Next" w:hAnsi="Avenir Next" w:cs="Arial"/>
          <w:color w:val="7B7B7B" w:themeColor="accent3" w:themeShade="BF"/>
          <w:sz w:val="22"/>
          <w:szCs w:val="22"/>
          <w:lang w:val="en-GB"/>
        </w:rPr>
      </w:pPr>
    </w:p>
    <w:p w14:paraId="6C14ED14" w14:textId="3B6D5DA8" w:rsidR="003707AE" w:rsidRDefault="00A11760" w:rsidP="00A25A96">
      <w:pPr>
        <w:pStyle w:val="ListParagraph"/>
        <w:numPr>
          <w:ilvl w:val="1"/>
          <w:numId w:val="25"/>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person applying for recognition is a </w:t>
      </w:r>
      <w:r w:rsidR="001A7B60">
        <w:rPr>
          <w:rFonts w:ascii="Avenir Next" w:hAnsi="Avenir Next" w:cs="Arial"/>
          <w:color w:val="7B7B7B" w:themeColor="accent3" w:themeShade="BF"/>
          <w:sz w:val="22"/>
          <w:szCs w:val="22"/>
          <w:lang w:val="en-GB"/>
        </w:rPr>
        <w:t xml:space="preserve">foreign representative within the meaning of </w:t>
      </w:r>
      <w:r w:rsidR="00F505BD">
        <w:rPr>
          <w:rFonts w:ascii="Avenir Next" w:hAnsi="Avenir Next" w:cs="Arial"/>
          <w:color w:val="7B7B7B" w:themeColor="accent3" w:themeShade="BF"/>
          <w:sz w:val="22"/>
          <w:szCs w:val="22"/>
          <w:lang w:val="en-GB"/>
        </w:rPr>
        <w:t>article</w:t>
      </w:r>
      <w:r w:rsidR="001A7B60">
        <w:rPr>
          <w:rFonts w:ascii="Avenir Next" w:hAnsi="Avenir Next" w:cs="Arial"/>
          <w:color w:val="7B7B7B" w:themeColor="accent3" w:themeShade="BF"/>
          <w:sz w:val="22"/>
          <w:szCs w:val="22"/>
          <w:lang w:val="en-GB"/>
        </w:rPr>
        <w:t xml:space="preserve"> 2(d). I assume that the Erewhon liquidator </w:t>
      </w:r>
      <w:r w:rsidR="00EE7D7C">
        <w:rPr>
          <w:rFonts w:ascii="Avenir Next" w:hAnsi="Avenir Next" w:cs="Arial"/>
          <w:color w:val="7B7B7B" w:themeColor="accent3" w:themeShade="BF"/>
          <w:sz w:val="22"/>
          <w:szCs w:val="22"/>
          <w:lang w:val="en-GB"/>
        </w:rPr>
        <w:t xml:space="preserve">is authorised in Erewhon to administer the liquidation. I would seek all relevant licensing paperwork available </w:t>
      </w:r>
      <w:r w:rsidR="00733F31">
        <w:rPr>
          <w:rFonts w:ascii="Avenir Next" w:hAnsi="Avenir Next" w:cs="Arial"/>
          <w:color w:val="7B7B7B" w:themeColor="accent3" w:themeShade="BF"/>
          <w:sz w:val="22"/>
          <w:szCs w:val="22"/>
          <w:lang w:val="en-GB"/>
        </w:rPr>
        <w:t xml:space="preserve">from the Erewhon liquidator, </w:t>
      </w:r>
      <w:r w:rsidR="00F735B7">
        <w:rPr>
          <w:rFonts w:ascii="Avenir Next" w:hAnsi="Avenir Next" w:cs="Arial"/>
          <w:color w:val="7B7B7B" w:themeColor="accent3" w:themeShade="BF"/>
          <w:sz w:val="22"/>
          <w:szCs w:val="22"/>
          <w:lang w:val="en-GB"/>
        </w:rPr>
        <w:t>or, if no such paperwork is available,</w:t>
      </w:r>
      <w:r w:rsidR="00733F31">
        <w:rPr>
          <w:rFonts w:ascii="Avenir Next" w:hAnsi="Avenir Next" w:cs="Arial"/>
          <w:color w:val="7B7B7B" w:themeColor="accent3" w:themeShade="BF"/>
          <w:sz w:val="22"/>
          <w:szCs w:val="22"/>
          <w:lang w:val="en-GB"/>
        </w:rPr>
        <w:t xml:space="preserve"> conduct investigations </w:t>
      </w:r>
      <w:r w:rsidR="00F735B7">
        <w:rPr>
          <w:rFonts w:ascii="Avenir Next" w:hAnsi="Avenir Next" w:cs="Arial"/>
          <w:color w:val="7B7B7B" w:themeColor="accent3" w:themeShade="BF"/>
          <w:sz w:val="22"/>
          <w:szCs w:val="22"/>
          <w:lang w:val="en-GB"/>
        </w:rPr>
        <w:t xml:space="preserve">into the </w:t>
      </w:r>
      <w:r w:rsidR="001E4050">
        <w:rPr>
          <w:rFonts w:ascii="Avenir Next" w:hAnsi="Avenir Next" w:cs="Arial"/>
          <w:color w:val="7B7B7B" w:themeColor="accent3" w:themeShade="BF"/>
          <w:sz w:val="22"/>
          <w:szCs w:val="22"/>
          <w:lang w:val="en-GB"/>
        </w:rPr>
        <w:t>Erewhon’s regulatory and licensing obligations</w:t>
      </w:r>
      <w:r w:rsidR="00C63E68">
        <w:rPr>
          <w:rFonts w:ascii="Avenir Next" w:hAnsi="Avenir Next" w:cs="Arial"/>
          <w:color w:val="7B7B7B" w:themeColor="accent3" w:themeShade="BF"/>
          <w:sz w:val="22"/>
          <w:szCs w:val="22"/>
          <w:lang w:val="en-GB"/>
        </w:rPr>
        <w:t xml:space="preserve">. I note that </w:t>
      </w:r>
      <w:r w:rsidR="00F505BD">
        <w:rPr>
          <w:rFonts w:ascii="Avenir Next" w:hAnsi="Avenir Next" w:cs="Arial"/>
          <w:color w:val="7B7B7B" w:themeColor="accent3" w:themeShade="BF"/>
          <w:sz w:val="22"/>
          <w:szCs w:val="22"/>
          <w:lang w:val="en-GB"/>
        </w:rPr>
        <w:t>article</w:t>
      </w:r>
      <w:r w:rsidR="00C63E68">
        <w:rPr>
          <w:rFonts w:ascii="Avenir Next" w:hAnsi="Avenir Next" w:cs="Arial"/>
          <w:color w:val="7B7B7B" w:themeColor="accent3" w:themeShade="BF"/>
          <w:sz w:val="22"/>
          <w:szCs w:val="22"/>
          <w:lang w:val="en-GB"/>
        </w:rPr>
        <w:t xml:space="preserve"> 16(2) provides that the Utopia court is entitled to presume </w:t>
      </w:r>
      <w:r w:rsidR="008A0BC2">
        <w:rPr>
          <w:rFonts w:ascii="Avenir Next" w:hAnsi="Avenir Next" w:cs="Arial"/>
          <w:color w:val="7B7B7B" w:themeColor="accent3" w:themeShade="BF"/>
          <w:sz w:val="22"/>
          <w:szCs w:val="22"/>
          <w:lang w:val="en-GB"/>
        </w:rPr>
        <w:t>that any licensing paperwork is authentic</w:t>
      </w:r>
      <w:r w:rsidR="007D2A7B">
        <w:rPr>
          <w:rFonts w:ascii="Avenir Next" w:hAnsi="Avenir Next" w:cs="Arial"/>
          <w:color w:val="7B7B7B" w:themeColor="accent3" w:themeShade="BF"/>
          <w:sz w:val="22"/>
          <w:szCs w:val="22"/>
          <w:lang w:val="en-GB"/>
        </w:rPr>
        <w:t>;</w:t>
      </w:r>
    </w:p>
    <w:p w14:paraId="1AD9559C" w14:textId="77777777" w:rsidR="007D2A7B" w:rsidRPr="007D2A7B" w:rsidRDefault="007D2A7B" w:rsidP="007D2A7B">
      <w:pPr>
        <w:pStyle w:val="ListParagraph"/>
        <w:rPr>
          <w:rFonts w:ascii="Avenir Next" w:hAnsi="Avenir Next" w:cs="Arial"/>
          <w:color w:val="7B7B7B" w:themeColor="accent3" w:themeShade="BF"/>
          <w:sz w:val="22"/>
          <w:szCs w:val="22"/>
          <w:lang w:val="en-GB"/>
        </w:rPr>
      </w:pPr>
    </w:p>
    <w:p w14:paraId="22BF2ACA" w14:textId="152AF7C8" w:rsidR="007D2A7B" w:rsidRDefault="007D2A7B" w:rsidP="00A25A96">
      <w:pPr>
        <w:pStyle w:val="ListParagraph"/>
        <w:numPr>
          <w:ilvl w:val="1"/>
          <w:numId w:val="25"/>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2A59D2">
        <w:rPr>
          <w:rFonts w:ascii="Avenir Next" w:hAnsi="Avenir Next" w:cs="Arial"/>
          <w:color w:val="7B7B7B" w:themeColor="accent3" w:themeShade="BF"/>
          <w:sz w:val="22"/>
          <w:szCs w:val="22"/>
          <w:lang w:val="en-GB"/>
        </w:rPr>
        <w:t xml:space="preserve">Erewhon liquidator is capable of providing </w:t>
      </w:r>
      <w:r w:rsidR="00796AF5">
        <w:rPr>
          <w:rFonts w:ascii="Avenir Next" w:hAnsi="Avenir Next" w:cs="Arial"/>
          <w:color w:val="7B7B7B" w:themeColor="accent3" w:themeShade="BF"/>
          <w:sz w:val="22"/>
          <w:szCs w:val="22"/>
          <w:lang w:val="en-GB"/>
        </w:rPr>
        <w:t>(</w:t>
      </w:r>
      <w:r w:rsidR="00796AF5">
        <w:rPr>
          <w:rFonts w:ascii="Avenir Next" w:hAnsi="Avenir Next" w:cs="Arial"/>
          <w:i/>
          <w:iCs/>
          <w:color w:val="7B7B7B" w:themeColor="accent3" w:themeShade="BF"/>
          <w:sz w:val="22"/>
          <w:szCs w:val="22"/>
          <w:lang w:val="en-GB"/>
        </w:rPr>
        <w:t xml:space="preserve">inter </w:t>
      </w:r>
      <w:r w:rsidR="00796AF5" w:rsidRPr="00796AF5">
        <w:rPr>
          <w:rFonts w:ascii="Avenir Next" w:hAnsi="Avenir Next" w:cs="Arial"/>
          <w:i/>
          <w:iCs/>
          <w:color w:val="7B7B7B" w:themeColor="accent3" w:themeShade="BF"/>
          <w:sz w:val="22"/>
          <w:szCs w:val="22"/>
          <w:lang w:val="en-GB"/>
        </w:rPr>
        <w:t>alia</w:t>
      </w:r>
      <w:r w:rsidR="00796AF5">
        <w:rPr>
          <w:rFonts w:ascii="Avenir Next" w:hAnsi="Avenir Next" w:cs="Arial"/>
          <w:color w:val="7B7B7B" w:themeColor="accent3" w:themeShade="BF"/>
          <w:sz w:val="22"/>
          <w:szCs w:val="22"/>
          <w:lang w:val="en-GB"/>
        </w:rPr>
        <w:t xml:space="preserve">) </w:t>
      </w:r>
      <w:r w:rsidR="002A59D2" w:rsidRPr="00796AF5">
        <w:rPr>
          <w:rFonts w:ascii="Avenir Next" w:hAnsi="Avenir Next" w:cs="Arial"/>
          <w:color w:val="7B7B7B" w:themeColor="accent3" w:themeShade="BF"/>
          <w:sz w:val="22"/>
          <w:szCs w:val="22"/>
          <w:lang w:val="en-GB"/>
        </w:rPr>
        <w:t>a</w:t>
      </w:r>
      <w:r w:rsidR="002A59D2">
        <w:rPr>
          <w:rFonts w:ascii="Avenir Next" w:hAnsi="Avenir Next" w:cs="Arial"/>
          <w:color w:val="7B7B7B" w:themeColor="accent3" w:themeShade="BF"/>
          <w:sz w:val="22"/>
          <w:szCs w:val="22"/>
          <w:lang w:val="en-GB"/>
        </w:rPr>
        <w:t xml:space="preserve"> </w:t>
      </w:r>
      <w:r w:rsidR="00BA7E64">
        <w:rPr>
          <w:rFonts w:ascii="Avenir Next" w:hAnsi="Avenir Next" w:cs="Arial"/>
          <w:color w:val="7B7B7B" w:themeColor="accent3" w:themeShade="BF"/>
          <w:sz w:val="22"/>
          <w:szCs w:val="22"/>
          <w:lang w:val="en-GB"/>
        </w:rPr>
        <w:t>certified copy of the Erewhon court winding-up order</w:t>
      </w:r>
      <w:r w:rsidR="00796AF5">
        <w:rPr>
          <w:rFonts w:ascii="Avenir Next" w:hAnsi="Avenir Next" w:cs="Arial"/>
          <w:color w:val="7B7B7B" w:themeColor="accent3" w:themeShade="BF"/>
          <w:sz w:val="22"/>
          <w:szCs w:val="22"/>
          <w:lang w:val="en-GB"/>
        </w:rPr>
        <w:t xml:space="preserve"> within the meaning of </w:t>
      </w:r>
      <w:r w:rsidR="00F505BD">
        <w:rPr>
          <w:rFonts w:ascii="Avenir Next" w:hAnsi="Avenir Next" w:cs="Arial"/>
          <w:color w:val="7B7B7B" w:themeColor="accent3" w:themeShade="BF"/>
          <w:sz w:val="22"/>
          <w:szCs w:val="22"/>
          <w:lang w:val="en-GB"/>
        </w:rPr>
        <w:t>article</w:t>
      </w:r>
      <w:r w:rsidR="00796AF5">
        <w:rPr>
          <w:rFonts w:ascii="Avenir Next" w:hAnsi="Avenir Next" w:cs="Arial"/>
          <w:color w:val="7B7B7B" w:themeColor="accent3" w:themeShade="BF"/>
          <w:sz w:val="22"/>
          <w:szCs w:val="22"/>
          <w:lang w:val="en-GB"/>
        </w:rPr>
        <w:t xml:space="preserve"> 15(2)</w:t>
      </w:r>
      <w:r w:rsidR="000313D3">
        <w:rPr>
          <w:rFonts w:ascii="Avenir Next" w:hAnsi="Avenir Next" w:cs="Arial"/>
          <w:color w:val="7B7B7B" w:themeColor="accent3" w:themeShade="BF"/>
          <w:sz w:val="22"/>
          <w:szCs w:val="22"/>
          <w:lang w:val="en-GB"/>
        </w:rPr>
        <w:t xml:space="preserve">. I would seek a copy of the </w:t>
      </w:r>
      <w:r w:rsidR="000313D3">
        <w:rPr>
          <w:rFonts w:ascii="Avenir Next" w:hAnsi="Avenir Next" w:cs="Arial"/>
          <w:color w:val="7B7B7B" w:themeColor="accent3" w:themeShade="BF"/>
          <w:sz w:val="22"/>
          <w:szCs w:val="22"/>
          <w:lang w:val="en-GB"/>
        </w:rPr>
        <w:lastRenderedPageBreak/>
        <w:t>winding-up order</w:t>
      </w:r>
      <w:r w:rsidR="00FF4D2D">
        <w:rPr>
          <w:rFonts w:ascii="Avenir Next" w:hAnsi="Avenir Next" w:cs="Arial"/>
          <w:color w:val="7B7B7B" w:themeColor="accent3" w:themeShade="BF"/>
          <w:sz w:val="22"/>
          <w:szCs w:val="22"/>
          <w:lang w:val="en-GB"/>
        </w:rPr>
        <w:t xml:space="preserve">. I note </w:t>
      </w:r>
      <w:r w:rsidR="00EB2AA1">
        <w:rPr>
          <w:rFonts w:ascii="Avenir Next" w:hAnsi="Avenir Next" w:cs="Arial"/>
          <w:color w:val="7B7B7B" w:themeColor="accent3" w:themeShade="BF"/>
          <w:sz w:val="22"/>
          <w:szCs w:val="22"/>
          <w:lang w:val="en-GB"/>
        </w:rPr>
        <w:t xml:space="preserve">the presumptions available to the Utopian court in relation to this </w:t>
      </w:r>
      <w:r w:rsidR="008A3DB2">
        <w:rPr>
          <w:rFonts w:ascii="Avenir Next" w:hAnsi="Avenir Next" w:cs="Arial"/>
          <w:color w:val="7B7B7B" w:themeColor="accent3" w:themeShade="BF"/>
          <w:sz w:val="22"/>
          <w:szCs w:val="22"/>
          <w:lang w:val="en-GB"/>
        </w:rPr>
        <w:t>requirement in</w:t>
      </w:r>
      <w:r w:rsidR="00EB2AA1">
        <w:rPr>
          <w:rFonts w:ascii="Avenir Next" w:hAnsi="Avenir Next" w:cs="Arial"/>
          <w:color w:val="7B7B7B" w:themeColor="accent3" w:themeShade="BF"/>
          <w:sz w:val="22"/>
          <w:szCs w:val="22"/>
          <w:lang w:val="en-GB"/>
        </w:rPr>
        <w:t xml:space="preserve"> </w:t>
      </w:r>
      <w:r w:rsidR="00FF4D2D">
        <w:rPr>
          <w:rFonts w:ascii="Avenir Next" w:hAnsi="Avenir Next" w:cs="Arial"/>
          <w:color w:val="7B7B7B" w:themeColor="accent3" w:themeShade="BF"/>
          <w:sz w:val="22"/>
          <w:szCs w:val="22"/>
          <w:lang w:val="en-GB"/>
        </w:rPr>
        <w:t>article 16(1)</w:t>
      </w:r>
      <w:r w:rsidR="000313D3">
        <w:rPr>
          <w:rFonts w:ascii="Avenir Next" w:hAnsi="Avenir Next" w:cs="Arial"/>
          <w:color w:val="7B7B7B" w:themeColor="accent3" w:themeShade="BF"/>
          <w:sz w:val="22"/>
          <w:szCs w:val="22"/>
          <w:lang w:val="en-GB"/>
        </w:rPr>
        <w:t>;</w:t>
      </w:r>
      <w:r w:rsidR="00886EEF">
        <w:rPr>
          <w:rFonts w:ascii="Avenir Next" w:hAnsi="Avenir Next" w:cs="Arial"/>
          <w:color w:val="7B7B7B" w:themeColor="accent3" w:themeShade="BF"/>
          <w:sz w:val="22"/>
          <w:szCs w:val="22"/>
          <w:lang w:val="en-GB"/>
        </w:rPr>
        <w:t xml:space="preserve"> and</w:t>
      </w:r>
    </w:p>
    <w:p w14:paraId="2C70790B" w14:textId="77777777" w:rsidR="0096467B" w:rsidRPr="0096467B" w:rsidRDefault="0096467B" w:rsidP="0096467B">
      <w:pPr>
        <w:jc w:val="both"/>
        <w:rPr>
          <w:rFonts w:ascii="Avenir Next" w:hAnsi="Avenir Next" w:cs="Arial"/>
          <w:color w:val="7B7B7B" w:themeColor="accent3" w:themeShade="BF"/>
          <w:sz w:val="22"/>
          <w:szCs w:val="22"/>
          <w:lang w:val="en-GB"/>
        </w:rPr>
      </w:pPr>
    </w:p>
    <w:p w14:paraId="59C2A66B" w14:textId="25AFC889" w:rsidR="000313D3" w:rsidRDefault="00A245DB" w:rsidP="00A25A96">
      <w:pPr>
        <w:pStyle w:val="ListParagraph"/>
        <w:numPr>
          <w:ilvl w:val="1"/>
          <w:numId w:val="25"/>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Erewhon liquidator has filed in the appropriate court in Utopia, within the meaning of </w:t>
      </w:r>
      <w:r w:rsidR="00F505BD">
        <w:rPr>
          <w:rFonts w:ascii="Avenir Next" w:hAnsi="Avenir Next" w:cs="Arial"/>
          <w:color w:val="7B7B7B" w:themeColor="accent3" w:themeShade="BF"/>
          <w:sz w:val="22"/>
          <w:szCs w:val="22"/>
          <w:lang w:val="en-GB"/>
        </w:rPr>
        <w:t xml:space="preserve">article 4. </w:t>
      </w:r>
      <w:r w:rsidR="00380BF4">
        <w:rPr>
          <w:rFonts w:ascii="Avenir Next" w:hAnsi="Avenir Next" w:cs="Arial"/>
          <w:color w:val="7B7B7B" w:themeColor="accent3" w:themeShade="BF"/>
          <w:sz w:val="22"/>
          <w:szCs w:val="22"/>
          <w:lang w:val="en-GB"/>
        </w:rPr>
        <w:t xml:space="preserve">I need further information on the facts to determine </w:t>
      </w:r>
      <w:r w:rsidR="00587A3D">
        <w:rPr>
          <w:rFonts w:ascii="Avenir Next" w:hAnsi="Avenir Next" w:cs="Arial"/>
          <w:color w:val="7B7B7B" w:themeColor="accent3" w:themeShade="BF"/>
          <w:sz w:val="22"/>
          <w:szCs w:val="22"/>
          <w:lang w:val="en-GB"/>
        </w:rPr>
        <w:t>which court in Utopia</w:t>
      </w:r>
      <w:r w:rsidR="00380BF4">
        <w:rPr>
          <w:rFonts w:ascii="Avenir Next" w:hAnsi="Avenir Next" w:cs="Arial"/>
          <w:color w:val="7B7B7B" w:themeColor="accent3" w:themeShade="BF"/>
          <w:sz w:val="22"/>
          <w:szCs w:val="22"/>
          <w:lang w:val="en-GB"/>
        </w:rPr>
        <w:t xml:space="preserve"> </w:t>
      </w:r>
      <w:r w:rsidR="00587A3D">
        <w:rPr>
          <w:rFonts w:ascii="Avenir Next" w:hAnsi="Avenir Next" w:cs="Arial"/>
          <w:color w:val="7B7B7B" w:themeColor="accent3" w:themeShade="BF"/>
          <w:sz w:val="22"/>
          <w:szCs w:val="22"/>
          <w:lang w:val="en-GB"/>
        </w:rPr>
        <w:t>the Erewhon liquidator is required to file in.</w:t>
      </w:r>
    </w:p>
    <w:p w14:paraId="1E56DBC8" w14:textId="77777777" w:rsidR="00A25A96" w:rsidRDefault="00A25A96" w:rsidP="00A25A96">
      <w:pPr>
        <w:pStyle w:val="ListParagraph"/>
        <w:ind w:left="1134"/>
        <w:jc w:val="both"/>
        <w:rPr>
          <w:rFonts w:ascii="Avenir Next" w:hAnsi="Avenir Next" w:cs="Arial"/>
          <w:color w:val="7B7B7B" w:themeColor="accent3" w:themeShade="BF"/>
          <w:sz w:val="22"/>
          <w:szCs w:val="22"/>
          <w:lang w:val="en-GB"/>
        </w:rPr>
      </w:pPr>
    </w:p>
    <w:p w14:paraId="6F9D5699" w14:textId="611736B3" w:rsidR="00CB7E72" w:rsidRDefault="00587A3D" w:rsidP="00A25A96">
      <w:pPr>
        <w:pStyle w:val="ListParagraph"/>
        <w:numPr>
          <w:ilvl w:val="0"/>
          <w:numId w:val="25"/>
        </w:numPr>
        <w:ind w:left="426" w:hanging="426"/>
        <w:jc w:val="both"/>
        <w:rPr>
          <w:rFonts w:ascii="Avenir Next" w:hAnsi="Avenir Next" w:cs="Arial"/>
          <w:color w:val="7B7B7B" w:themeColor="accent3" w:themeShade="BF"/>
          <w:sz w:val="22"/>
          <w:szCs w:val="22"/>
          <w:lang w:val="en-GB"/>
        </w:rPr>
      </w:pPr>
      <w:r w:rsidRPr="008B2B86">
        <w:rPr>
          <w:rFonts w:ascii="Avenir Next" w:hAnsi="Avenir Next" w:cs="Arial"/>
          <w:color w:val="7B7B7B" w:themeColor="accent3" w:themeShade="BF"/>
          <w:sz w:val="22"/>
          <w:szCs w:val="22"/>
          <w:lang w:val="en-GB"/>
        </w:rPr>
        <w:t xml:space="preserve">Pursuant </w:t>
      </w:r>
      <w:r>
        <w:rPr>
          <w:rFonts w:ascii="Avenir Next" w:hAnsi="Avenir Next" w:cs="Arial"/>
          <w:color w:val="7B7B7B" w:themeColor="accent3" w:themeShade="BF"/>
          <w:sz w:val="22"/>
          <w:szCs w:val="22"/>
          <w:lang w:val="en-GB"/>
        </w:rPr>
        <w:t>to article 17(</w:t>
      </w:r>
      <w:r w:rsidR="007C60E2">
        <w:rPr>
          <w:rFonts w:ascii="Avenir Next" w:hAnsi="Avenir Next" w:cs="Arial"/>
          <w:color w:val="7B7B7B" w:themeColor="accent3" w:themeShade="BF"/>
          <w:sz w:val="22"/>
          <w:szCs w:val="22"/>
          <w:lang w:val="en-GB"/>
        </w:rPr>
        <w:t>2</w:t>
      </w:r>
      <w:r>
        <w:rPr>
          <w:rFonts w:ascii="Avenir Next" w:hAnsi="Avenir Next" w:cs="Arial"/>
          <w:color w:val="7B7B7B" w:themeColor="accent3" w:themeShade="BF"/>
          <w:sz w:val="22"/>
          <w:szCs w:val="22"/>
          <w:lang w:val="en-GB"/>
        </w:rPr>
        <w:t>) of the Model Law</w:t>
      </w:r>
      <w:r w:rsidR="007C60E2">
        <w:rPr>
          <w:rFonts w:ascii="Avenir Next" w:hAnsi="Avenir Next" w:cs="Arial"/>
          <w:color w:val="7B7B7B" w:themeColor="accent3" w:themeShade="BF"/>
          <w:sz w:val="22"/>
          <w:szCs w:val="22"/>
          <w:lang w:val="en-GB"/>
        </w:rPr>
        <w:t>,</w:t>
      </w:r>
      <w:r w:rsidR="0096467B">
        <w:rPr>
          <w:rStyle w:val="FootnoteReference"/>
          <w:rFonts w:ascii="Avenir Next" w:hAnsi="Avenir Next" w:cs="Arial"/>
          <w:color w:val="7B7B7B" w:themeColor="accent3" w:themeShade="BF"/>
          <w:sz w:val="22"/>
          <w:szCs w:val="22"/>
          <w:lang w:val="en-GB"/>
        </w:rPr>
        <w:footnoteReference w:id="35"/>
      </w:r>
      <w:r w:rsidR="007C60E2">
        <w:rPr>
          <w:rFonts w:ascii="Avenir Next" w:hAnsi="Avenir Next" w:cs="Arial"/>
          <w:color w:val="7B7B7B" w:themeColor="accent3" w:themeShade="BF"/>
          <w:sz w:val="22"/>
          <w:szCs w:val="22"/>
          <w:lang w:val="en-GB"/>
        </w:rPr>
        <w:t xml:space="preserve"> assuming article 17(1) (as explained above) has been satisfied, </w:t>
      </w:r>
      <w:r w:rsidR="007D3D48">
        <w:rPr>
          <w:rFonts w:ascii="Avenir Next" w:hAnsi="Avenir Next" w:cs="Arial"/>
          <w:color w:val="7B7B7B" w:themeColor="accent3" w:themeShade="BF"/>
          <w:sz w:val="22"/>
          <w:szCs w:val="22"/>
          <w:lang w:val="en-GB"/>
        </w:rPr>
        <w:t>then the foreign proceeding is recognised as a:</w:t>
      </w:r>
    </w:p>
    <w:p w14:paraId="0B3E0360" w14:textId="77777777" w:rsidR="007D3D48" w:rsidRDefault="007D3D48" w:rsidP="007D3D48">
      <w:pPr>
        <w:pStyle w:val="ListParagraph"/>
        <w:ind w:left="426"/>
        <w:jc w:val="both"/>
        <w:rPr>
          <w:rFonts w:ascii="Avenir Next" w:hAnsi="Avenir Next" w:cs="Arial"/>
          <w:color w:val="7B7B7B" w:themeColor="accent3" w:themeShade="BF"/>
          <w:sz w:val="22"/>
          <w:szCs w:val="22"/>
          <w:lang w:val="en-GB"/>
        </w:rPr>
      </w:pPr>
    </w:p>
    <w:p w14:paraId="41F8C910" w14:textId="18E2A2A0" w:rsidR="00B62C38" w:rsidRDefault="007D3D48" w:rsidP="00B62C38">
      <w:pPr>
        <w:pStyle w:val="ListParagraph"/>
        <w:numPr>
          <w:ilvl w:val="1"/>
          <w:numId w:val="25"/>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Foreign main proceeding</w:t>
      </w:r>
      <w:r w:rsidR="005257B4">
        <w:rPr>
          <w:rFonts w:ascii="Avenir Next" w:hAnsi="Avenir Next" w:cs="Arial"/>
          <w:color w:val="7B7B7B" w:themeColor="accent3" w:themeShade="BF"/>
          <w:sz w:val="22"/>
          <w:szCs w:val="22"/>
          <w:lang w:val="en-GB"/>
        </w:rPr>
        <w:t xml:space="preserve"> </w:t>
      </w:r>
      <w:r w:rsidR="00CE6527">
        <w:rPr>
          <w:rFonts w:ascii="Avenir Next" w:hAnsi="Avenir Next" w:cs="Arial"/>
          <w:color w:val="7B7B7B" w:themeColor="accent3" w:themeShade="BF"/>
          <w:sz w:val="22"/>
          <w:szCs w:val="22"/>
          <w:lang w:val="en-GB"/>
        </w:rPr>
        <w:t>–</w:t>
      </w:r>
      <w:r w:rsidR="005257B4">
        <w:rPr>
          <w:rFonts w:ascii="Avenir Next" w:hAnsi="Avenir Next" w:cs="Arial"/>
          <w:color w:val="7B7B7B" w:themeColor="accent3" w:themeShade="BF"/>
          <w:sz w:val="22"/>
          <w:szCs w:val="22"/>
          <w:lang w:val="en-GB"/>
        </w:rPr>
        <w:t xml:space="preserve"> </w:t>
      </w:r>
      <w:r w:rsidR="00CE6527">
        <w:rPr>
          <w:rFonts w:ascii="Avenir Next" w:hAnsi="Avenir Next" w:cs="Arial"/>
          <w:color w:val="7B7B7B" w:themeColor="accent3" w:themeShade="BF"/>
          <w:sz w:val="22"/>
          <w:szCs w:val="22"/>
          <w:lang w:val="en-GB"/>
        </w:rPr>
        <w:t xml:space="preserve">if </w:t>
      </w:r>
      <w:r w:rsidR="00C02C99">
        <w:rPr>
          <w:rFonts w:ascii="Avenir Next" w:hAnsi="Avenir Next" w:cs="Arial"/>
          <w:color w:val="7B7B7B" w:themeColor="accent3" w:themeShade="BF"/>
          <w:sz w:val="22"/>
          <w:szCs w:val="22"/>
          <w:lang w:val="en-GB"/>
        </w:rPr>
        <w:t xml:space="preserve">the court order in </w:t>
      </w:r>
      <w:r w:rsidR="00CE6527">
        <w:rPr>
          <w:rFonts w:ascii="Avenir Next" w:hAnsi="Avenir Next" w:cs="Arial"/>
          <w:color w:val="7B7B7B" w:themeColor="accent3" w:themeShade="BF"/>
          <w:sz w:val="22"/>
          <w:szCs w:val="22"/>
          <w:lang w:val="en-GB"/>
        </w:rPr>
        <w:t xml:space="preserve">Erewhon is the </w:t>
      </w:r>
      <w:r w:rsidR="00C02C99">
        <w:rPr>
          <w:rFonts w:ascii="Avenir Next" w:hAnsi="Avenir Next" w:cs="Arial"/>
          <w:color w:val="7B7B7B" w:themeColor="accent3" w:themeShade="BF"/>
          <w:sz w:val="22"/>
          <w:szCs w:val="22"/>
          <w:lang w:val="en-GB"/>
        </w:rPr>
        <w:t xml:space="preserve">centre of Nadir’s </w:t>
      </w:r>
      <w:r w:rsidR="006567FF">
        <w:rPr>
          <w:rFonts w:ascii="Avenir Next" w:hAnsi="Avenir Next" w:cs="Arial"/>
          <w:color w:val="7B7B7B" w:themeColor="accent3" w:themeShade="BF"/>
          <w:sz w:val="22"/>
          <w:szCs w:val="22"/>
          <w:lang w:val="en-GB"/>
        </w:rPr>
        <w:t>main interests</w:t>
      </w:r>
      <w:r w:rsidR="00B62C38">
        <w:rPr>
          <w:rFonts w:ascii="Avenir Next" w:hAnsi="Avenir Next" w:cs="Arial"/>
          <w:color w:val="7B7B7B" w:themeColor="accent3" w:themeShade="BF"/>
          <w:sz w:val="22"/>
          <w:szCs w:val="22"/>
          <w:lang w:val="en-GB"/>
        </w:rPr>
        <w:t xml:space="preserve">; </w:t>
      </w:r>
      <w:r w:rsidR="00495848">
        <w:rPr>
          <w:rFonts w:ascii="Avenir Next" w:hAnsi="Avenir Next" w:cs="Arial"/>
          <w:color w:val="7B7B7B" w:themeColor="accent3" w:themeShade="BF"/>
          <w:sz w:val="22"/>
          <w:szCs w:val="22"/>
          <w:lang w:val="en-GB"/>
        </w:rPr>
        <w:t>or</w:t>
      </w:r>
    </w:p>
    <w:p w14:paraId="42B94D8E" w14:textId="77777777" w:rsidR="00B62C38" w:rsidRDefault="00B62C38" w:rsidP="00B62C38">
      <w:pPr>
        <w:pStyle w:val="ListParagraph"/>
        <w:ind w:left="1134"/>
        <w:jc w:val="both"/>
        <w:rPr>
          <w:rFonts w:ascii="Avenir Next" w:hAnsi="Avenir Next" w:cs="Arial"/>
          <w:color w:val="7B7B7B" w:themeColor="accent3" w:themeShade="BF"/>
          <w:sz w:val="22"/>
          <w:szCs w:val="22"/>
          <w:lang w:val="en-GB"/>
        </w:rPr>
      </w:pPr>
    </w:p>
    <w:p w14:paraId="44F9BBE1" w14:textId="50021A0E" w:rsidR="00495848" w:rsidRDefault="00480136" w:rsidP="00B62C38">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article 16(3), the centre of main interest</w:t>
      </w:r>
      <w:r w:rsidR="00A95DE9">
        <w:rPr>
          <w:rFonts w:ascii="Avenir Next" w:hAnsi="Avenir Next" w:cs="Arial"/>
          <w:color w:val="7B7B7B" w:themeColor="accent3" w:themeShade="BF"/>
          <w:sz w:val="22"/>
          <w:szCs w:val="22"/>
          <w:lang w:val="en-GB"/>
        </w:rPr>
        <w:t xml:space="preserve"> </w:t>
      </w:r>
      <w:r w:rsidR="0056590C">
        <w:rPr>
          <w:rFonts w:ascii="Avenir Next" w:hAnsi="Avenir Next" w:cs="Arial"/>
          <w:color w:val="7B7B7B" w:themeColor="accent3" w:themeShade="BF"/>
          <w:sz w:val="22"/>
          <w:szCs w:val="22"/>
          <w:lang w:val="en-GB"/>
        </w:rPr>
        <w:t>(</w:t>
      </w:r>
      <w:r w:rsidR="0056590C" w:rsidRPr="0056590C">
        <w:rPr>
          <w:rFonts w:ascii="Avenir Next" w:hAnsi="Avenir Next" w:cs="Arial"/>
          <w:b/>
          <w:bCs/>
          <w:color w:val="7B7B7B" w:themeColor="accent3" w:themeShade="BF"/>
          <w:sz w:val="22"/>
          <w:szCs w:val="22"/>
          <w:lang w:val="en-GB"/>
        </w:rPr>
        <w:t>COMI</w:t>
      </w:r>
      <w:r w:rsidR="0056590C">
        <w:rPr>
          <w:rFonts w:ascii="Avenir Next" w:hAnsi="Avenir Next" w:cs="Arial"/>
          <w:color w:val="7B7B7B" w:themeColor="accent3" w:themeShade="BF"/>
          <w:sz w:val="22"/>
          <w:szCs w:val="22"/>
          <w:lang w:val="en-GB"/>
        </w:rPr>
        <w:t xml:space="preserve">) </w:t>
      </w:r>
      <w:r w:rsidR="00A95DE9">
        <w:rPr>
          <w:rFonts w:ascii="Avenir Next" w:hAnsi="Avenir Next" w:cs="Arial"/>
          <w:color w:val="7B7B7B" w:themeColor="accent3" w:themeShade="BF"/>
          <w:sz w:val="22"/>
          <w:szCs w:val="22"/>
          <w:lang w:val="en-GB"/>
        </w:rPr>
        <w:t xml:space="preserve">is presumed to be the location of Nadir’s </w:t>
      </w:r>
      <w:r w:rsidR="00046846">
        <w:rPr>
          <w:rFonts w:ascii="Avenir Next" w:hAnsi="Avenir Next" w:cs="Arial"/>
          <w:color w:val="7B7B7B" w:themeColor="accent3" w:themeShade="BF"/>
          <w:sz w:val="22"/>
          <w:szCs w:val="22"/>
          <w:lang w:val="en-GB"/>
        </w:rPr>
        <w:t xml:space="preserve">registered office or habitual residence. </w:t>
      </w:r>
    </w:p>
    <w:p w14:paraId="44830443" w14:textId="77777777" w:rsidR="00496799" w:rsidRDefault="00496799" w:rsidP="00496799">
      <w:pPr>
        <w:pStyle w:val="ListParagraph"/>
        <w:ind w:left="1985"/>
        <w:jc w:val="both"/>
        <w:rPr>
          <w:rFonts w:ascii="Avenir Next" w:hAnsi="Avenir Next" w:cs="Arial"/>
          <w:color w:val="7B7B7B" w:themeColor="accent3" w:themeShade="BF"/>
          <w:sz w:val="22"/>
          <w:szCs w:val="22"/>
          <w:lang w:val="en-GB"/>
        </w:rPr>
      </w:pPr>
    </w:p>
    <w:p w14:paraId="1CF74CF1" w14:textId="37B59832" w:rsidR="00496799" w:rsidRDefault="0090445E" w:rsidP="00B62C38">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note that article 17(2) does not provide a relevant </w:t>
      </w:r>
      <w:r w:rsidR="0056590C">
        <w:rPr>
          <w:rFonts w:ascii="Avenir Next" w:hAnsi="Avenir Next" w:cs="Arial"/>
          <w:color w:val="7B7B7B" w:themeColor="accent3" w:themeShade="BF"/>
          <w:sz w:val="22"/>
          <w:szCs w:val="22"/>
          <w:lang w:val="en-GB"/>
        </w:rPr>
        <w:t xml:space="preserve">date to assess COMI. The Guide to Enactment </w:t>
      </w:r>
      <w:r w:rsidR="0025330D">
        <w:rPr>
          <w:rFonts w:ascii="Avenir Next" w:hAnsi="Avenir Next" w:cs="Arial"/>
          <w:color w:val="7B7B7B" w:themeColor="accent3" w:themeShade="BF"/>
          <w:sz w:val="22"/>
          <w:szCs w:val="22"/>
          <w:lang w:val="en-GB"/>
        </w:rPr>
        <w:t xml:space="preserve">and </w:t>
      </w:r>
      <w:r w:rsidR="0056590C">
        <w:rPr>
          <w:rFonts w:ascii="Avenir Next" w:hAnsi="Avenir Next" w:cs="Arial"/>
          <w:color w:val="7B7B7B" w:themeColor="accent3" w:themeShade="BF"/>
          <w:sz w:val="22"/>
          <w:szCs w:val="22"/>
          <w:lang w:val="en-GB"/>
        </w:rPr>
        <w:t>Interpretation</w:t>
      </w:r>
      <w:r w:rsidR="0025330D">
        <w:rPr>
          <w:rFonts w:ascii="Avenir Next" w:hAnsi="Avenir Next" w:cs="Arial"/>
          <w:color w:val="7B7B7B" w:themeColor="accent3" w:themeShade="BF"/>
          <w:sz w:val="22"/>
          <w:szCs w:val="22"/>
          <w:lang w:val="en-GB"/>
        </w:rPr>
        <w:t xml:space="preserve"> </w:t>
      </w:r>
      <w:r w:rsidR="00FD2336">
        <w:rPr>
          <w:rFonts w:ascii="Avenir Next" w:hAnsi="Avenir Next" w:cs="Arial"/>
          <w:color w:val="7B7B7B" w:themeColor="accent3" w:themeShade="BF"/>
          <w:sz w:val="22"/>
          <w:szCs w:val="22"/>
          <w:lang w:val="en-GB"/>
        </w:rPr>
        <w:t>(</w:t>
      </w:r>
      <w:r w:rsidR="00FD2336" w:rsidRPr="00FD2336">
        <w:rPr>
          <w:rFonts w:ascii="Avenir Next" w:hAnsi="Avenir Next" w:cs="Arial"/>
          <w:b/>
          <w:bCs/>
          <w:color w:val="7B7B7B" w:themeColor="accent3" w:themeShade="BF"/>
          <w:sz w:val="22"/>
          <w:szCs w:val="22"/>
          <w:lang w:val="en-GB"/>
        </w:rPr>
        <w:t>UNCITRAL Guide</w:t>
      </w:r>
      <w:r w:rsidR="00FD2336">
        <w:rPr>
          <w:rFonts w:ascii="Avenir Next" w:hAnsi="Avenir Next" w:cs="Arial"/>
          <w:color w:val="7B7B7B" w:themeColor="accent3" w:themeShade="BF"/>
          <w:sz w:val="22"/>
          <w:szCs w:val="22"/>
          <w:lang w:val="en-GB"/>
        </w:rPr>
        <w:t xml:space="preserve">) </w:t>
      </w:r>
      <w:r w:rsidR="00727682">
        <w:rPr>
          <w:rFonts w:ascii="Avenir Next" w:hAnsi="Avenir Next" w:cs="Arial"/>
          <w:color w:val="7B7B7B" w:themeColor="accent3" w:themeShade="BF"/>
          <w:sz w:val="22"/>
          <w:szCs w:val="22"/>
          <w:lang w:val="en-GB"/>
        </w:rPr>
        <w:t>argues</w:t>
      </w:r>
      <w:r w:rsidR="0025330D">
        <w:rPr>
          <w:rFonts w:ascii="Avenir Next" w:hAnsi="Avenir Next" w:cs="Arial"/>
          <w:color w:val="7B7B7B" w:themeColor="accent3" w:themeShade="BF"/>
          <w:sz w:val="22"/>
          <w:szCs w:val="22"/>
          <w:lang w:val="en-GB"/>
        </w:rPr>
        <w:t xml:space="preserve"> that the relevant date is at the date </w:t>
      </w:r>
      <w:r w:rsidR="00C71901">
        <w:rPr>
          <w:rFonts w:ascii="Avenir Next" w:hAnsi="Avenir Next" w:cs="Arial"/>
          <w:color w:val="7B7B7B" w:themeColor="accent3" w:themeShade="BF"/>
          <w:sz w:val="22"/>
          <w:szCs w:val="22"/>
          <w:lang w:val="en-GB"/>
        </w:rPr>
        <w:t xml:space="preserve">of commencement of the </w:t>
      </w:r>
      <w:r w:rsidR="00727682">
        <w:rPr>
          <w:rFonts w:ascii="Avenir Next" w:hAnsi="Avenir Next" w:cs="Arial"/>
          <w:color w:val="7B7B7B" w:themeColor="accent3" w:themeShade="BF"/>
          <w:sz w:val="22"/>
          <w:szCs w:val="22"/>
          <w:lang w:val="en-GB"/>
        </w:rPr>
        <w:t xml:space="preserve">foreign </w:t>
      </w:r>
      <w:r w:rsidR="00C71901">
        <w:rPr>
          <w:rFonts w:ascii="Avenir Next" w:hAnsi="Avenir Next" w:cs="Arial"/>
          <w:color w:val="7B7B7B" w:themeColor="accent3" w:themeShade="BF"/>
          <w:sz w:val="22"/>
          <w:szCs w:val="22"/>
          <w:lang w:val="en-GB"/>
        </w:rPr>
        <w:t xml:space="preserve">proceedings </w:t>
      </w:r>
      <w:r w:rsidR="00727682">
        <w:rPr>
          <w:rFonts w:ascii="Avenir Next" w:hAnsi="Avenir Next" w:cs="Arial"/>
          <w:color w:val="7B7B7B" w:themeColor="accent3" w:themeShade="BF"/>
          <w:sz w:val="22"/>
          <w:szCs w:val="22"/>
          <w:lang w:val="en-GB"/>
        </w:rPr>
        <w:t>(ie as at the date of the</w:t>
      </w:r>
      <w:r w:rsidR="00C71901">
        <w:rPr>
          <w:rFonts w:ascii="Avenir Next" w:hAnsi="Avenir Next" w:cs="Arial"/>
          <w:color w:val="7B7B7B" w:themeColor="accent3" w:themeShade="BF"/>
          <w:sz w:val="22"/>
          <w:szCs w:val="22"/>
          <w:lang w:val="en-GB"/>
        </w:rPr>
        <w:t xml:space="preserve"> </w:t>
      </w:r>
      <w:r w:rsidR="00727682">
        <w:rPr>
          <w:rFonts w:ascii="Avenir Next" w:hAnsi="Avenir Next" w:cs="Arial"/>
          <w:color w:val="7B7B7B" w:themeColor="accent3" w:themeShade="BF"/>
          <w:sz w:val="22"/>
          <w:szCs w:val="22"/>
          <w:lang w:val="en-GB"/>
        </w:rPr>
        <w:t>Erewho</w:t>
      </w:r>
      <w:r w:rsidR="007B1384">
        <w:rPr>
          <w:rFonts w:ascii="Avenir Next" w:hAnsi="Avenir Next" w:cs="Arial"/>
          <w:color w:val="7B7B7B" w:themeColor="accent3" w:themeShade="BF"/>
          <w:sz w:val="22"/>
          <w:szCs w:val="22"/>
          <w:lang w:val="en-GB"/>
        </w:rPr>
        <w:t>n</w:t>
      </w:r>
      <w:r w:rsidR="00727682">
        <w:rPr>
          <w:rFonts w:ascii="Avenir Next" w:hAnsi="Avenir Next" w:cs="Arial"/>
          <w:color w:val="7B7B7B" w:themeColor="accent3" w:themeShade="BF"/>
          <w:sz w:val="22"/>
          <w:szCs w:val="22"/>
          <w:lang w:val="en-GB"/>
        </w:rPr>
        <w:t xml:space="preserve"> winding-up order).</w:t>
      </w:r>
      <w:r w:rsidR="00216783">
        <w:rPr>
          <w:rStyle w:val="FootnoteReference"/>
          <w:rFonts w:ascii="Avenir Next" w:hAnsi="Avenir Next" w:cs="Arial"/>
          <w:color w:val="7B7B7B" w:themeColor="accent3" w:themeShade="BF"/>
          <w:sz w:val="22"/>
          <w:szCs w:val="22"/>
          <w:lang w:val="en-GB"/>
        </w:rPr>
        <w:footnoteReference w:id="36"/>
      </w:r>
      <w:r w:rsidR="00727682">
        <w:rPr>
          <w:rFonts w:ascii="Avenir Next" w:hAnsi="Avenir Next" w:cs="Arial"/>
          <w:color w:val="7B7B7B" w:themeColor="accent3" w:themeShade="BF"/>
          <w:sz w:val="22"/>
          <w:szCs w:val="22"/>
          <w:lang w:val="en-GB"/>
        </w:rPr>
        <w:t xml:space="preserve"> </w:t>
      </w:r>
      <w:r w:rsidR="00216783">
        <w:rPr>
          <w:rFonts w:ascii="Avenir Next" w:hAnsi="Avenir Next" w:cs="Arial"/>
          <w:color w:val="7B7B7B" w:themeColor="accent3" w:themeShade="BF"/>
          <w:sz w:val="22"/>
          <w:szCs w:val="22"/>
          <w:lang w:val="en-GB"/>
        </w:rPr>
        <w:t>However, I understand that not all countries adopt this approach.</w:t>
      </w:r>
      <w:r w:rsidR="00F92A78">
        <w:rPr>
          <w:rStyle w:val="FootnoteReference"/>
          <w:rFonts w:ascii="Avenir Next" w:hAnsi="Avenir Next" w:cs="Arial"/>
          <w:color w:val="7B7B7B" w:themeColor="accent3" w:themeShade="BF"/>
          <w:sz w:val="22"/>
          <w:szCs w:val="22"/>
          <w:lang w:val="en-GB"/>
        </w:rPr>
        <w:footnoteReference w:id="37"/>
      </w:r>
      <w:r w:rsidR="00946032">
        <w:rPr>
          <w:rFonts w:ascii="Avenir Next" w:hAnsi="Avenir Next" w:cs="Arial"/>
          <w:color w:val="7B7B7B" w:themeColor="accent3" w:themeShade="BF"/>
          <w:sz w:val="22"/>
          <w:szCs w:val="22"/>
          <w:vertAlign w:val="superscript"/>
          <w:lang w:val="en-GB"/>
        </w:rPr>
        <w:t xml:space="preserve">, </w:t>
      </w:r>
      <w:r w:rsidR="007A488E">
        <w:rPr>
          <w:rStyle w:val="FootnoteReference"/>
          <w:rFonts w:ascii="Avenir Next" w:hAnsi="Avenir Next" w:cs="Arial"/>
          <w:color w:val="7B7B7B" w:themeColor="accent3" w:themeShade="BF"/>
          <w:sz w:val="22"/>
          <w:szCs w:val="22"/>
          <w:lang w:val="en-GB"/>
        </w:rPr>
        <w:footnoteReference w:id="38"/>
      </w:r>
      <w:r w:rsidR="00216783">
        <w:rPr>
          <w:rFonts w:ascii="Avenir Next" w:hAnsi="Avenir Next" w:cs="Arial"/>
          <w:color w:val="7B7B7B" w:themeColor="accent3" w:themeShade="BF"/>
          <w:sz w:val="22"/>
          <w:szCs w:val="22"/>
          <w:lang w:val="en-GB"/>
        </w:rPr>
        <w:t xml:space="preserve"> </w:t>
      </w:r>
      <w:r w:rsidR="00116C3A">
        <w:rPr>
          <w:rFonts w:ascii="Avenir Next" w:hAnsi="Avenir Next" w:cs="Arial"/>
          <w:color w:val="7B7B7B" w:themeColor="accent3" w:themeShade="BF"/>
          <w:sz w:val="22"/>
          <w:szCs w:val="22"/>
          <w:lang w:val="en-GB"/>
        </w:rPr>
        <w:t>I would need to know whether Utopia jurisprudence has previously determined this issue</w:t>
      </w:r>
      <w:r w:rsidR="009A49F6">
        <w:rPr>
          <w:rFonts w:ascii="Avenir Next" w:hAnsi="Avenir Next" w:cs="Arial"/>
          <w:color w:val="7B7B7B" w:themeColor="accent3" w:themeShade="BF"/>
          <w:sz w:val="22"/>
          <w:szCs w:val="22"/>
          <w:lang w:val="en-GB"/>
        </w:rPr>
        <w:t>.</w:t>
      </w:r>
    </w:p>
    <w:p w14:paraId="5ACE7C45" w14:textId="77777777" w:rsidR="00BF2419" w:rsidRDefault="00BF2419" w:rsidP="00BF2419">
      <w:pPr>
        <w:pStyle w:val="ListParagraph"/>
        <w:ind w:left="1985"/>
        <w:jc w:val="both"/>
        <w:rPr>
          <w:rFonts w:ascii="Avenir Next" w:hAnsi="Avenir Next" w:cs="Arial"/>
          <w:color w:val="7B7B7B" w:themeColor="accent3" w:themeShade="BF"/>
          <w:sz w:val="22"/>
          <w:szCs w:val="22"/>
          <w:lang w:val="en-GB"/>
        </w:rPr>
      </w:pPr>
    </w:p>
    <w:p w14:paraId="339169D0" w14:textId="77777777" w:rsidR="0079548A" w:rsidRDefault="00BF2419" w:rsidP="00B62C38">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factual matrix advises that Nadir moved its registered office approximately one month ago from Erewhon to Utopia</w:t>
      </w:r>
      <w:r w:rsidR="00527662">
        <w:rPr>
          <w:rFonts w:ascii="Avenir Next" w:hAnsi="Avenir Next" w:cs="Arial"/>
          <w:color w:val="7B7B7B" w:themeColor="accent3" w:themeShade="BF"/>
          <w:sz w:val="22"/>
          <w:szCs w:val="22"/>
          <w:lang w:val="en-GB"/>
        </w:rPr>
        <w:t xml:space="preserve">. </w:t>
      </w:r>
      <w:r w:rsidR="00C76CB1">
        <w:rPr>
          <w:rFonts w:ascii="Avenir Next" w:hAnsi="Avenir Next" w:cs="Arial"/>
          <w:color w:val="7B7B7B" w:themeColor="accent3" w:themeShade="BF"/>
          <w:sz w:val="22"/>
          <w:szCs w:val="22"/>
          <w:lang w:val="en-GB"/>
        </w:rPr>
        <w:t xml:space="preserve">It does not advise whether this move occurred prior to </w:t>
      </w:r>
      <w:r w:rsidR="00C318AF">
        <w:rPr>
          <w:rFonts w:ascii="Avenir Next" w:hAnsi="Avenir Next" w:cs="Arial"/>
          <w:color w:val="7B7B7B" w:themeColor="accent3" w:themeShade="BF"/>
          <w:sz w:val="22"/>
          <w:szCs w:val="22"/>
          <w:lang w:val="en-GB"/>
        </w:rPr>
        <w:t xml:space="preserve">or after the commencement of the foreign proceedings. I would need to know this before advising the client. </w:t>
      </w:r>
    </w:p>
    <w:p w14:paraId="6C952C6C" w14:textId="77777777" w:rsidR="0079548A" w:rsidRPr="0079548A" w:rsidRDefault="0079548A" w:rsidP="0079548A">
      <w:pPr>
        <w:pStyle w:val="ListParagraph"/>
        <w:rPr>
          <w:rFonts w:ascii="Avenir Next" w:hAnsi="Avenir Next" w:cs="Arial"/>
          <w:color w:val="7B7B7B" w:themeColor="accent3" w:themeShade="BF"/>
          <w:sz w:val="22"/>
          <w:szCs w:val="22"/>
          <w:lang w:val="en-GB"/>
        </w:rPr>
      </w:pPr>
    </w:p>
    <w:p w14:paraId="07E90D72" w14:textId="1400D2CA" w:rsidR="00BF2419" w:rsidRDefault="0079548A" w:rsidP="00B62C38">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the move occurred before the Erewhon proceedings and Utopia adopts the UNCITRAL Guide on the relevant date for determining COMI, </w:t>
      </w:r>
      <w:r w:rsidR="002C4277">
        <w:rPr>
          <w:rFonts w:ascii="Avenir Next" w:hAnsi="Avenir Next" w:cs="Arial"/>
          <w:color w:val="7B7B7B" w:themeColor="accent3" w:themeShade="BF"/>
          <w:sz w:val="22"/>
          <w:szCs w:val="22"/>
          <w:lang w:val="en-GB"/>
        </w:rPr>
        <w:t xml:space="preserve">then it may be that said application is a foreign main </w:t>
      </w:r>
      <w:r w:rsidR="001C357B">
        <w:rPr>
          <w:rFonts w:ascii="Avenir Next" w:hAnsi="Avenir Next" w:cs="Arial"/>
          <w:color w:val="7B7B7B" w:themeColor="accent3" w:themeShade="BF"/>
          <w:sz w:val="22"/>
          <w:szCs w:val="22"/>
          <w:lang w:val="en-GB"/>
        </w:rPr>
        <w:t>proceeding.</w:t>
      </w:r>
      <w:r>
        <w:rPr>
          <w:rFonts w:ascii="Avenir Next" w:hAnsi="Avenir Next" w:cs="Arial"/>
          <w:color w:val="7B7B7B" w:themeColor="accent3" w:themeShade="BF"/>
          <w:sz w:val="22"/>
          <w:szCs w:val="22"/>
          <w:lang w:val="en-GB"/>
        </w:rPr>
        <w:t xml:space="preserve"> </w:t>
      </w:r>
    </w:p>
    <w:p w14:paraId="70EFFCD9" w14:textId="77777777" w:rsidR="00495848" w:rsidRDefault="00495848" w:rsidP="00495848">
      <w:pPr>
        <w:pStyle w:val="ListParagraph"/>
        <w:ind w:left="1985"/>
        <w:jc w:val="both"/>
        <w:rPr>
          <w:rFonts w:ascii="Avenir Next" w:hAnsi="Avenir Next" w:cs="Arial"/>
          <w:color w:val="7B7B7B" w:themeColor="accent3" w:themeShade="BF"/>
          <w:sz w:val="22"/>
          <w:szCs w:val="22"/>
          <w:lang w:val="en-GB"/>
        </w:rPr>
      </w:pPr>
    </w:p>
    <w:p w14:paraId="2CA388F3" w14:textId="77777777" w:rsidR="00873CDD" w:rsidRDefault="00046846" w:rsidP="00B62C38">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note that this presumption is rebuttable</w:t>
      </w:r>
      <w:r w:rsidR="001C357B">
        <w:rPr>
          <w:rFonts w:ascii="Avenir Next" w:hAnsi="Avenir Next" w:cs="Arial"/>
          <w:color w:val="7B7B7B" w:themeColor="accent3" w:themeShade="BF"/>
          <w:sz w:val="22"/>
          <w:szCs w:val="22"/>
          <w:lang w:val="en-GB"/>
        </w:rPr>
        <w:t xml:space="preserve"> however, as </w:t>
      </w:r>
      <w:r w:rsidR="008E649B">
        <w:rPr>
          <w:rFonts w:ascii="Avenir Next" w:hAnsi="Avenir Next" w:cs="Arial"/>
          <w:color w:val="7B7B7B" w:themeColor="accent3" w:themeShade="BF"/>
          <w:sz w:val="22"/>
          <w:szCs w:val="22"/>
          <w:lang w:val="en-GB"/>
        </w:rPr>
        <w:t>the Model Law does not provide a definition for COMI</w:t>
      </w:r>
      <w:r w:rsidR="00495848">
        <w:rPr>
          <w:rFonts w:ascii="Avenir Next" w:hAnsi="Avenir Next" w:cs="Arial"/>
          <w:color w:val="7B7B7B" w:themeColor="accent3" w:themeShade="BF"/>
          <w:sz w:val="22"/>
          <w:szCs w:val="22"/>
          <w:lang w:val="en-GB"/>
        </w:rPr>
        <w:t>.</w:t>
      </w:r>
      <w:r w:rsidR="008E649B">
        <w:rPr>
          <w:rFonts w:ascii="Avenir Next" w:hAnsi="Avenir Next" w:cs="Arial"/>
          <w:color w:val="7B7B7B" w:themeColor="accent3" w:themeShade="BF"/>
          <w:sz w:val="22"/>
          <w:szCs w:val="22"/>
          <w:lang w:val="en-GB"/>
        </w:rPr>
        <w:t xml:space="preserve"> </w:t>
      </w:r>
    </w:p>
    <w:p w14:paraId="18C99CFC" w14:textId="77777777" w:rsidR="00873CDD" w:rsidRPr="00873CDD" w:rsidRDefault="00873CDD" w:rsidP="00873CDD">
      <w:pPr>
        <w:pStyle w:val="ListParagraph"/>
        <w:rPr>
          <w:rFonts w:ascii="Avenir Next" w:hAnsi="Avenir Next" w:cs="Arial"/>
          <w:color w:val="7B7B7B" w:themeColor="accent3" w:themeShade="BF"/>
          <w:sz w:val="22"/>
          <w:szCs w:val="22"/>
          <w:lang w:val="en-GB"/>
        </w:rPr>
      </w:pPr>
    </w:p>
    <w:p w14:paraId="7CDFEC21" w14:textId="289397FA" w:rsidR="007D3D48" w:rsidRDefault="00E84762" w:rsidP="00B62C38">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Paragraph 145 of the UNCITRAL Guide</w:t>
      </w:r>
      <w:r w:rsidR="00AA6349">
        <w:rPr>
          <w:rStyle w:val="FootnoteReference"/>
          <w:rFonts w:ascii="Avenir Next" w:hAnsi="Avenir Next" w:cs="Arial"/>
          <w:color w:val="7B7B7B" w:themeColor="accent3" w:themeShade="BF"/>
          <w:sz w:val="22"/>
          <w:szCs w:val="22"/>
          <w:lang w:val="en-GB"/>
        </w:rPr>
        <w:footnoteReference w:id="39"/>
      </w:r>
      <w:r>
        <w:rPr>
          <w:rFonts w:ascii="Avenir Next" w:hAnsi="Avenir Next" w:cs="Arial"/>
          <w:color w:val="7B7B7B" w:themeColor="accent3" w:themeShade="BF"/>
          <w:sz w:val="22"/>
          <w:szCs w:val="22"/>
          <w:lang w:val="en-GB"/>
        </w:rPr>
        <w:t xml:space="preserve"> </w:t>
      </w:r>
      <w:r w:rsidR="003F5D9B">
        <w:rPr>
          <w:rFonts w:ascii="Avenir Next" w:hAnsi="Avenir Next" w:cs="Arial"/>
          <w:color w:val="7B7B7B" w:themeColor="accent3" w:themeShade="BF"/>
          <w:sz w:val="22"/>
          <w:szCs w:val="22"/>
          <w:lang w:val="en-GB"/>
        </w:rPr>
        <w:t>provides the following “</w:t>
      </w:r>
      <w:r w:rsidR="003F5D9B">
        <w:rPr>
          <w:rFonts w:ascii="Avenir Next" w:hAnsi="Avenir Next" w:cs="Arial"/>
          <w:i/>
          <w:iCs/>
          <w:color w:val="7B7B7B" w:themeColor="accent3" w:themeShade="BF"/>
          <w:sz w:val="22"/>
          <w:szCs w:val="22"/>
          <w:lang w:val="en-GB"/>
        </w:rPr>
        <w:t>principal factors</w:t>
      </w:r>
      <w:r w:rsidR="003F5D9B">
        <w:rPr>
          <w:rFonts w:ascii="Avenir Next" w:hAnsi="Avenir Next" w:cs="Arial"/>
          <w:color w:val="7B7B7B" w:themeColor="accent3" w:themeShade="BF"/>
          <w:sz w:val="22"/>
          <w:szCs w:val="22"/>
          <w:lang w:val="en-GB"/>
        </w:rPr>
        <w:t>”</w:t>
      </w:r>
      <w:r w:rsidR="009351B9">
        <w:rPr>
          <w:rFonts w:ascii="Avenir Next" w:hAnsi="Avenir Next" w:cs="Arial"/>
          <w:color w:val="7B7B7B" w:themeColor="accent3" w:themeShade="BF"/>
          <w:sz w:val="22"/>
          <w:szCs w:val="22"/>
          <w:lang w:val="en-GB"/>
        </w:rPr>
        <w:t xml:space="preserve"> to determine COMI</w:t>
      </w:r>
      <w:r w:rsidR="009E39D6">
        <w:rPr>
          <w:rFonts w:ascii="Avenir Next" w:hAnsi="Avenir Next" w:cs="Arial"/>
          <w:color w:val="7B7B7B" w:themeColor="accent3" w:themeShade="BF"/>
          <w:sz w:val="22"/>
          <w:szCs w:val="22"/>
          <w:lang w:val="en-GB"/>
        </w:rPr>
        <w:t xml:space="preserve">, </w:t>
      </w:r>
      <w:r w:rsidR="00D77FEF">
        <w:rPr>
          <w:rFonts w:ascii="Avenir Next" w:hAnsi="Avenir Next" w:cs="Arial"/>
          <w:color w:val="7B7B7B" w:themeColor="accent3" w:themeShade="BF"/>
          <w:sz w:val="22"/>
          <w:szCs w:val="22"/>
          <w:lang w:val="en-GB"/>
        </w:rPr>
        <w:t>the location is</w:t>
      </w:r>
      <w:r w:rsidR="009351B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9351B9">
        <w:rPr>
          <w:rFonts w:ascii="Avenir Next" w:hAnsi="Avenir Next" w:cs="Arial"/>
          <w:color w:val="7B7B7B" w:themeColor="accent3" w:themeShade="BF"/>
          <w:sz w:val="22"/>
          <w:szCs w:val="22"/>
          <w:lang w:val="en-GB"/>
        </w:rPr>
        <w:t xml:space="preserve">(a) </w:t>
      </w:r>
      <w:r w:rsidR="00C4321E">
        <w:rPr>
          <w:rFonts w:ascii="Avenir Next" w:hAnsi="Avenir Next" w:cs="Arial"/>
          <w:color w:val="7B7B7B" w:themeColor="accent3" w:themeShade="BF"/>
          <w:sz w:val="22"/>
          <w:szCs w:val="22"/>
          <w:lang w:val="en-GB"/>
        </w:rPr>
        <w:t xml:space="preserve">the </w:t>
      </w:r>
      <w:r w:rsidR="009351B9">
        <w:rPr>
          <w:rFonts w:ascii="Avenir Next" w:hAnsi="Avenir Next" w:cs="Arial"/>
          <w:color w:val="7B7B7B" w:themeColor="accent3" w:themeShade="BF"/>
          <w:sz w:val="22"/>
          <w:szCs w:val="22"/>
          <w:lang w:val="en-GB"/>
        </w:rPr>
        <w:t xml:space="preserve">central administration of </w:t>
      </w:r>
      <w:r w:rsidR="00C4321E">
        <w:rPr>
          <w:rFonts w:ascii="Avenir Next" w:hAnsi="Avenir Next" w:cs="Arial"/>
          <w:color w:val="7B7B7B" w:themeColor="accent3" w:themeShade="BF"/>
          <w:sz w:val="22"/>
          <w:szCs w:val="22"/>
          <w:lang w:val="en-GB"/>
        </w:rPr>
        <w:t>Nadir; and (b) readily ascertainable by creditors</w:t>
      </w:r>
      <w:r w:rsidR="00706B83">
        <w:rPr>
          <w:rFonts w:ascii="Avenir Next" w:hAnsi="Avenir Next" w:cs="Arial"/>
          <w:color w:val="7B7B7B" w:themeColor="accent3" w:themeShade="BF"/>
          <w:sz w:val="22"/>
          <w:szCs w:val="22"/>
          <w:lang w:val="en-GB"/>
        </w:rPr>
        <w:t xml:space="preserve">. </w:t>
      </w:r>
      <w:r w:rsidR="000D23B6">
        <w:rPr>
          <w:rFonts w:ascii="Avenir Next" w:hAnsi="Avenir Next" w:cs="Arial"/>
          <w:color w:val="7B7B7B" w:themeColor="accent3" w:themeShade="BF"/>
          <w:sz w:val="22"/>
          <w:szCs w:val="22"/>
          <w:lang w:val="en-GB"/>
        </w:rPr>
        <w:t>The factual matrix claims that the head office and registered office were moved from Erewhon to Utopia</w:t>
      </w:r>
      <w:r w:rsidR="002E0EF3">
        <w:rPr>
          <w:rFonts w:ascii="Avenir Next" w:hAnsi="Avenir Next" w:cs="Arial"/>
          <w:color w:val="7B7B7B" w:themeColor="accent3" w:themeShade="BF"/>
          <w:sz w:val="22"/>
          <w:szCs w:val="22"/>
          <w:lang w:val="en-GB"/>
        </w:rPr>
        <w:t xml:space="preserve">. I would need to know whether Utopia jurisprudence has previously defined what </w:t>
      </w:r>
      <w:r w:rsidR="002E0EF3">
        <w:rPr>
          <w:rFonts w:ascii="Avenir Next" w:hAnsi="Avenir Next" w:cs="Arial"/>
          <w:color w:val="7B7B7B" w:themeColor="accent3" w:themeShade="BF"/>
          <w:sz w:val="22"/>
          <w:szCs w:val="22"/>
          <w:lang w:val="en-GB"/>
        </w:rPr>
        <w:lastRenderedPageBreak/>
        <w:t>central administration</w:t>
      </w:r>
      <w:r w:rsidR="003C046D">
        <w:rPr>
          <w:rFonts w:ascii="Avenir Next" w:hAnsi="Avenir Next" w:cs="Arial"/>
          <w:color w:val="7B7B7B" w:themeColor="accent3" w:themeShade="BF"/>
          <w:sz w:val="22"/>
          <w:szCs w:val="22"/>
          <w:lang w:val="en-GB"/>
        </w:rPr>
        <w:t xml:space="preserve"> means</w:t>
      </w:r>
      <w:r w:rsidR="002E0EF3">
        <w:rPr>
          <w:rFonts w:ascii="Avenir Next" w:hAnsi="Avenir Next" w:cs="Arial"/>
          <w:color w:val="7B7B7B" w:themeColor="accent3" w:themeShade="BF"/>
          <w:sz w:val="22"/>
          <w:szCs w:val="22"/>
          <w:lang w:val="en-GB"/>
        </w:rPr>
        <w:t xml:space="preserve"> </w:t>
      </w:r>
      <w:r w:rsidR="003C046D">
        <w:rPr>
          <w:rFonts w:ascii="Avenir Next" w:hAnsi="Avenir Next" w:cs="Arial"/>
          <w:color w:val="7B7B7B" w:themeColor="accent3" w:themeShade="BF"/>
          <w:sz w:val="22"/>
          <w:szCs w:val="22"/>
          <w:lang w:val="en-GB"/>
        </w:rPr>
        <w:t>(including whether it includes the head office) and the relevant date of same.</w:t>
      </w:r>
    </w:p>
    <w:p w14:paraId="6D3A0021" w14:textId="77777777" w:rsidR="00873CDD" w:rsidRPr="00873CDD" w:rsidRDefault="00873CDD" w:rsidP="00873CDD">
      <w:pPr>
        <w:pStyle w:val="ListParagraph"/>
        <w:rPr>
          <w:rFonts w:ascii="Avenir Next" w:hAnsi="Avenir Next" w:cs="Arial"/>
          <w:color w:val="7B7B7B" w:themeColor="accent3" w:themeShade="BF"/>
          <w:sz w:val="22"/>
          <w:szCs w:val="22"/>
          <w:lang w:val="en-GB"/>
        </w:rPr>
      </w:pPr>
    </w:p>
    <w:p w14:paraId="413A1B66" w14:textId="03105D93" w:rsidR="00873CDD" w:rsidRDefault="00873CDD" w:rsidP="00B62C38">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Paragraph</w:t>
      </w:r>
      <w:r w:rsidR="002B3B3A">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14</w:t>
      </w:r>
      <w:r w:rsidR="002B3B3A">
        <w:rPr>
          <w:rFonts w:ascii="Avenir Next" w:hAnsi="Avenir Next" w:cs="Arial"/>
          <w:color w:val="7B7B7B" w:themeColor="accent3" w:themeShade="BF"/>
          <w:sz w:val="22"/>
          <w:szCs w:val="22"/>
          <w:lang w:val="en-GB"/>
        </w:rPr>
        <w:t>6</w:t>
      </w:r>
      <w:r>
        <w:rPr>
          <w:rFonts w:ascii="Avenir Next" w:hAnsi="Avenir Next" w:cs="Arial"/>
          <w:color w:val="7B7B7B" w:themeColor="accent3" w:themeShade="BF"/>
          <w:sz w:val="22"/>
          <w:szCs w:val="22"/>
          <w:lang w:val="en-GB"/>
        </w:rPr>
        <w:t xml:space="preserve"> </w:t>
      </w:r>
      <w:r w:rsidR="002B3B3A">
        <w:rPr>
          <w:rFonts w:ascii="Avenir Next" w:hAnsi="Avenir Next" w:cs="Arial"/>
          <w:color w:val="7B7B7B" w:themeColor="accent3" w:themeShade="BF"/>
          <w:sz w:val="22"/>
          <w:szCs w:val="22"/>
          <w:lang w:val="en-GB"/>
        </w:rPr>
        <w:t xml:space="preserve">and 147 </w:t>
      </w:r>
      <w:r>
        <w:rPr>
          <w:rFonts w:ascii="Avenir Next" w:hAnsi="Avenir Next" w:cs="Arial"/>
          <w:color w:val="7B7B7B" w:themeColor="accent3" w:themeShade="BF"/>
          <w:sz w:val="22"/>
          <w:szCs w:val="22"/>
          <w:lang w:val="en-GB"/>
        </w:rPr>
        <w:t>of the UNCITRAL Guide</w:t>
      </w:r>
      <w:r>
        <w:rPr>
          <w:rStyle w:val="FootnoteReference"/>
          <w:rFonts w:ascii="Avenir Next" w:hAnsi="Avenir Next" w:cs="Arial"/>
          <w:color w:val="7B7B7B" w:themeColor="accent3" w:themeShade="BF"/>
          <w:sz w:val="22"/>
          <w:szCs w:val="22"/>
          <w:lang w:val="en-GB"/>
        </w:rPr>
        <w:footnoteReference w:id="40"/>
      </w:r>
      <w:r w:rsidR="002B3B3A">
        <w:rPr>
          <w:rFonts w:ascii="Avenir Next" w:hAnsi="Avenir Next" w:cs="Arial"/>
          <w:color w:val="7B7B7B" w:themeColor="accent3" w:themeShade="BF"/>
          <w:sz w:val="22"/>
          <w:szCs w:val="22"/>
          <w:lang w:val="en-GB"/>
        </w:rPr>
        <w:t xml:space="preserve"> provide</w:t>
      </w:r>
      <w:r w:rsidR="00A362FB">
        <w:rPr>
          <w:rFonts w:ascii="Avenir Next" w:hAnsi="Avenir Next" w:cs="Arial"/>
          <w:color w:val="7B7B7B" w:themeColor="accent3" w:themeShade="BF"/>
          <w:sz w:val="22"/>
          <w:szCs w:val="22"/>
          <w:lang w:val="en-GB"/>
        </w:rPr>
        <w:t xml:space="preserve"> “additional factors” to consider</w:t>
      </w:r>
      <w:r w:rsidR="002B3B3A">
        <w:rPr>
          <w:rFonts w:ascii="Avenir Next" w:hAnsi="Avenir Next" w:cs="Arial"/>
          <w:color w:val="7B7B7B" w:themeColor="accent3" w:themeShade="BF"/>
          <w:sz w:val="22"/>
          <w:szCs w:val="22"/>
          <w:lang w:val="en-GB"/>
        </w:rPr>
        <w:t xml:space="preserve"> where there is insufficient evidence to determine the “principal factors</w:t>
      </w:r>
      <w:r w:rsidR="00A362FB">
        <w:rPr>
          <w:rFonts w:ascii="Avenir Next" w:hAnsi="Avenir Next" w:cs="Arial"/>
          <w:color w:val="7B7B7B" w:themeColor="accent3" w:themeShade="BF"/>
          <w:sz w:val="22"/>
          <w:szCs w:val="22"/>
          <w:lang w:val="en-GB"/>
        </w:rPr>
        <w:t>.” These “additional factors” include</w:t>
      </w:r>
      <w:r w:rsidR="009B0FB6">
        <w:rPr>
          <w:rFonts w:ascii="Avenir Next" w:hAnsi="Avenir Next" w:cs="Arial"/>
          <w:color w:val="7B7B7B" w:themeColor="accent3" w:themeShade="BF"/>
          <w:sz w:val="22"/>
          <w:szCs w:val="22"/>
          <w:lang w:val="en-GB"/>
        </w:rPr>
        <w:t xml:space="preserve"> (not in </w:t>
      </w:r>
      <w:r w:rsidR="00291DF7">
        <w:rPr>
          <w:rFonts w:ascii="Avenir Next" w:hAnsi="Avenir Next" w:cs="Arial"/>
          <w:color w:val="7B7B7B" w:themeColor="accent3" w:themeShade="BF"/>
          <w:sz w:val="22"/>
          <w:szCs w:val="22"/>
          <w:lang w:val="en-GB"/>
        </w:rPr>
        <w:t>a</w:t>
      </w:r>
      <w:r w:rsidR="009B0FB6">
        <w:rPr>
          <w:rFonts w:ascii="Avenir Next" w:hAnsi="Avenir Next" w:cs="Arial"/>
          <w:color w:val="7B7B7B" w:themeColor="accent3" w:themeShade="BF"/>
          <w:sz w:val="22"/>
          <w:szCs w:val="22"/>
          <w:lang w:val="en-GB"/>
        </w:rPr>
        <w:t xml:space="preserve"> particular order</w:t>
      </w:r>
      <w:r w:rsidR="00430CF4">
        <w:rPr>
          <w:rFonts w:ascii="Avenir Next" w:hAnsi="Avenir Next" w:cs="Arial"/>
          <w:color w:val="7B7B7B" w:themeColor="accent3" w:themeShade="BF"/>
          <w:sz w:val="22"/>
          <w:szCs w:val="22"/>
          <w:lang w:val="en-GB"/>
        </w:rPr>
        <w:t xml:space="preserve"> and not on an exhaustive basis</w:t>
      </w:r>
      <w:r w:rsidR="009B0FB6">
        <w:rPr>
          <w:rFonts w:ascii="Avenir Next" w:hAnsi="Avenir Next" w:cs="Arial"/>
          <w:color w:val="7B7B7B" w:themeColor="accent3" w:themeShade="BF"/>
          <w:sz w:val="22"/>
          <w:szCs w:val="22"/>
          <w:lang w:val="en-GB"/>
        </w:rPr>
        <w:t>)</w:t>
      </w:r>
      <w:r w:rsidR="00F03437">
        <w:rPr>
          <w:rFonts w:ascii="Avenir Next" w:hAnsi="Avenir Next" w:cs="Arial"/>
          <w:color w:val="7B7B7B" w:themeColor="accent3" w:themeShade="BF"/>
          <w:sz w:val="22"/>
          <w:szCs w:val="22"/>
          <w:lang w:val="en-GB"/>
        </w:rPr>
        <w:t>, the location of Nadir’s</w:t>
      </w:r>
      <w:r w:rsidR="009B0FB6">
        <w:rPr>
          <w:rFonts w:ascii="Avenir Next" w:hAnsi="Avenir Next" w:cs="Arial"/>
          <w:color w:val="7B7B7B" w:themeColor="accent3" w:themeShade="BF"/>
          <w:sz w:val="22"/>
          <w:szCs w:val="22"/>
          <w:lang w:val="en-GB"/>
        </w:rPr>
        <w:t>:</w:t>
      </w:r>
    </w:p>
    <w:p w14:paraId="66B971DA" w14:textId="77777777" w:rsidR="009B0FB6" w:rsidRPr="00291DF7" w:rsidRDefault="009B0FB6" w:rsidP="009B0FB6">
      <w:pPr>
        <w:pStyle w:val="ListParagraph"/>
        <w:rPr>
          <w:rFonts w:ascii="Avenir Next" w:hAnsi="Avenir Next" w:cs="Arial"/>
          <w:color w:val="7B7B7B" w:themeColor="accent3" w:themeShade="BF"/>
          <w:sz w:val="14"/>
          <w:szCs w:val="14"/>
          <w:lang w:val="en-GB"/>
        </w:rPr>
      </w:pPr>
    </w:p>
    <w:p w14:paraId="1F0A3C56" w14:textId="78046BEB" w:rsidR="009B0FB6" w:rsidRDefault="009B0FB6" w:rsidP="009B0FB6">
      <w:pPr>
        <w:pStyle w:val="ListParagraph"/>
        <w:numPr>
          <w:ilvl w:val="0"/>
          <w:numId w:val="23"/>
        </w:numPr>
        <w:ind w:left="2268" w:hanging="283"/>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books and records</w:t>
      </w:r>
      <w:r w:rsidR="001C03D9">
        <w:rPr>
          <w:rFonts w:ascii="Avenir Next" w:hAnsi="Avenir Next" w:cs="Arial"/>
          <w:color w:val="7B7B7B" w:themeColor="accent3" w:themeShade="BF"/>
          <w:sz w:val="22"/>
          <w:szCs w:val="22"/>
          <w:lang w:val="en-GB"/>
        </w:rPr>
        <w:t xml:space="preserve"> or cash management system</w:t>
      </w:r>
      <w:r>
        <w:rPr>
          <w:rFonts w:ascii="Avenir Next" w:hAnsi="Avenir Next" w:cs="Arial"/>
          <w:color w:val="7B7B7B" w:themeColor="accent3" w:themeShade="BF"/>
          <w:sz w:val="22"/>
          <w:szCs w:val="22"/>
          <w:lang w:val="en-GB"/>
        </w:rPr>
        <w:t>;</w:t>
      </w:r>
    </w:p>
    <w:p w14:paraId="3383A833" w14:textId="26F59A2A" w:rsidR="009B0FB6" w:rsidRDefault="001C03D9" w:rsidP="009B0FB6">
      <w:pPr>
        <w:pStyle w:val="ListParagraph"/>
        <w:numPr>
          <w:ilvl w:val="0"/>
          <w:numId w:val="23"/>
        </w:numPr>
        <w:ind w:left="2268" w:hanging="283"/>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financing was organised;</w:t>
      </w:r>
    </w:p>
    <w:p w14:paraId="3727FFA5" w14:textId="148BB0E6" w:rsidR="001C03D9" w:rsidRDefault="001C03D9" w:rsidP="009B0FB6">
      <w:pPr>
        <w:pStyle w:val="ListParagraph"/>
        <w:numPr>
          <w:ilvl w:val="0"/>
          <w:numId w:val="23"/>
        </w:numPr>
        <w:ind w:left="2268" w:hanging="283"/>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principal assets or </w:t>
      </w:r>
      <w:r w:rsidR="00430CF4">
        <w:rPr>
          <w:rFonts w:ascii="Avenir Next" w:hAnsi="Avenir Next" w:cs="Arial"/>
          <w:color w:val="7B7B7B" w:themeColor="accent3" w:themeShade="BF"/>
          <w:sz w:val="22"/>
          <w:szCs w:val="22"/>
          <w:lang w:val="en-GB"/>
        </w:rPr>
        <w:t>operations;</w:t>
      </w:r>
    </w:p>
    <w:p w14:paraId="4E0E1EC7" w14:textId="31410BEB" w:rsidR="00430CF4" w:rsidRDefault="00430CF4" w:rsidP="009B0FB6">
      <w:pPr>
        <w:pStyle w:val="ListParagraph"/>
        <w:numPr>
          <w:ilvl w:val="0"/>
          <w:numId w:val="23"/>
        </w:numPr>
        <w:ind w:left="2268" w:hanging="283"/>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choice of law in contractual terms;</w:t>
      </w:r>
      <w:r w:rsidR="00291DF7">
        <w:rPr>
          <w:rFonts w:ascii="Avenir Next" w:hAnsi="Avenir Next" w:cs="Arial"/>
          <w:color w:val="7B7B7B" w:themeColor="accent3" w:themeShade="BF"/>
          <w:sz w:val="22"/>
          <w:szCs w:val="22"/>
          <w:lang w:val="en-GB"/>
        </w:rPr>
        <w:t xml:space="preserve"> and</w:t>
      </w:r>
    </w:p>
    <w:p w14:paraId="05889A34" w14:textId="56B5A5DF" w:rsidR="00430CF4" w:rsidRDefault="00F018DC" w:rsidP="009B0FB6">
      <w:pPr>
        <w:pStyle w:val="ListParagraph"/>
        <w:numPr>
          <w:ilvl w:val="0"/>
          <w:numId w:val="23"/>
        </w:numPr>
        <w:ind w:left="2268" w:hanging="283"/>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requirement to produce audited financial accounts</w:t>
      </w:r>
      <w:r w:rsidR="00291DF7">
        <w:rPr>
          <w:rFonts w:ascii="Avenir Next" w:hAnsi="Avenir Next" w:cs="Arial"/>
          <w:color w:val="7B7B7B" w:themeColor="accent3" w:themeShade="BF"/>
          <w:sz w:val="22"/>
          <w:szCs w:val="22"/>
          <w:lang w:val="en-GB"/>
        </w:rPr>
        <w:t>.</w:t>
      </w:r>
    </w:p>
    <w:p w14:paraId="6E46E168" w14:textId="025B91CC" w:rsidR="005257B4" w:rsidRDefault="005257B4" w:rsidP="005257B4">
      <w:pPr>
        <w:pStyle w:val="ListParagraph"/>
        <w:ind w:left="792"/>
        <w:jc w:val="both"/>
        <w:rPr>
          <w:rFonts w:ascii="Avenir Next" w:hAnsi="Avenir Next" w:cs="Arial"/>
          <w:color w:val="7B7B7B" w:themeColor="accent3" w:themeShade="BF"/>
          <w:sz w:val="22"/>
          <w:szCs w:val="22"/>
          <w:lang w:val="en-GB"/>
        </w:rPr>
      </w:pPr>
    </w:p>
    <w:p w14:paraId="0DF5003A" w14:textId="0703CF13" w:rsidR="00291DF7" w:rsidRDefault="00291DF7" w:rsidP="00291DF7">
      <w:pPr>
        <w:pStyle w:val="ListParagraph"/>
        <w:ind w:left="1985"/>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financial matrix does not provide sufficient information in relation to any of these issues. </w:t>
      </w:r>
    </w:p>
    <w:p w14:paraId="382BC3BA" w14:textId="77777777" w:rsidR="00FF4443" w:rsidRDefault="00FF4443" w:rsidP="00291DF7">
      <w:pPr>
        <w:pStyle w:val="ListParagraph"/>
        <w:ind w:left="1985"/>
        <w:jc w:val="both"/>
        <w:rPr>
          <w:rFonts w:ascii="Avenir Next" w:hAnsi="Avenir Next" w:cs="Arial"/>
          <w:color w:val="7B7B7B" w:themeColor="accent3" w:themeShade="BF"/>
          <w:sz w:val="22"/>
          <w:szCs w:val="22"/>
          <w:lang w:val="en-GB"/>
        </w:rPr>
      </w:pPr>
    </w:p>
    <w:p w14:paraId="32451502" w14:textId="7B2A0920" w:rsidR="00FF4443" w:rsidRDefault="00BE0936" w:rsidP="00FF4443">
      <w:pPr>
        <w:pStyle w:val="ListParagraph"/>
        <w:numPr>
          <w:ilvl w:val="2"/>
          <w:numId w:val="25"/>
        </w:numPr>
        <w:ind w:left="1985" w:hanging="85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Nadir moved its registered and head office presumably in close proximity to the foreign proceedings, p</w:t>
      </w:r>
      <w:r w:rsidR="00FF4443">
        <w:rPr>
          <w:rFonts w:ascii="Avenir Next" w:hAnsi="Avenir Next" w:cs="Arial"/>
          <w:color w:val="7B7B7B" w:themeColor="accent3" w:themeShade="BF"/>
          <w:sz w:val="22"/>
          <w:szCs w:val="22"/>
          <w:lang w:val="en-GB"/>
        </w:rPr>
        <w:t>aragraphs 14</w:t>
      </w:r>
      <w:r w:rsidR="00920D24">
        <w:rPr>
          <w:rFonts w:ascii="Avenir Next" w:hAnsi="Avenir Next" w:cs="Arial"/>
          <w:color w:val="7B7B7B" w:themeColor="accent3" w:themeShade="BF"/>
          <w:sz w:val="22"/>
          <w:szCs w:val="22"/>
          <w:lang w:val="en-GB"/>
        </w:rPr>
        <w:t>8</w:t>
      </w:r>
      <w:r w:rsidR="00FF4443">
        <w:rPr>
          <w:rFonts w:ascii="Avenir Next" w:hAnsi="Avenir Next" w:cs="Arial"/>
          <w:color w:val="7B7B7B" w:themeColor="accent3" w:themeShade="BF"/>
          <w:sz w:val="22"/>
          <w:szCs w:val="22"/>
          <w:lang w:val="en-GB"/>
        </w:rPr>
        <w:t xml:space="preserve"> and 14</w:t>
      </w:r>
      <w:r w:rsidR="00920D24">
        <w:rPr>
          <w:rFonts w:ascii="Avenir Next" w:hAnsi="Avenir Next" w:cs="Arial"/>
          <w:color w:val="7B7B7B" w:themeColor="accent3" w:themeShade="BF"/>
          <w:sz w:val="22"/>
          <w:szCs w:val="22"/>
          <w:lang w:val="en-GB"/>
        </w:rPr>
        <w:t>9</w:t>
      </w:r>
      <w:r w:rsidR="00FF4443">
        <w:rPr>
          <w:rFonts w:ascii="Avenir Next" w:hAnsi="Avenir Next" w:cs="Arial"/>
          <w:color w:val="7B7B7B" w:themeColor="accent3" w:themeShade="BF"/>
          <w:sz w:val="22"/>
          <w:szCs w:val="22"/>
          <w:lang w:val="en-GB"/>
        </w:rPr>
        <w:t xml:space="preserve"> of the UNCITRAL Guide</w:t>
      </w:r>
      <w:r w:rsidR="00FF4443">
        <w:rPr>
          <w:rStyle w:val="FootnoteReference"/>
          <w:rFonts w:ascii="Avenir Next" w:hAnsi="Avenir Next" w:cs="Arial"/>
          <w:color w:val="7B7B7B" w:themeColor="accent3" w:themeShade="BF"/>
          <w:sz w:val="22"/>
          <w:szCs w:val="22"/>
          <w:lang w:val="en-GB"/>
        </w:rPr>
        <w:footnoteReference w:id="41"/>
      </w:r>
      <w:r w:rsidR="00FF4443">
        <w:rPr>
          <w:rFonts w:ascii="Avenir Next" w:hAnsi="Avenir Next" w:cs="Arial"/>
          <w:color w:val="7B7B7B" w:themeColor="accent3" w:themeShade="BF"/>
          <w:sz w:val="22"/>
          <w:szCs w:val="22"/>
          <w:lang w:val="en-GB"/>
        </w:rPr>
        <w:t xml:space="preserve"> </w:t>
      </w:r>
      <w:r w:rsidR="00920D24">
        <w:rPr>
          <w:rFonts w:ascii="Avenir Next" w:hAnsi="Avenir Next" w:cs="Arial"/>
          <w:color w:val="7B7B7B" w:themeColor="accent3" w:themeShade="BF"/>
          <w:sz w:val="22"/>
          <w:szCs w:val="22"/>
          <w:lang w:val="en-GB"/>
        </w:rPr>
        <w:t xml:space="preserve">also explains that </w:t>
      </w:r>
      <w:r w:rsidR="00531332">
        <w:rPr>
          <w:rFonts w:ascii="Avenir Next" w:hAnsi="Avenir Next" w:cs="Arial"/>
          <w:color w:val="7B7B7B" w:themeColor="accent3" w:themeShade="BF"/>
          <w:sz w:val="22"/>
          <w:szCs w:val="22"/>
          <w:lang w:val="en-GB"/>
        </w:rPr>
        <w:t xml:space="preserve">the Utopian court ought to </w:t>
      </w:r>
      <w:r w:rsidR="00C92671">
        <w:rPr>
          <w:rFonts w:ascii="Avenir Next" w:hAnsi="Avenir Next" w:cs="Arial"/>
          <w:color w:val="7B7B7B" w:themeColor="accent3" w:themeShade="BF"/>
          <w:sz w:val="22"/>
          <w:szCs w:val="22"/>
          <w:lang w:val="en-GB"/>
        </w:rPr>
        <w:t xml:space="preserve">more closely </w:t>
      </w:r>
      <w:r w:rsidR="00531332">
        <w:rPr>
          <w:rFonts w:ascii="Avenir Next" w:hAnsi="Avenir Next" w:cs="Arial"/>
          <w:color w:val="7B7B7B" w:themeColor="accent3" w:themeShade="BF"/>
          <w:sz w:val="22"/>
          <w:szCs w:val="22"/>
          <w:lang w:val="en-GB"/>
        </w:rPr>
        <w:t>take into consideration the</w:t>
      </w:r>
      <w:r w:rsidR="00C92671">
        <w:rPr>
          <w:rFonts w:ascii="Avenir Next" w:hAnsi="Avenir Next" w:cs="Arial"/>
          <w:color w:val="7B7B7B" w:themeColor="accent3" w:themeShade="BF"/>
          <w:sz w:val="22"/>
          <w:szCs w:val="22"/>
          <w:lang w:val="en-GB"/>
        </w:rPr>
        <w:t xml:space="preserve"> “principal factors” and “additional factors</w:t>
      </w:r>
      <w:r w:rsidR="009530B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9530BC">
        <w:rPr>
          <w:rFonts w:ascii="Avenir Next" w:hAnsi="Avenir Next" w:cs="Arial"/>
          <w:color w:val="7B7B7B" w:themeColor="accent3" w:themeShade="BF"/>
          <w:sz w:val="22"/>
          <w:szCs w:val="22"/>
          <w:lang w:val="en-GB"/>
        </w:rPr>
        <w:t xml:space="preserve"> The closeness of this proximity would be a factual question that </w:t>
      </w:r>
      <w:r w:rsidR="007451CF">
        <w:rPr>
          <w:rFonts w:ascii="Avenir Next" w:hAnsi="Avenir Next" w:cs="Arial"/>
          <w:color w:val="7B7B7B" w:themeColor="accent3" w:themeShade="BF"/>
          <w:sz w:val="22"/>
          <w:szCs w:val="22"/>
          <w:lang w:val="en-GB"/>
        </w:rPr>
        <w:t>the facts matrix does not provide sufficient information about.</w:t>
      </w:r>
    </w:p>
    <w:p w14:paraId="743921C0" w14:textId="77777777" w:rsidR="00291DF7" w:rsidRDefault="00291DF7" w:rsidP="005257B4">
      <w:pPr>
        <w:pStyle w:val="ListParagraph"/>
        <w:ind w:left="792"/>
        <w:jc w:val="both"/>
        <w:rPr>
          <w:rFonts w:ascii="Avenir Next" w:hAnsi="Avenir Next" w:cs="Arial"/>
          <w:color w:val="7B7B7B" w:themeColor="accent3" w:themeShade="BF"/>
          <w:sz w:val="22"/>
          <w:szCs w:val="22"/>
          <w:lang w:val="en-GB"/>
        </w:rPr>
      </w:pPr>
    </w:p>
    <w:p w14:paraId="18BA6618" w14:textId="762322AA" w:rsidR="005257B4" w:rsidRDefault="005257B4" w:rsidP="007D3D48">
      <w:pPr>
        <w:pStyle w:val="ListParagraph"/>
        <w:numPr>
          <w:ilvl w:val="1"/>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Foreign non-main proceeding </w:t>
      </w:r>
      <w:r w:rsidR="006567F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6567FF">
        <w:rPr>
          <w:rFonts w:ascii="Avenir Next" w:hAnsi="Avenir Next" w:cs="Arial"/>
          <w:color w:val="7B7B7B" w:themeColor="accent3" w:themeShade="BF"/>
          <w:sz w:val="22"/>
          <w:szCs w:val="22"/>
          <w:lang w:val="en-GB"/>
        </w:rPr>
        <w:t xml:space="preserve">if </w:t>
      </w:r>
      <w:r w:rsidR="008527F4">
        <w:rPr>
          <w:rFonts w:ascii="Avenir Next" w:hAnsi="Avenir Next" w:cs="Arial"/>
          <w:color w:val="7B7B7B" w:themeColor="accent3" w:themeShade="BF"/>
          <w:sz w:val="22"/>
          <w:szCs w:val="22"/>
          <w:lang w:val="en-GB"/>
        </w:rPr>
        <w:t>Nadir has an “establishment” in Erewhon</w:t>
      </w:r>
      <w:r>
        <w:rPr>
          <w:rFonts w:ascii="Avenir Next" w:hAnsi="Avenir Next" w:cs="Arial"/>
          <w:color w:val="7B7B7B" w:themeColor="accent3" w:themeShade="BF"/>
          <w:sz w:val="22"/>
          <w:szCs w:val="22"/>
          <w:lang w:val="en-GB"/>
        </w:rPr>
        <w:t>.</w:t>
      </w:r>
      <w:r w:rsidR="00291DF7">
        <w:rPr>
          <w:rFonts w:ascii="Avenir Next" w:hAnsi="Avenir Next" w:cs="Arial"/>
          <w:color w:val="7B7B7B" w:themeColor="accent3" w:themeShade="BF"/>
          <w:sz w:val="22"/>
          <w:szCs w:val="22"/>
          <w:lang w:val="en-GB"/>
        </w:rPr>
        <w:t xml:space="preserve"> </w:t>
      </w:r>
      <w:r w:rsidR="003F33FD">
        <w:rPr>
          <w:rFonts w:ascii="Avenir Next" w:hAnsi="Avenir Next" w:cs="Arial"/>
          <w:color w:val="7B7B7B" w:themeColor="accent3" w:themeShade="BF"/>
          <w:sz w:val="22"/>
          <w:szCs w:val="22"/>
          <w:lang w:val="en-GB"/>
        </w:rPr>
        <w:t>Establishment is defined by article 2(f)</w:t>
      </w:r>
      <w:r w:rsidR="00AD167C">
        <w:rPr>
          <w:rFonts w:ascii="Avenir Next" w:hAnsi="Avenir Next" w:cs="Arial"/>
          <w:color w:val="7B7B7B" w:themeColor="accent3" w:themeShade="BF"/>
          <w:sz w:val="22"/>
          <w:szCs w:val="22"/>
          <w:lang w:val="en-GB"/>
        </w:rPr>
        <w:t xml:space="preserve"> of the Model Law</w:t>
      </w:r>
      <w:r w:rsidR="003F33FD">
        <w:rPr>
          <w:rFonts w:ascii="Avenir Next" w:hAnsi="Avenir Next" w:cs="Arial"/>
          <w:color w:val="7B7B7B" w:themeColor="accent3" w:themeShade="BF"/>
          <w:sz w:val="22"/>
          <w:szCs w:val="22"/>
          <w:lang w:val="en-GB"/>
        </w:rPr>
        <w:t xml:space="preserve"> as </w:t>
      </w:r>
      <w:r w:rsidR="00C0590F">
        <w:rPr>
          <w:rFonts w:ascii="Avenir Next" w:hAnsi="Avenir Next" w:cs="Arial"/>
          <w:color w:val="7B7B7B" w:themeColor="accent3" w:themeShade="BF"/>
          <w:sz w:val="22"/>
          <w:szCs w:val="22"/>
          <w:lang w:val="en-GB"/>
        </w:rPr>
        <w:t>any place that Nadir “</w:t>
      </w:r>
      <w:r w:rsidR="00C0590F" w:rsidRPr="00F27C8B">
        <w:rPr>
          <w:rFonts w:ascii="Avenir Next" w:hAnsi="Avenir Next" w:cs="Arial"/>
          <w:i/>
          <w:iCs/>
          <w:color w:val="7B7B7B" w:themeColor="accent3" w:themeShade="BF"/>
          <w:sz w:val="22"/>
          <w:szCs w:val="22"/>
          <w:lang w:val="en-GB"/>
        </w:rPr>
        <w:t>carries out a non-</w:t>
      </w:r>
      <w:r w:rsidR="00F27C8B" w:rsidRPr="00F27C8B">
        <w:rPr>
          <w:rFonts w:ascii="Avenir Next" w:hAnsi="Avenir Next" w:cs="Arial"/>
          <w:i/>
          <w:iCs/>
          <w:color w:val="7B7B7B" w:themeColor="accent3" w:themeShade="BF"/>
          <w:sz w:val="22"/>
          <w:szCs w:val="22"/>
          <w:lang w:val="en-GB"/>
        </w:rPr>
        <w:t>transitory</w:t>
      </w:r>
      <w:r w:rsidR="00C0590F" w:rsidRPr="00F27C8B">
        <w:rPr>
          <w:rFonts w:ascii="Avenir Next" w:hAnsi="Avenir Next" w:cs="Arial"/>
          <w:i/>
          <w:iCs/>
          <w:color w:val="7B7B7B" w:themeColor="accent3" w:themeShade="BF"/>
          <w:sz w:val="22"/>
          <w:szCs w:val="22"/>
          <w:lang w:val="en-GB"/>
        </w:rPr>
        <w:t xml:space="preserve"> economic activity with human means and goods or services</w:t>
      </w:r>
      <w:r w:rsidR="00C0590F">
        <w:rPr>
          <w:rFonts w:ascii="Avenir Next" w:hAnsi="Avenir Next" w:cs="Arial"/>
          <w:color w:val="7B7B7B" w:themeColor="accent3" w:themeShade="BF"/>
          <w:sz w:val="22"/>
          <w:szCs w:val="22"/>
          <w:lang w:val="en-GB"/>
        </w:rPr>
        <w:t>.”</w:t>
      </w:r>
      <w:r w:rsidR="00F27C8B">
        <w:rPr>
          <w:rStyle w:val="FootnoteReference"/>
          <w:rFonts w:ascii="Avenir Next" w:hAnsi="Avenir Next" w:cs="Arial"/>
          <w:color w:val="7B7B7B" w:themeColor="accent3" w:themeShade="BF"/>
          <w:sz w:val="22"/>
          <w:szCs w:val="22"/>
          <w:lang w:val="en-GB"/>
        </w:rPr>
        <w:footnoteReference w:id="42"/>
      </w:r>
      <w:r w:rsidR="001232BA">
        <w:rPr>
          <w:rFonts w:ascii="Avenir Next" w:hAnsi="Avenir Next" w:cs="Arial"/>
          <w:color w:val="7B7B7B" w:themeColor="accent3" w:themeShade="BF"/>
          <w:sz w:val="22"/>
          <w:szCs w:val="22"/>
          <w:lang w:val="en-GB"/>
        </w:rPr>
        <w:t xml:space="preserve"> </w:t>
      </w:r>
      <w:r w:rsidR="002015F6">
        <w:rPr>
          <w:rFonts w:ascii="Avenir Next" w:hAnsi="Avenir Next" w:cs="Arial"/>
          <w:color w:val="7B7B7B" w:themeColor="accent3" w:themeShade="BF"/>
          <w:sz w:val="22"/>
          <w:szCs w:val="22"/>
          <w:lang w:val="en-GB"/>
        </w:rPr>
        <w:t xml:space="preserve">Paragraph </w:t>
      </w:r>
      <w:r w:rsidR="0019263B">
        <w:rPr>
          <w:rFonts w:ascii="Avenir Next" w:hAnsi="Avenir Next" w:cs="Arial"/>
          <w:color w:val="7B7B7B" w:themeColor="accent3" w:themeShade="BF"/>
          <w:sz w:val="22"/>
          <w:szCs w:val="22"/>
          <w:lang w:val="en-GB"/>
        </w:rPr>
        <w:t>89</w:t>
      </w:r>
      <w:r w:rsidR="002015F6">
        <w:rPr>
          <w:rFonts w:ascii="Avenir Next" w:hAnsi="Avenir Next" w:cs="Arial"/>
          <w:color w:val="7B7B7B" w:themeColor="accent3" w:themeShade="BF"/>
          <w:sz w:val="22"/>
          <w:szCs w:val="22"/>
          <w:lang w:val="en-GB"/>
        </w:rPr>
        <w:t xml:space="preserve"> of the UNCITRAL Guide</w:t>
      </w:r>
      <w:r w:rsidR="002015F6">
        <w:rPr>
          <w:rStyle w:val="FootnoteReference"/>
          <w:rFonts w:ascii="Avenir Next" w:hAnsi="Avenir Next" w:cs="Arial"/>
          <w:color w:val="7B7B7B" w:themeColor="accent3" w:themeShade="BF"/>
          <w:sz w:val="22"/>
          <w:szCs w:val="22"/>
          <w:lang w:val="en-GB"/>
        </w:rPr>
        <w:footnoteReference w:id="43"/>
      </w:r>
      <w:r w:rsidR="002015F6">
        <w:rPr>
          <w:rFonts w:ascii="Avenir Next" w:hAnsi="Avenir Next" w:cs="Arial"/>
          <w:color w:val="7B7B7B" w:themeColor="accent3" w:themeShade="BF"/>
          <w:sz w:val="22"/>
          <w:szCs w:val="22"/>
          <w:lang w:val="en-GB"/>
        </w:rPr>
        <w:t xml:space="preserve"> </w:t>
      </w:r>
      <w:r w:rsidR="00C12FE4">
        <w:rPr>
          <w:rFonts w:ascii="Avenir Next" w:hAnsi="Avenir Next" w:cs="Arial"/>
          <w:color w:val="7B7B7B" w:themeColor="accent3" w:themeShade="BF"/>
          <w:sz w:val="22"/>
          <w:szCs w:val="22"/>
          <w:lang w:val="en-GB"/>
        </w:rPr>
        <w:t xml:space="preserve">refers to the </w:t>
      </w:r>
      <w:r w:rsidR="00C12FE4">
        <w:rPr>
          <w:rFonts w:ascii="Avenir Next" w:hAnsi="Avenir Next" w:cs="Arial"/>
          <w:b/>
          <w:bCs/>
          <w:color w:val="7B7B7B" w:themeColor="accent3" w:themeShade="BF"/>
          <w:sz w:val="22"/>
          <w:szCs w:val="22"/>
          <w:lang w:val="en-GB"/>
        </w:rPr>
        <w:t>Virgos-Schmit Report</w:t>
      </w:r>
      <w:r w:rsidR="009C3139">
        <w:rPr>
          <w:rStyle w:val="FootnoteReference"/>
          <w:rFonts w:ascii="Avenir Next" w:hAnsi="Avenir Next" w:cs="Arial"/>
          <w:color w:val="7B7B7B" w:themeColor="accent3" w:themeShade="BF"/>
          <w:sz w:val="22"/>
          <w:szCs w:val="22"/>
          <w:lang w:val="en-GB"/>
        </w:rPr>
        <w:footnoteReference w:id="44"/>
      </w:r>
      <w:r w:rsidR="009C3139">
        <w:rPr>
          <w:rFonts w:ascii="Avenir Next" w:hAnsi="Avenir Next" w:cs="Arial"/>
          <w:color w:val="7B7B7B" w:themeColor="accent3" w:themeShade="BF"/>
          <w:sz w:val="22"/>
          <w:szCs w:val="22"/>
          <w:lang w:val="en-GB"/>
        </w:rPr>
        <w:t xml:space="preserve"> </w:t>
      </w:r>
      <w:r w:rsidR="00C12FE4">
        <w:rPr>
          <w:rFonts w:ascii="Avenir Next" w:hAnsi="Avenir Next" w:cs="Arial"/>
          <w:color w:val="7B7B7B" w:themeColor="accent3" w:themeShade="BF"/>
          <w:sz w:val="22"/>
          <w:szCs w:val="22"/>
          <w:lang w:val="en-GB"/>
        </w:rPr>
        <w:t xml:space="preserve">to provide </w:t>
      </w:r>
      <w:r w:rsidR="00FA2B17">
        <w:rPr>
          <w:rFonts w:ascii="Avenir Next" w:hAnsi="Avenir Next" w:cs="Arial"/>
          <w:color w:val="7B7B7B" w:themeColor="accent3" w:themeShade="BF"/>
          <w:sz w:val="22"/>
          <w:szCs w:val="22"/>
          <w:lang w:val="en-GB"/>
        </w:rPr>
        <w:t>the following</w:t>
      </w:r>
      <w:r w:rsidR="00C12FE4">
        <w:rPr>
          <w:rFonts w:ascii="Avenir Next" w:hAnsi="Avenir Next" w:cs="Arial"/>
          <w:color w:val="7B7B7B" w:themeColor="accent3" w:themeShade="BF"/>
          <w:sz w:val="22"/>
          <w:szCs w:val="22"/>
          <w:lang w:val="en-GB"/>
        </w:rPr>
        <w:t xml:space="preserve"> further explanation of the word “establishment</w:t>
      </w:r>
      <w:r w:rsidR="00FA2B17">
        <w:rPr>
          <w:rFonts w:ascii="Avenir Next" w:hAnsi="Avenir Next" w:cs="Arial"/>
          <w:color w:val="7B7B7B" w:themeColor="accent3" w:themeShade="BF"/>
          <w:sz w:val="22"/>
          <w:szCs w:val="22"/>
          <w:lang w:val="en-GB"/>
        </w:rPr>
        <w:t>:</w:t>
      </w:r>
      <w:r w:rsidR="00C12FE4">
        <w:rPr>
          <w:rFonts w:ascii="Avenir Next" w:hAnsi="Avenir Next" w:cs="Arial"/>
          <w:color w:val="7B7B7B" w:themeColor="accent3" w:themeShade="BF"/>
          <w:sz w:val="22"/>
          <w:szCs w:val="22"/>
          <w:lang w:val="en-GB"/>
        </w:rPr>
        <w:t>”</w:t>
      </w:r>
      <w:r w:rsidR="00FA2B17">
        <w:rPr>
          <w:rStyle w:val="FootnoteReference"/>
          <w:rFonts w:ascii="Avenir Next" w:hAnsi="Avenir Next" w:cs="Arial"/>
          <w:color w:val="7B7B7B" w:themeColor="accent3" w:themeShade="BF"/>
          <w:sz w:val="22"/>
          <w:szCs w:val="22"/>
          <w:lang w:val="en-GB"/>
        </w:rPr>
        <w:footnoteReference w:id="45"/>
      </w:r>
    </w:p>
    <w:p w14:paraId="7FAF2DA7" w14:textId="7E776D0E" w:rsidR="00FA2B17" w:rsidRPr="0035342B" w:rsidRDefault="00FA2B17" w:rsidP="00FA2B17">
      <w:pPr>
        <w:pStyle w:val="ListParagraph"/>
        <w:ind w:left="792"/>
        <w:jc w:val="both"/>
        <w:rPr>
          <w:rFonts w:ascii="Avenir Next" w:hAnsi="Avenir Next" w:cs="Arial"/>
          <w:color w:val="7B7B7B" w:themeColor="accent3" w:themeShade="BF"/>
          <w:sz w:val="14"/>
          <w:szCs w:val="14"/>
          <w:lang w:val="en-GB"/>
        </w:rPr>
      </w:pPr>
    </w:p>
    <w:p w14:paraId="31162AAD" w14:textId="02FA53A0" w:rsidR="00D43FD0" w:rsidRDefault="00D43FD0" w:rsidP="00C8484E">
      <w:pPr>
        <w:pStyle w:val="ListParagraph"/>
        <w:numPr>
          <w:ilvl w:val="0"/>
          <w:numId w:val="23"/>
        </w:numPr>
        <w:ind w:left="1134" w:hanging="425"/>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Human resources requires a minimum level of organisation;</w:t>
      </w:r>
      <w:r w:rsidR="00C8484E">
        <w:rPr>
          <w:rFonts w:ascii="Avenir Next" w:hAnsi="Avenir Next" w:cs="Arial"/>
          <w:color w:val="7B7B7B" w:themeColor="accent3" w:themeShade="BF"/>
          <w:sz w:val="22"/>
          <w:szCs w:val="22"/>
          <w:lang w:val="en-GB"/>
        </w:rPr>
        <w:t xml:space="preserve"> and</w:t>
      </w:r>
    </w:p>
    <w:p w14:paraId="5866D13A" w14:textId="0FC04E23" w:rsidR="00C8484E" w:rsidRDefault="00C8484E" w:rsidP="00C8484E">
      <w:pPr>
        <w:pStyle w:val="ListParagraph"/>
        <w:numPr>
          <w:ilvl w:val="0"/>
          <w:numId w:val="23"/>
        </w:numPr>
        <w:ind w:left="1134" w:hanging="425"/>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Non-transitory requires that the place not be occasional</w:t>
      </w:r>
      <w:r w:rsidR="00054E93">
        <w:rPr>
          <w:rFonts w:ascii="Avenir Next" w:hAnsi="Avenir Next" w:cs="Arial"/>
          <w:color w:val="7B7B7B" w:themeColor="accent3" w:themeShade="BF"/>
          <w:sz w:val="22"/>
          <w:szCs w:val="22"/>
          <w:lang w:val="en-GB"/>
        </w:rPr>
        <w:t>, such that stability is required. There does not appear to be a minimum time requirement. However, this appears to be a legal question</w:t>
      </w:r>
      <w:r w:rsidR="00F62E9D">
        <w:rPr>
          <w:rFonts w:ascii="Avenir Next" w:hAnsi="Avenir Next" w:cs="Arial"/>
          <w:color w:val="7B7B7B" w:themeColor="accent3" w:themeShade="BF"/>
          <w:sz w:val="22"/>
          <w:szCs w:val="22"/>
          <w:lang w:val="en-GB"/>
        </w:rPr>
        <w:t xml:space="preserve"> and I would need to know whether Utopia jurisprudence has decided this point previously. </w:t>
      </w:r>
    </w:p>
    <w:p w14:paraId="5F823C33" w14:textId="7AB0CC50" w:rsidR="00F62E9D" w:rsidRDefault="00F62E9D" w:rsidP="00F62E9D">
      <w:pPr>
        <w:ind w:left="709"/>
        <w:jc w:val="both"/>
        <w:rPr>
          <w:rFonts w:ascii="Avenir Next" w:hAnsi="Avenir Next" w:cs="Arial"/>
          <w:color w:val="7B7B7B" w:themeColor="accent3" w:themeShade="BF"/>
          <w:sz w:val="22"/>
          <w:szCs w:val="22"/>
          <w:lang w:val="en-GB"/>
        </w:rPr>
      </w:pPr>
    </w:p>
    <w:p w14:paraId="6B9B24BA" w14:textId="64014D90" w:rsidR="00F62E9D" w:rsidRPr="00F62E9D" w:rsidRDefault="00F62E9D" w:rsidP="00F62E9D">
      <w:pPr>
        <w:ind w:left="709"/>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factual matrix does not provide sufficient factual evidence to determine whether </w:t>
      </w:r>
      <w:r w:rsidR="008377EA">
        <w:rPr>
          <w:rFonts w:ascii="Avenir Next" w:hAnsi="Avenir Next" w:cs="Arial"/>
          <w:color w:val="7B7B7B" w:themeColor="accent3" w:themeShade="BF"/>
          <w:sz w:val="22"/>
          <w:szCs w:val="22"/>
          <w:lang w:val="en-GB"/>
        </w:rPr>
        <w:t xml:space="preserve">the movement of said office to Utopia is transitory or </w:t>
      </w:r>
      <w:r w:rsidR="0035342B">
        <w:rPr>
          <w:rFonts w:ascii="Avenir Next" w:hAnsi="Avenir Next" w:cs="Arial"/>
          <w:color w:val="7B7B7B" w:themeColor="accent3" w:themeShade="BF"/>
          <w:sz w:val="22"/>
          <w:szCs w:val="22"/>
          <w:lang w:val="en-GB"/>
        </w:rPr>
        <w:t>what is the</w:t>
      </w:r>
      <w:r w:rsidR="008377EA">
        <w:rPr>
          <w:rFonts w:ascii="Avenir Next" w:hAnsi="Avenir Next" w:cs="Arial"/>
          <w:color w:val="7B7B7B" w:themeColor="accent3" w:themeShade="BF"/>
          <w:sz w:val="22"/>
          <w:szCs w:val="22"/>
          <w:lang w:val="en-GB"/>
        </w:rPr>
        <w:t xml:space="preserve"> nature of the services or goods supplied by Nadir</w:t>
      </w:r>
      <w:r w:rsidR="0035342B">
        <w:rPr>
          <w:rFonts w:ascii="Avenir Next" w:hAnsi="Avenir Next" w:cs="Arial"/>
          <w:color w:val="7B7B7B" w:themeColor="accent3" w:themeShade="BF"/>
          <w:sz w:val="22"/>
          <w:szCs w:val="22"/>
          <w:lang w:val="en-GB"/>
        </w:rPr>
        <w:t>.</w:t>
      </w:r>
      <w:r w:rsidR="008377EA">
        <w:rPr>
          <w:rFonts w:ascii="Avenir Next" w:hAnsi="Avenir Next" w:cs="Arial"/>
          <w:color w:val="7B7B7B" w:themeColor="accent3" w:themeShade="BF"/>
          <w:sz w:val="22"/>
          <w:szCs w:val="22"/>
          <w:lang w:val="en-GB"/>
        </w:rPr>
        <w:t xml:space="preserve"> </w:t>
      </w:r>
    </w:p>
    <w:p w14:paraId="6BE47E63" w14:textId="77777777" w:rsidR="007D3D48" w:rsidRDefault="007D3D48" w:rsidP="007D3D48">
      <w:pPr>
        <w:pStyle w:val="ListParagraph"/>
        <w:ind w:left="426"/>
        <w:jc w:val="both"/>
        <w:rPr>
          <w:rFonts w:ascii="Avenir Next" w:hAnsi="Avenir Next" w:cs="Arial"/>
          <w:color w:val="7B7B7B" w:themeColor="accent3" w:themeShade="BF"/>
          <w:sz w:val="22"/>
          <w:szCs w:val="22"/>
          <w:lang w:val="en-GB"/>
        </w:rPr>
      </w:pPr>
    </w:p>
    <w:p w14:paraId="492543FC" w14:textId="6B04F70B" w:rsidR="007D3D48" w:rsidRDefault="000158A2" w:rsidP="00A25A96">
      <w:pPr>
        <w:pStyle w:val="ListParagraph"/>
        <w:numPr>
          <w:ilvl w:val="0"/>
          <w:numId w:val="25"/>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the Erewhon liquidator meets the requirements of a foreign main proceedings, </w:t>
      </w:r>
      <w:r w:rsidR="0020759F">
        <w:rPr>
          <w:rFonts w:ascii="Avenir Next" w:hAnsi="Avenir Next" w:cs="Arial"/>
          <w:color w:val="7B7B7B" w:themeColor="accent3" w:themeShade="BF"/>
          <w:sz w:val="22"/>
          <w:szCs w:val="22"/>
          <w:lang w:val="en-GB"/>
        </w:rPr>
        <w:t>then article 20 of the Model Law records the effects o</w:t>
      </w:r>
      <w:r w:rsidR="004777B0">
        <w:rPr>
          <w:rFonts w:ascii="Avenir Next" w:hAnsi="Avenir Next" w:cs="Arial"/>
          <w:color w:val="7B7B7B" w:themeColor="accent3" w:themeShade="BF"/>
          <w:sz w:val="22"/>
          <w:szCs w:val="22"/>
          <w:lang w:val="en-GB"/>
        </w:rPr>
        <w:t>n Nadir’s assets, rights, creditors, etc</w:t>
      </w:r>
      <w:r w:rsidR="00852D34">
        <w:rPr>
          <w:rFonts w:ascii="Avenir Next" w:hAnsi="Avenir Next" w:cs="Arial"/>
          <w:color w:val="7B7B7B" w:themeColor="accent3" w:themeShade="BF"/>
          <w:sz w:val="22"/>
          <w:szCs w:val="22"/>
          <w:lang w:val="en-GB"/>
        </w:rPr>
        <w:t xml:space="preserve">, including the staying of any </w:t>
      </w:r>
      <w:r w:rsidR="00C17B6F">
        <w:rPr>
          <w:rFonts w:ascii="Avenir Next" w:hAnsi="Avenir Next" w:cs="Arial"/>
          <w:color w:val="7B7B7B" w:themeColor="accent3" w:themeShade="BF"/>
          <w:sz w:val="22"/>
          <w:szCs w:val="22"/>
          <w:lang w:val="en-GB"/>
        </w:rPr>
        <w:t>other court actions in Utopia.</w:t>
      </w:r>
      <w:r w:rsidR="00C17B6F">
        <w:rPr>
          <w:rStyle w:val="FootnoteReference"/>
          <w:rFonts w:ascii="Avenir Next" w:hAnsi="Avenir Next" w:cs="Arial"/>
          <w:color w:val="7B7B7B" w:themeColor="accent3" w:themeShade="BF"/>
          <w:sz w:val="22"/>
          <w:szCs w:val="22"/>
          <w:lang w:val="en-GB"/>
        </w:rPr>
        <w:footnoteReference w:id="46"/>
      </w:r>
    </w:p>
    <w:p w14:paraId="15C96A70" w14:textId="36BE6E31" w:rsidR="00DC2FAF" w:rsidRPr="008B2B86" w:rsidRDefault="00DC2FAF" w:rsidP="00A25A96">
      <w:pPr>
        <w:pStyle w:val="ListParagraph"/>
        <w:numPr>
          <w:ilvl w:val="0"/>
          <w:numId w:val="25"/>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Assuming the Erewhon liquidator meets the requirements of a foreign main proceedings or foreign non-main proceedings, then article 21 of the Model Law records </w:t>
      </w:r>
      <w:r w:rsidR="009B2992">
        <w:rPr>
          <w:rFonts w:ascii="Avenir Next" w:hAnsi="Avenir Next" w:cs="Arial"/>
          <w:color w:val="7B7B7B" w:themeColor="accent3" w:themeShade="BF"/>
          <w:sz w:val="22"/>
          <w:szCs w:val="22"/>
          <w:lang w:val="en-GB"/>
        </w:rPr>
        <w:t xml:space="preserve">a non-exhaustive list of potential relief available to foreign representative, including orders </w:t>
      </w:r>
      <w:r w:rsidR="00B311D8">
        <w:rPr>
          <w:rFonts w:ascii="Avenir Next" w:hAnsi="Avenir Next" w:cs="Arial"/>
          <w:color w:val="7B7B7B" w:themeColor="accent3" w:themeShade="BF"/>
          <w:sz w:val="22"/>
          <w:szCs w:val="22"/>
          <w:lang w:val="en-GB"/>
        </w:rPr>
        <w:t>entrusting</w:t>
      </w:r>
      <w:r w:rsidR="009B2992">
        <w:rPr>
          <w:rFonts w:ascii="Avenir Next" w:hAnsi="Avenir Next" w:cs="Arial"/>
          <w:color w:val="7B7B7B" w:themeColor="accent3" w:themeShade="BF"/>
          <w:sz w:val="22"/>
          <w:szCs w:val="22"/>
          <w:lang w:val="en-GB"/>
        </w:rPr>
        <w:t xml:space="preserve"> the Erewhon liquidator</w:t>
      </w:r>
      <w:r w:rsidR="00B311D8">
        <w:rPr>
          <w:rFonts w:ascii="Avenir Next" w:hAnsi="Avenir Next" w:cs="Arial"/>
          <w:color w:val="7B7B7B" w:themeColor="accent3" w:themeShade="BF"/>
          <w:sz w:val="22"/>
          <w:szCs w:val="22"/>
          <w:lang w:val="en-GB"/>
        </w:rPr>
        <w:t xml:space="preserve"> with the powers to realise assets in Utopia </w:t>
      </w:r>
      <w:r w:rsidR="00102EBB">
        <w:rPr>
          <w:rFonts w:ascii="Avenir Next" w:hAnsi="Avenir Next" w:cs="Arial"/>
          <w:color w:val="7B7B7B" w:themeColor="accent3" w:themeShade="BF"/>
          <w:sz w:val="22"/>
          <w:szCs w:val="22"/>
          <w:lang w:val="en-GB"/>
        </w:rPr>
        <w:t>and distribute available funds to Utopian creditors.</w:t>
      </w:r>
      <w:r w:rsidR="00102EBB">
        <w:rPr>
          <w:rStyle w:val="FootnoteReference"/>
          <w:rFonts w:ascii="Avenir Next" w:hAnsi="Avenir Next" w:cs="Arial"/>
          <w:color w:val="7B7B7B" w:themeColor="accent3" w:themeShade="BF"/>
          <w:sz w:val="22"/>
          <w:szCs w:val="22"/>
          <w:lang w:val="en-GB"/>
        </w:rPr>
        <w:footnoteReference w:id="47"/>
      </w:r>
    </w:p>
    <w:p w14:paraId="0AE891C6" w14:textId="77777777" w:rsidR="00A506C1" w:rsidRPr="00827D56" w:rsidRDefault="00A506C1"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584F3671" w:rsidR="002D3473" w:rsidRPr="00827D56" w:rsidRDefault="00F40A2A"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scenario (a), the answer is no</w:t>
      </w:r>
      <w:r w:rsidR="00DB0F33">
        <w:rPr>
          <w:rFonts w:ascii="Avenir Next" w:hAnsi="Avenir Next" w:cs="Arial"/>
          <w:color w:val="7B7B7B" w:themeColor="accent3" w:themeShade="BF"/>
          <w:sz w:val="22"/>
          <w:szCs w:val="22"/>
          <w:lang w:val="en-GB"/>
        </w:rPr>
        <w:t>t necessarily</w:t>
      </w:r>
      <w:r w:rsidR="00DC5ECA">
        <w:rPr>
          <w:rFonts w:ascii="Avenir Next" w:hAnsi="Avenir Next" w:cs="Arial"/>
          <w:color w:val="7B7B7B" w:themeColor="accent3" w:themeShade="BF"/>
          <w:sz w:val="22"/>
          <w:szCs w:val="22"/>
          <w:lang w:val="en-GB"/>
        </w:rPr>
        <w:t xml:space="preserve"> (assuming the Erewhon liquidator can meet the requirements of a foreign main proceeding or foreign non-main proceeding). This is because </w:t>
      </w:r>
      <w:r w:rsidR="005B1E1E">
        <w:rPr>
          <w:rFonts w:ascii="Avenir Next" w:hAnsi="Avenir Next" w:cs="Arial"/>
          <w:color w:val="7B7B7B" w:themeColor="accent3" w:themeShade="BF"/>
          <w:sz w:val="22"/>
          <w:szCs w:val="22"/>
          <w:lang w:val="en-GB"/>
        </w:rPr>
        <w:t>the Utopian court may make orders staying any such proceedings</w:t>
      </w:r>
      <w:r w:rsidR="00D8700D">
        <w:rPr>
          <w:rStyle w:val="FootnoteReference"/>
          <w:rFonts w:ascii="Avenir Next" w:hAnsi="Avenir Next" w:cs="Arial"/>
          <w:color w:val="7B7B7B" w:themeColor="accent3" w:themeShade="BF"/>
          <w:sz w:val="22"/>
          <w:szCs w:val="22"/>
          <w:lang w:val="en-GB"/>
        </w:rPr>
        <w:footnoteReference w:id="48"/>
      </w:r>
      <w:r w:rsidR="00DB0F33">
        <w:rPr>
          <w:rFonts w:ascii="Avenir Next" w:hAnsi="Avenir Next" w:cs="Arial"/>
          <w:color w:val="7B7B7B" w:themeColor="accent3" w:themeShade="BF"/>
          <w:sz w:val="22"/>
          <w:szCs w:val="22"/>
          <w:lang w:val="en-GB"/>
        </w:rPr>
        <w:t xml:space="preserve"> or make orders </w:t>
      </w:r>
      <w:r w:rsidR="002A2329">
        <w:rPr>
          <w:rFonts w:ascii="Avenir Next" w:hAnsi="Avenir Next" w:cs="Arial"/>
          <w:color w:val="7B7B7B" w:themeColor="accent3" w:themeShade="BF"/>
          <w:sz w:val="22"/>
          <w:szCs w:val="22"/>
          <w:lang w:val="en-GB"/>
        </w:rPr>
        <w:t>joining the Erewhon liquidator to the proceedings.</w:t>
      </w:r>
      <w:r w:rsidR="002A2329">
        <w:rPr>
          <w:rStyle w:val="FootnoteReference"/>
          <w:rFonts w:ascii="Avenir Next" w:hAnsi="Avenir Next" w:cs="Arial"/>
          <w:color w:val="7B7B7B" w:themeColor="accent3" w:themeShade="BF"/>
          <w:sz w:val="22"/>
          <w:szCs w:val="22"/>
          <w:lang w:val="en-GB"/>
        </w:rPr>
        <w:footnoteReference w:id="49"/>
      </w:r>
      <w:r>
        <w:rPr>
          <w:rFonts w:ascii="Avenir Next" w:hAnsi="Avenir Next" w:cs="Arial"/>
          <w:color w:val="7B7B7B" w:themeColor="accent3" w:themeShade="BF"/>
          <w:sz w:val="22"/>
          <w:szCs w:val="22"/>
          <w:lang w:val="en-GB"/>
        </w:rPr>
        <w:t xml:space="preserve"> </w:t>
      </w:r>
      <w:r w:rsidR="00286ED3">
        <w:rPr>
          <w:rFonts w:ascii="Avenir Next" w:hAnsi="Avenir Next" w:cs="Arial"/>
          <w:color w:val="7B7B7B" w:themeColor="accent3" w:themeShade="BF"/>
          <w:sz w:val="22"/>
          <w:szCs w:val="22"/>
          <w:lang w:val="en-GB"/>
        </w:rPr>
        <w:t xml:space="preserve">I note that </w:t>
      </w:r>
      <w:r w:rsidR="0053586C">
        <w:rPr>
          <w:rFonts w:ascii="Avenir Next" w:hAnsi="Avenir Next" w:cs="Arial"/>
          <w:color w:val="7B7B7B" w:themeColor="accent3" w:themeShade="BF"/>
          <w:sz w:val="22"/>
          <w:szCs w:val="22"/>
          <w:lang w:val="en-GB"/>
        </w:rPr>
        <w:t xml:space="preserve">article 31 grants a presumption of insolvency in </w:t>
      </w:r>
      <w:r w:rsidR="00540E49">
        <w:rPr>
          <w:rFonts w:ascii="Avenir Next" w:hAnsi="Avenir Next" w:cs="Arial"/>
          <w:color w:val="7B7B7B" w:themeColor="accent3" w:themeShade="BF"/>
          <w:sz w:val="22"/>
          <w:szCs w:val="22"/>
          <w:lang w:val="en-GB"/>
        </w:rPr>
        <w:t>any wind-up proceedings brought by Apex by reason of the foreign main proceeding.</w:t>
      </w:r>
      <w:r w:rsidR="005D7EDE">
        <w:rPr>
          <w:rStyle w:val="FootnoteReference"/>
          <w:rFonts w:ascii="Avenir Next" w:hAnsi="Avenir Next" w:cs="Arial"/>
          <w:color w:val="7B7B7B" w:themeColor="accent3" w:themeShade="BF"/>
          <w:sz w:val="22"/>
          <w:szCs w:val="22"/>
          <w:lang w:val="en-GB"/>
        </w:rPr>
        <w:footnoteReference w:id="50"/>
      </w:r>
      <w:r w:rsidR="00540E49">
        <w:rPr>
          <w:rFonts w:ascii="Avenir Next" w:hAnsi="Avenir Next" w:cs="Arial"/>
          <w:color w:val="7B7B7B" w:themeColor="accent3" w:themeShade="BF"/>
          <w:sz w:val="22"/>
          <w:szCs w:val="22"/>
          <w:lang w:val="en-GB"/>
        </w:rPr>
        <w:t xml:space="preserve"> </w:t>
      </w:r>
    </w:p>
    <w:p w14:paraId="1B5E2F08" w14:textId="773C4451" w:rsidR="002D3473" w:rsidRPr="00532AB4"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5E15CBF0" w14:textId="5F7E7FB0" w:rsidR="00532AB4" w:rsidRPr="00532AB4" w:rsidRDefault="00532AB4"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532AB4">
        <w:rPr>
          <w:rFonts w:ascii="Avenir Next" w:hAnsi="Avenir Next" w:cs="Arial"/>
          <w:color w:val="7B7B7B" w:themeColor="accent3" w:themeShade="BF"/>
          <w:sz w:val="22"/>
          <w:szCs w:val="22"/>
          <w:lang w:val="en-GB"/>
        </w:rPr>
        <w:t>In sce</w:t>
      </w:r>
      <w:r>
        <w:rPr>
          <w:rFonts w:ascii="Avenir Next" w:hAnsi="Avenir Next" w:cs="Arial"/>
          <w:color w:val="7B7B7B" w:themeColor="accent3" w:themeShade="BF"/>
          <w:sz w:val="22"/>
          <w:szCs w:val="22"/>
          <w:lang w:val="en-GB"/>
        </w:rPr>
        <w:t xml:space="preserve">nario (b), the answer is </w:t>
      </w:r>
      <w:r w:rsidR="00717C06">
        <w:rPr>
          <w:rFonts w:ascii="Avenir Next" w:hAnsi="Avenir Next" w:cs="Arial"/>
          <w:color w:val="7B7B7B" w:themeColor="accent3" w:themeShade="BF"/>
          <w:sz w:val="22"/>
          <w:szCs w:val="22"/>
          <w:lang w:val="en-GB"/>
        </w:rPr>
        <w:t xml:space="preserve">potentially </w:t>
      </w:r>
      <w:r>
        <w:rPr>
          <w:rFonts w:ascii="Avenir Next" w:hAnsi="Avenir Next" w:cs="Arial"/>
          <w:color w:val="7B7B7B" w:themeColor="accent3" w:themeShade="BF"/>
          <w:sz w:val="22"/>
          <w:szCs w:val="22"/>
          <w:lang w:val="en-GB"/>
        </w:rPr>
        <w:t xml:space="preserve">yes (assuming the Erewhon liquidator can meet the requirements of a foreign main proceeding or foreign non-main proceeding). </w:t>
      </w:r>
      <w:r w:rsidR="003C44E9">
        <w:rPr>
          <w:rFonts w:ascii="Avenir Next" w:hAnsi="Avenir Next" w:cs="Arial"/>
          <w:color w:val="7B7B7B" w:themeColor="accent3" w:themeShade="BF"/>
          <w:sz w:val="22"/>
          <w:szCs w:val="22"/>
          <w:lang w:val="en-GB"/>
        </w:rPr>
        <w:t xml:space="preserve">Chapter V of the Model Law explains how the courts are to deal with the cooperation and coordination of concurrent </w:t>
      </w:r>
      <w:r w:rsidR="00F06101">
        <w:rPr>
          <w:rFonts w:ascii="Avenir Next" w:hAnsi="Avenir Next" w:cs="Arial"/>
          <w:color w:val="7B7B7B" w:themeColor="accent3" w:themeShade="BF"/>
          <w:sz w:val="22"/>
          <w:szCs w:val="22"/>
          <w:lang w:val="en-GB"/>
        </w:rPr>
        <w:t>proceedings.</w:t>
      </w:r>
      <w:r w:rsidR="00F06101">
        <w:rPr>
          <w:rStyle w:val="FootnoteReference"/>
          <w:rFonts w:ascii="Avenir Next" w:hAnsi="Avenir Next" w:cs="Arial"/>
          <w:color w:val="7B7B7B" w:themeColor="accent3" w:themeShade="BF"/>
          <w:sz w:val="22"/>
          <w:szCs w:val="22"/>
          <w:lang w:val="en-GB"/>
        </w:rPr>
        <w:footnoteReference w:id="51"/>
      </w:r>
      <w:r w:rsidR="003C44E9">
        <w:rPr>
          <w:rFonts w:ascii="Avenir Next" w:hAnsi="Avenir Next" w:cs="Arial"/>
          <w:color w:val="7B7B7B" w:themeColor="accent3" w:themeShade="BF"/>
          <w:sz w:val="22"/>
          <w:szCs w:val="22"/>
          <w:lang w:val="en-GB"/>
        </w:rPr>
        <w:t xml:space="preserve">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66AC45A2" w14:textId="77777777" w:rsidR="002337DD" w:rsidRDefault="002337DD">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E2A1D20" w14:textId="2303DFC5"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5C433251" w:rsidR="0077498C" w:rsidRDefault="00834ED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have chosen </w:t>
      </w:r>
      <w:r w:rsidR="002337DD">
        <w:rPr>
          <w:rFonts w:ascii="Avenir Next" w:hAnsi="Avenir Next" w:cs="Arial"/>
          <w:color w:val="7B7B7B" w:themeColor="accent3" w:themeShade="BF"/>
          <w:sz w:val="22"/>
          <w:szCs w:val="22"/>
          <w:lang w:val="en-GB"/>
        </w:rPr>
        <w:t>Germany</w:t>
      </w:r>
      <w:r>
        <w:rPr>
          <w:rFonts w:ascii="Avenir Next" w:hAnsi="Avenir Next" w:cs="Arial"/>
          <w:color w:val="7B7B7B" w:themeColor="accent3" w:themeShade="BF"/>
          <w:sz w:val="22"/>
          <w:szCs w:val="22"/>
          <w:lang w:val="en-GB"/>
        </w:rPr>
        <w:t xml:space="preserve"> and the four key international insolvency issues are: (a) standing for recognition; </w:t>
      </w:r>
      <w:r w:rsidR="003D5081">
        <w:rPr>
          <w:rFonts w:ascii="Avenir Next" w:hAnsi="Avenir Next" w:cs="Arial"/>
          <w:color w:val="7B7B7B" w:themeColor="accent3" w:themeShade="BF"/>
          <w:sz w:val="22"/>
          <w:szCs w:val="22"/>
          <w:lang w:val="en-GB"/>
        </w:rPr>
        <w:t xml:space="preserve">(b) voidable transactions; (c) </w:t>
      </w:r>
      <w:r w:rsidR="000444DC">
        <w:rPr>
          <w:rFonts w:ascii="Avenir Next" w:hAnsi="Avenir Next" w:cs="Arial"/>
          <w:color w:val="7B7B7B" w:themeColor="accent3" w:themeShade="BF"/>
          <w:sz w:val="22"/>
          <w:szCs w:val="22"/>
          <w:lang w:val="en-GB"/>
        </w:rPr>
        <w:t>priorities and preferences</w:t>
      </w:r>
      <w:r w:rsidR="003D5081">
        <w:rPr>
          <w:rFonts w:ascii="Avenir Next" w:hAnsi="Avenir Next" w:cs="Arial"/>
          <w:color w:val="7B7B7B" w:themeColor="accent3" w:themeShade="BF"/>
          <w:sz w:val="22"/>
          <w:szCs w:val="22"/>
          <w:lang w:val="en-GB"/>
        </w:rPr>
        <w:t xml:space="preserve">; and (d) </w:t>
      </w:r>
      <w:r w:rsidR="00B54108">
        <w:rPr>
          <w:rFonts w:ascii="Avenir Next" w:hAnsi="Avenir Next" w:cs="Arial"/>
          <w:color w:val="7B7B7B" w:themeColor="accent3" w:themeShade="BF"/>
          <w:sz w:val="22"/>
          <w:szCs w:val="22"/>
          <w:lang w:val="en-GB"/>
        </w:rPr>
        <w:t>co-ordinated claims procedure.</w:t>
      </w:r>
    </w:p>
    <w:p w14:paraId="73024429" w14:textId="0FB11354" w:rsidR="002337DD" w:rsidRDefault="002337DD" w:rsidP="00C053F7">
      <w:pPr>
        <w:jc w:val="both"/>
        <w:rPr>
          <w:rFonts w:ascii="Avenir Next" w:hAnsi="Avenir Next" w:cs="Arial"/>
          <w:color w:val="7B7B7B" w:themeColor="accent3" w:themeShade="BF"/>
          <w:sz w:val="22"/>
          <w:szCs w:val="22"/>
          <w:lang w:val="en-GB"/>
        </w:rPr>
      </w:pPr>
    </w:p>
    <w:p w14:paraId="408C21B2" w14:textId="4382E523" w:rsidR="00D51C1F" w:rsidRDefault="00D51C1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German insolvency law is codified in the Insolvenzordnung (199</w:t>
      </w:r>
      <w:r w:rsidR="004954C4">
        <w:rPr>
          <w:rFonts w:ascii="Avenir Next" w:hAnsi="Avenir Next" w:cs="Arial"/>
          <w:color w:val="7B7B7B" w:themeColor="accent3" w:themeShade="BF"/>
          <w:sz w:val="22"/>
          <w:szCs w:val="22"/>
          <w:lang w:val="en-GB"/>
        </w:rPr>
        <w:t>4</w:t>
      </w:r>
      <w:r>
        <w:rPr>
          <w:rFonts w:ascii="Avenir Next" w:hAnsi="Avenir Next" w:cs="Arial"/>
          <w:color w:val="7B7B7B" w:themeColor="accent3" w:themeShade="BF"/>
          <w:sz w:val="22"/>
          <w:szCs w:val="22"/>
          <w:lang w:val="en-GB"/>
        </w:rPr>
        <w:t>)</w:t>
      </w:r>
      <w:r w:rsidR="004954C4">
        <w:rPr>
          <w:rFonts w:ascii="Avenir Next" w:hAnsi="Avenir Next" w:cs="Arial"/>
          <w:color w:val="7B7B7B" w:themeColor="accent3" w:themeShade="BF"/>
          <w:sz w:val="22"/>
          <w:szCs w:val="22"/>
          <w:lang w:val="en-GB"/>
        </w:rPr>
        <w:t xml:space="preserve"> (</w:t>
      </w:r>
      <w:r w:rsidR="004954C4" w:rsidRPr="004954C4">
        <w:rPr>
          <w:rFonts w:ascii="Avenir Next" w:hAnsi="Avenir Next" w:cs="Arial"/>
          <w:b/>
          <w:bCs/>
          <w:color w:val="7B7B7B" w:themeColor="accent3" w:themeShade="BF"/>
          <w:sz w:val="22"/>
          <w:szCs w:val="22"/>
          <w:lang w:val="en-GB"/>
        </w:rPr>
        <w:t>InsO</w:t>
      </w:r>
      <w:r w:rsidR="004954C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0DB71A35" w14:textId="77777777" w:rsidR="00D51C1F" w:rsidRDefault="00D51C1F" w:rsidP="00C053F7">
      <w:pPr>
        <w:jc w:val="both"/>
        <w:rPr>
          <w:rFonts w:ascii="Avenir Next" w:hAnsi="Avenir Next" w:cs="Arial"/>
          <w:color w:val="7B7B7B" w:themeColor="accent3" w:themeShade="BF"/>
          <w:sz w:val="22"/>
          <w:szCs w:val="22"/>
          <w:lang w:val="en-GB"/>
        </w:rPr>
      </w:pPr>
    </w:p>
    <w:p w14:paraId="173F3650" w14:textId="15177910" w:rsidR="005929A1" w:rsidRDefault="005929A1" w:rsidP="00C053F7">
      <w:pPr>
        <w:jc w:val="both"/>
        <w:rPr>
          <w:rFonts w:ascii="Avenir Next" w:hAnsi="Avenir Next" w:cs="Arial"/>
          <w:color w:val="7B7B7B" w:themeColor="accent3" w:themeShade="BF"/>
          <w:sz w:val="22"/>
          <w:szCs w:val="22"/>
          <w:lang w:val="en-GB"/>
        </w:rPr>
      </w:pPr>
      <w:r w:rsidRPr="005929A1">
        <w:rPr>
          <w:rFonts w:ascii="Avenir Next" w:hAnsi="Avenir Next" w:cs="Arial"/>
          <w:color w:val="7B7B7B" w:themeColor="accent3" w:themeShade="BF"/>
          <w:sz w:val="22"/>
          <w:szCs w:val="22"/>
          <w:lang w:val="en-GB"/>
        </w:rPr>
        <w:t xml:space="preserve">An amended </w:t>
      </w:r>
      <w:bookmarkStart w:id="2" w:name="_Hlk116795372"/>
      <w:r w:rsidRPr="005929A1">
        <w:rPr>
          <w:rFonts w:ascii="Avenir Next" w:hAnsi="Avenir Next" w:cs="Arial"/>
          <w:color w:val="7B7B7B" w:themeColor="accent3" w:themeShade="BF"/>
          <w:sz w:val="22"/>
          <w:szCs w:val="22"/>
          <w:lang w:val="en-GB"/>
        </w:rPr>
        <w:t>European Insolvency Regulation (</w:t>
      </w:r>
      <w:r w:rsidRPr="00694A8C">
        <w:rPr>
          <w:rFonts w:ascii="Avenir Next" w:hAnsi="Avenir Next" w:cs="Arial"/>
          <w:b/>
          <w:bCs/>
          <w:color w:val="7B7B7B" w:themeColor="accent3" w:themeShade="BF"/>
          <w:sz w:val="22"/>
          <w:szCs w:val="22"/>
          <w:lang w:val="en-GB"/>
        </w:rPr>
        <w:t>EIR</w:t>
      </w:r>
      <w:r w:rsidRPr="005929A1">
        <w:rPr>
          <w:rFonts w:ascii="Avenir Next" w:hAnsi="Avenir Next" w:cs="Arial"/>
          <w:color w:val="7B7B7B" w:themeColor="accent3" w:themeShade="BF"/>
          <w:sz w:val="22"/>
          <w:szCs w:val="22"/>
          <w:lang w:val="en-GB"/>
        </w:rPr>
        <w:t xml:space="preserve">) Recast (2015) </w:t>
      </w:r>
      <w:bookmarkEnd w:id="2"/>
      <w:r w:rsidRPr="005929A1">
        <w:rPr>
          <w:rFonts w:ascii="Avenir Next" w:hAnsi="Avenir Next" w:cs="Arial"/>
          <w:color w:val="7B7B7B" w:themeColor="accent3" w:themeShade="BF"/>
          <w:sz w:val="22"/>
          <w:szCs w:val="22"/>
          <w:lang w:val="en-GB"/>
        </w:rPr>
        <w:t>was adopted in 2015 and took effect in June 2017</w:t>
      </w:r>
      <w:r>
        <w:rPr>
          <w:rFonts w:ascii="Avenir Next" w:hAnsi="Avenir Next" w:cs="Arial"/>
          <w:color w:val="7B7B7B" w:themeColor="accent3" w:themeShade="BF"/>
          <w:sz w:val="22"/>
          <w:szCs w:val="22"/>
          <w:lang w:val="en-GB"/>
        </w:rPr>
        <w:t xml:space="preserve">. </w:t>
      </w:r>
      <w:r w:rsidR="00AE0F59">
        <w:rPr>
          <w:rFonts w:ascii="Avenir Next" w:hAnsi="Avenir Next" w:cs="Arial"/>
          <w:color w:val="7B7B7B" w:themeColor="accent3" w:themeShade="BF"/>
          <w:sz w:val="22"/>
          <w:szCs w:val="22"/>
          <w:lang w:val="en-GB"/>
        </w:rPr>
        <w:t xml:space="preserve">I have </w:t>
      </w:r>
      <w:r w:rsidR="009417E7">
        <w:rPr>
          <w:rFonts w:ascii="Avenir Next" w:hAnsi="Avenir Next" w:cs="Arial"/>
          <w:color w:val="7B7B7B" w:themeColor="accent3" w:themeShade="BF"/>
          <w:sz w:val="22"/>
          <w:szCs w:val="22"/>
          <w:lang w:val="en-GB"/>
        </w:rPr>
        <w:t>presumed that</w:t>
      </w:r>
      <w:r w:rsidR="00AE0F59">
        <w:rPr>
          <w:rFonts w:ascii="Avenir Next" w:hAnsi="Avenir Next" w:cs="Arial"/>
          <w:color w:val="7B7B7B" w:themeColor="accent3" w:themeShade="BF"/>
          <w:sz w:val="22"/>
          <w:szCs w:val="22"/>
          <w:lang w:val="en-GB"/>
        </w:rPr>
        <w:t xml:space="preserve"> </w:t>
      </w:r>
      <w:r w:rsidR="00694A8C">
        <w:rPr>
          <w:rFonts w:ascii="Avenir Next" w:hAnsi="Avenir Next" w:cs="Arial"/>
          <w:color w:val="7B7B7B" w:themeColor="accent3" w:themeShade="BF"/>
          <w:sz w:val="22"/>
          <w:szCs w:val="22"/>
          <w:lang w:val="en-GB"/>
        </w:rPr>
        <w:t xml:space="preserve">Germany is bound by the EIR by reason of </w:t>
      </w:r>
      <w:r w:rsidR="009417E7">
        <w:rPr>
          <w:rFonts w:ascii="Avenir Next" w:hAnsi="Avenir Next" w:cs="Arial"/>
          <w:color w:val="7B7B7B" w:themeColor="accent3" w:themeShade="BF"/>
          <w:sz w:val="22"/>
          <w:szCs w:val="22"/>
          <w:lang w:val="en-GB"/>
        </w:rPr>
        <w:t>it being a Member State (the EIR does not provide a definition of Member State).</w:t>
      </w:r>
      <w:r w:rsidR="00694A8C">
        <w:rPr>
          <w:rFonts w:ascii="Avenir Next" w:hAnsi="Avenir Next" w:cs="Arial"/>
          <w:color w:val="7B7B7B" w:themeColor="accent3" w:themeShade="BF"/>
          <w:sz w:val="22"/>
          <w:szCs w:val="22"/>
          <w:lang w:val="en-GB"/>
        </w:rPr>
        <w:t xml:space="preserve"> </w:t>
      </w:r>
    </w:p>
    <w:p w14:paraId="79A7520E" w14:textId="77777777" w:rsidR="002337DD" w:rsidRDefault="002337DD" w:rsidP="00C053F7">
      <w:pPr>
        <w:jc w:val="both"/>
        <w:rPr>
          <w:rFonts w:ascii="Avenir Next" w:hAnsi="Avenir Next" w:cs="Arial"/>
          <w:color w:val="7B7B7B" w:themeColor="accent3" w:themeShade="BF"/>
          <w:sz w:val="22"/>
          <w:szCs w:val="22"/>
          <w:lang w:val="en-GB"/>
        </w:rPr>
      </w:pPr>
    </w:p>
    <w:p w14:paraId="3E658AE8" w14:textId="5E9E7E7A" w:rsidR="00B54108" w:rsidRDefault="00A54431" w:rsidP="00A5443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Standing for recognition – </w:t>
      </w:r>
      <w:r w:rsidR="00D11E60">
        <w:rPr>
          <w:rFonts w:ascii="Avenir Next" w:hAnsi="Avenir Next" w:cs="Arial"/>
          <w:color w:val="7B7B7B" w:themeColor="accent3" w:themeShade="BF"/>
          <w:sz w:val="22"/>
          <w:szCs w:val="22"/>
          <w:lang w:val="en-GB"/>
        </w:rPr>
        <w:t xml:space="preserve">pursuant to </w:t>
      </w:r>
      <w:r>
        <w:rPr>
          <w:rFonts w:ascii="Avenir Next" w:hAnsi="Avenir Next" w:cs="Arial"/>
          <w:color w:val="7B7B7B" w:themeColor="accent3" w:themeShade="BF"/>
          <w:sz w:val="22"/>
          <w:szCs w:val="22"/>
          <w:lang w:val="en-GB"/>
        </w:rPr>
        <w:t xml:space="preserve">article 19 </w:t>
      </w:r>
      <w:r w:rsidR="00D11E60">
        <w:rPr>
          <w:rFonts w:ascii="Avenir Next" w:hAnsi="Avenir Next" w:cs="Arial"/>
          <w:color w:val="7B7B7B" w:themeColor="accent3" w:themeShade="BF"/>
          <w:sz w:val="22"/>
          <w:szCs w:val="22"/>
          <w:lang w:val="en-GB"/>
        </w:rPr>
        <w:t xml:space="preserve">of the EIR, the wind-up proceedings </w:t>
      </w:r>
      <w:r w:rsidR="002A579E">
        <w:rPr>
          <w:rFonts w:ascii="Avenir Next" w:hAnsi="Avenir Next" w:cs="Arial"/>
          <w:color w:val="7B7B7B" w:themeColor="accent3" w:themeShade="BF"/>
          <w:sz w:val="22"/>
          <w:szCs w:val="22"/>
          <w:lang w:val="en-GB"/>
        </w:rPr>
        <w:t>in Germany must automatically be recognised in all other Member States (subject to article 3).</w:t>
      </w:r>
      <w:r w:rsidR="00FB55C0">
        <w:rPr>
          <w:rFonts w:ascii="Avenir Next" w:hAnsi="Avenir Next" w:cs="Arial"/>
          <w:color w:val="7B7B7B" w:themeColor="accent3" w:themeShade="BF"/>
          <w:sz w:val="22"/>
          <w:szCs w:val="22"/>
          <w:lang w:val="en-GB"/>
        </w:rPr>
        <w:t xml:space="preserve"> Article 3</w:t>
      </w:r>
      <w:r w:rsidR="004B28D4">
        <w:rPr>
          <w:rFonts w:ascii="Avenir Next" w:hAnsi="Avenir Next" w:cs="Arial"/>
          <w:color w:val="7B7B7B" w:themeColor="accent3" w:themeShade="BF"/>
          <w:sz w:val="22"/>
          <w:szCs w:val="22"/>
          <w:lang w:val="en-GB"/>
        </w:rPr>
        <w:t>(1)</w:t>
      </w:r>
      <w:r w:rsidR="00FB55C0">
        <w:rPr>
          <w:rFonts w:ascii="Avenir Next" w:hAnsi="Avenir Next" w:cs="Arial"/>
          <w:color w:val="7B7B7B" w:themeColor="accent3" w:themeShade="BF"/>
          <w:sz w:val="22"/>
          <w:szCs w:val="22"/>
          <w:lang w:val="en-GB"/>
        </w:rPr>
        <w:t xml:space="preserve"> </w:t>
      </w:r>
      <w:r w:rsidR="00DA7A92">
        <w:rPr>
          <w:rFonts w:ascii="Avenir Next" w:hAnsi="Avenir Next" w:cs="Arial"/>
          <w:color w:val="7B7B7B" w:themeColor="accent3" w:themeShade="BF"/>
          <w:sz w:val="22"/>
          <w:szCs w:val="22"/>
          <w:lang w:val="en-GB"/>
        </w:rPr>
        <w:t>of the EIR states that other Member States shall only recognise the German</w:t>
      </w:r>
      <w:r w:rsidR="000F6620">
        <w:rPr>
          <w:rFonts w:ascii="Avenir Next" w:hAnsi="Avenir Next" w:cs="Arial"/>
          <w:color w:val="7B7B7B" w:themeColor="accent3" w:themeShade="BF"/>
          <w:sz w:val="22"/>
          <w:szCs w:val="22"/>
          <w:lang w:val="en-GB"/>
        </w:rPr>
        <w:t xml:space="preserve">y main insolvency proceedings if Germany is that debtor’s COMI. </w:t>
      </w:r>
      <w:r w:rsidR="00120409">
        <w:rPr>
          <w:rFonts w:ascii="Avenir Next" w:hAnsi="Avenir Next" w:cs="Arial"/>
          <w:color w:val="7B7B7B" w:themeColor="accent3" w:themeShade="BF"/>
          <w:sz w:val="22"/>
          <w:szCs w:val="22"/>
          <w:lang w:val="en-GB"/>
        </w:rPr>
        <w:t xml:space="preserve">COMI is expressed </w:t>
      </w:r>
      <w:r w:rsidR="00E328B5">
        <w:rPr>
          <w:rFonts w:ascii="Avenir Next" w:hAnsi="Avenir Next" w:cs="Arial"/>
          <w:color w:val="7B7B7B" w:themeColor="accent3" w:themeShade="BF"/>
          <w:sz w:val="22"/>
          <w:szCs w:val="22"/>
          <w:lang w:val="en-GB"/>
        </w:rPr>
        <w:t>to be where “</w:t>
      </w:r>
      <w:r w:rsidR="00E328B5" w:rsidRPr="0023589B">
        <w:rPr>
          <w:rFonts w:ascii="Avenir Next" w:hAnsi="Avenir Next" w:cs="Arial"/>
          <w:i/>
          <w:iCs/>
          <w:color w:val="7B7B7B" w:themeColor="accent3" w:themeShade="BF"/>
          <w:sz w:val="22"/>
          <w:szCs w:val="22"/>
          <w:lang w:val="en-GB"/>
        </w:rPr>
        <w:t xml:space="preserve">the debtor conducts the administration of its business on a regular basis and which is ascertainable by </w:t>
      </w:r>
      <w:r w:rsidR="0023589B" w:rsidRPr="0023589B">
        <w:rPr>
          <w:rFonts w:ascii="Avenir Next" w:hAnsi="Avenir Next" w:cs="Arial"/>
          <w:i/>
          <w:iCs/>
          <w:color w:val="7B7B7B" w:themeColor="accent3" w:themeShade="BF"/>
          <w:sz w:val="22"/>
          <w:szCs w:val="22"/>
          <w:lang w:val="en-GB"/>
        </w:rPr>
        <w:t>third parties</w:t>
      </w:r>
      <w:r w:rsidR="0023589B">
        <w:rPr>
          <w:rFonts w:ascii="Avenir Next" w:hAnsi="Avenir Next" w:cs="Arial"/>
          <w:color w:val="7B7B7B" w:themeColor="accent3" w:themeShade="BF"/>
          <w:sz w:val="22"/>
          <w:szCs w:val="22"/>
          <w:lang w:val="en-GB"/>
        </w:rPr>
        <w:t>.”</w:t>
      </w:r>
      <w:r w:rsidR="0023589B">
        <w:rPr>
          <w:rStyle w:val="FootnoteReference"/>
          <w:rFonts w:ascii="Avenir Next" w:hAnsi="Avenir Next" w:cs="Arial"/>
          <w:color w:val="7B7B7B" w:themeColor="accent3" w:themeShade="BF"/>
          <w:sz w:val="22"/>
          <w:szCs w:val="22"/>
          <w:lang w:val="en-GB"/>
        </w:rPr>
        <w:footnoteReference w:id="52"/>
      </w:r>
      <w:r w:rsidR="0023589B">
        <w:rPr>
          <w:rFonts w:ascii="Avenir Next" w:hAnsi="Avenir Next" w:cs="Arial"/>
          <w:color w:val="7B7B7B" w:themeColor="accent3" w:themeShade="BF"/>
          <w:sz w:val="22"/>
          <w:szCs w:val="22"/>
          <w:lang w:val="en-GB"/>
        </w:rPr>
        <w:t xml:space="preserve"> </w:t>
      </w:r>
      <w:r w:rsidR="007D6609">
        <w:rPr>
          <w:rFonts w:ascii="Avenir Next" w:hAnsi="Avenir Next" w:cs="Arial"/>
          <w:color w:val="7B7B7B" w:themeColor="accent3" w:themeShade="BF"/>
          <w:sz w:val="22"/>
          <w:szCs w:val="22"/>
          <w:lang w:val="en-GB"/>
        </w:rPr>
        <w:t xml:space="preserve">The registered office is presumed to be the debtor’s COMI, but only if the registered office has not been moved in the preceding 3 months. </w:t>
      </w:r>
    </w:p>
    <w:p w14:paraId="5D7A47E4" w14:textId="3724D7C3" w:rsidR="000D03C4" w:rsidRDefault="000D03C4" w:rsidP="000D03C4">
      <w:pPr>
        <w:pStyle w:val="ListParagraph"/>
        <w:ind w:left="360"/>
        <w:jc w:val="both"/>
        <w:rPr>
          <w:rFonts w:ascii="Avenir Next" w:hAnsi="Avenir Next" w:cs="Arial"/>
          <w:color w:val="7B7B7B" w:themeColor="accent3" w:themeShade="BF"/>
          <w:sz w:val="22"/>
          <w:szCs w:val="22"/>
          <w:lang w:val="en-GB"/>
        </w:rPr>
      </w:pPr>
    </w:p>
    <w:p w14:paraId="1B7616D4" w14:textId="0DD5201C" w:rsidR="000D03C4" w:rsidRDefault="000852A8" w:rsidP="000D03C4">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w:t>
      </w:r>
      <w:r w:rsidR="000255D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3(2) </w:t>
      </w:r>
      <w:r w:rsidR="000255D9">
        <w:rPr>
          <w:rFonts w:ascii="Avenir Next" w:hAnsi="Avenir Next" w:cs="Arial"/>
          <w:color w:val="7B7B7B" w:themeColor="accent3" w:themeShade="BF"/>
          <w:sz w:val="22"/>
          <w:szCs w:val="22"/>
          <w:lang w:val="en-GB"/>
        </w:rPr>
        <w:t xml:space="preserve">and 3(3) </w:t>
      </w:r>
      <w:r>
        <w:rPr>
          <w:rFonts w:ascii="Avenir Next" w:hAnsi="Avenir Next" w:cs="Arial"/>
          <w:color w:val="7B7B7B" w:themeColor="accent3" w:themeShade="BF"/>
          <w:sz w:val="22"/>
          <w:szCs w:val="22"/>
          <w:lang w:val="en-GB"/>
        </w:rPr>
        <w:t xml:space="preserve">of the EIR states that the courts of another Member State may open </w:t>
      </w:r>
      <w:r w:rsidR="000255D9">
        <w:rPr>
          <w:rFonts w:ascii="Avenir Next" w:hAnsi="Avenir Next" w:cs="Arial"/>
          <w:color w:val="7B7B7B" w:themeColor="accent3" w:themeShade="BF"/>
          <w:sz w:val="22"/>
          <w:szCs w:val="22"/>
          <w:lang w:val="en-GB"/>
        </w:rPr>
        <w:t>secondary</w:t>
      </w:r>
      <w:r w:rsidR="00823B54">
        <w:rPr>
          <w:rFonts w:ascii="Avenir Next" w:hAnsi="Avenir Next" w:cs="Arial"/>
          <w:color w:val="7B7B7B" w:themeColor="accent3" w:themeShade="BF"/>
          <w:sz w:val="22"/>
          <w:szCs w:val="22"/>
          <w:lang w:val="en-GB"/>
        </w:rPr>
        <w:t xml:space="preserve"> or independent</w:t>
      </w:r>
      <w:r w:rsidR="000255D9">
        <w:rPr>
          <w:rFonts w:ascii="Avenir Next" w:hAnsi="Avenir Next" w:cs="Arial"/>
          <w:color w:val="7B7B7B" w:themeColor="accent3" w:themeShade="BF"/>
          <w:sz w:val="22"/>
          <w:szCs w:val="22"/>
          <w:lang w:val="en-GB"/>
        </w:rPr>
        <w:t xml:space="preserve"> </w:t>
      </w:r>
      <w:r w:rsidR="0067667E">
        <w:rPr>
          <w:rFonts w:ascii="Avenir Next" w:hAnsi="Avenir Next" w:cs="Arial"/>
          <w:color w:val="7B7B7B" w:themeColor="accent3" w:themeShade="BF"/>
          <w:sz w:val="22"/>
          <w:szCs w:val="22"/>
          <w:lang w:val="en-GB"/>
        </w:rPr>
        <w:t xml:space="preserve">insolvency proceedings, notwithstanding article 3(1), if </w:t>
      </w:r>
      <w:r w:rsidR="005D43C2">
        <w:rPr>
          <w:rFonts w:ascii="Avenir Next" w:hAnsi="Avenir Next" w:cs="Arial"/>
          <w:color w:val="7B7B7B" w:themeColor="accent3" w:themeShade="BF"/>
          <w:sz w:val="22"/>
          <w:szCs w:val="22"/>
          <w:lang w:val="en-GB"/>
        </w:rPr>
        <w:t>the debtor “</w:t>
      </w:r>
      <w:r w:rsidR="005D43C2" w:rsidRPr="005D43C2">
        <w:rPr>
          <w:rFonts w:ascii="Avenir Next" w:hAnsi="Avenir Next" w:cs="Arial"/>
          <w:i/>
          <w:iCs/>
          <w:color w:val="7B7B7B" w:themeColor="accent3" w:themeShade="BF"/>
          <w:sz w:val="22"/>
          <w:szCs w:val="22"/>
          <w:lang w:val="en-GB"/>
        </w:rPr>
        <w:t>possesses an establishment within</w:t>
      </w:r>
      <w:r w:rsidR="005D43C2">
        <w:rPr>
          <w:rFonts w:ascii="Avenir Next" w:hAnsi="Avenir Next" w:cs="Arial"/>
          <w:color w:val="7B7B7B" w:themeColor="accent3" w:themeShade="BF"/>
          <w:sz w:val="22"/>
          <w:szCs w:val="22"/>
          <w:lang w:val="en-GB"/>
        </w:rPr>
        <w:t xml:space="preserve">” the other Member State. </w:t>
      </w:r>
    </w:p>
    <w:p w14:paraId="443D850C" w14:textId="07260404" w:rsidR="00276BA3" w:rsidRDefault="00276BA3" w:rsidP="000D03C4">
      <w:pPr>
        <w:pStyle w:val="ListParagraph"/>
        <w:ind w:left="360"/>
        <w:jc w:val="both"/>
        <w:rPr>
          <w:rFonts w:ascii="Avenir Next" w:hAnsi="Avenir Next" w:cs="Arial"/>
          <w:color w:val="7B7B7B" w:themeColor="accent3" w:themeShade="BF"/>
          <w:sz w:val="22"/>
          <w:szCs w:val="22"/>
          <w:lang w:val="en-GB"/>
        </w:rPr>
      </w:pPr>
    </w:p>
    <w:p w14:paraId="5874BB15" w14:textId="6BD9AF9F" w:rsidR="00276BA3" w:rsidRDefault="00276BA3" w:rsidP="000D03C4">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note that section</w:t>
      </w:r>
      <w:r w:rsidR="00BD1E36">
        <w:rPr>
          <w:rFonts w:ascii="Avenir Next" w:hAnsi="Avenir Next" w:cs="Arial"/>
          <w:color w:val="7B7B7B" w:themeColor="accent3" w:themeShade="BF"/>
          <w:sz w:val="22"/>
          <w:szCs w:val="22"/>
          <w:lang w:val="en-GB"/>
        </w:rPr>
        <w:t xml:space="preserve"> 3 (inclusive) of InsO deals with groups of companies and how the German courts are </w:t>
      </w:r>
      <w:r w:rsidR="00641228">
        <w:rPr>
          <w:rFonts w:ascii="Avenir Next" w:hAnsi="Avenir Next" w:cs="Arial"/>
          <w:color w:val="7B7B7B" w:themeColor="accent3" w:themeShade="BF"/>
          <w:sz w:val="22"/>
          <w:szCs w:val="22"/>
          <w:lang w:val="en-GB"/>
        </w:rPr>
        <w:t>to treat subsidiary entities</w:t>
      </w:r>
      <w:r w:rsidR="004F47D3">
        <w:rPr>
          <w:rFonts w:ascii="Avenir Next" w:hAnsi="Avenir Next" w:cs="Arial"/>
          <w:color w:val="7B7B7B" w:themeColor="accent3" w:themeShade="BF"/>
          <w:sz w:val="22"/>
          <w:szCs w:val="22"/>
          <w:lang w:val="en-GB"/>
        </w:rPr>
        <w:t>.</w:t>
      </w:r>
    </w:p>
    <w:p w14:paraId="3E45B7D7" w14:textId="77777777" w:rsidR="000D03C4" w:rsidRDefault="000D03C4" w:rsidP="000D03C4">
      <w:pPr>
        <w:pStyle w:val="ListParagraph"/>
        <w:ind w:left="360"/>
        <w:jc w:val="both"/>
        <w:rPr>
          <w:rFonts w:ascii="Avenir Next" w:hAnsi="Avenir Next" w:cs="Arial"/>
          <w:color w:val="7B7B7B" w:themeColor="accent3" w:themeShade="BF"/>
          <w:sz w:val="22"/>
          <w:szCs w:val="22"/>
          <w:lang w:val="en-GB"/>
        </w:rPr>
      </w:pPr>
    </w:p>
    <w:p w14:paraId="0E6B695D" w14:textId="698A0FEB" w:rsidR="000D03C4" w:rsidRDefault="00AB4E31" w:rsidP="00A5443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Voidable transactions – pursuant to article 6 of the EIR, </w:t>
      </w:r>
      <w:r w:rsidR="00865DCF">
        <w:rPr>
          <w:rFonts w:ascii="Avenir Next" w:hAnsi="Avenir Next" w:cs="Arial"/>
          <w:color w:val="7B7B7B" w:themeColor="accent3" w:themeShade="BF"/>
          <w:sz w:val="22"/>
          <w:szCs w:val="22"/>
          <w:lang w:val="en-GB"/>
        </w:rPr>
        <w:t>the Member State of the insolvency proceedings covere</w:t>
      </w:r>
      <w:r w:rsidR="00E75678">
        <w:rPr>
          <w:rFonts w:ascii="Avenir Next" w:hAnsi="Avenir Next" w:cs="Arial"/>
          <w:color w:val="7B7B7B" w:themeColor="accent3" w:themeShade="BF"/>
          <w:sz w:val="22"/>
          <w:szCs w:val="22"/>
          <w:lang w:val="en-GB"/>
        </w:rPr>
        <w:t xml:space="preserve">d by article 3(1) has jurisdiction to decide </w:t>
      </w:r>
      <w:r w:rsidR="006A18CE">
        <w:rPr>
          <w:rFonts w:ascii="Avenir Next" w:hAnsi="Avenir Next" w:cs="Arial"/>
          <w:color w:val="7B7B7B" w:themeColor="accent3" w:themeShade="BF"/>
          <w:sz w:val="22"/>
          <w:szCs w:val="22"/>
          <w:lang w:val="en-GB"/>
        </w:rPr>
        <w:t xml:space="preserve">causes of action (including for avoidance actions or voidable transactions) </w:t>
      </w:r>
      <w:r w:rsidR="00E75678">
        <w:rPr>
          <w:rFonts w:ascii="Avenir Next" w:hAnsi="Avenir Next" w:cs="Arial"/>
          <w:color w:val="7B7B7B" w:themeColor="accent3" w:themeShade="BF"/>
          <w:sz w:val="22"/>
          <w:szCs w:val="22"/>
          <w:lang w:val="en-GB"/>
        </w:rPr>
        <w:t>that are closely linked to the Member State.</w:t>
      </w:r>
      <w:r w:rsidR="00B060C3">
        <w:rPr>
          <w:rFonts w:ascii="Avenir Next" w:hAnsi="Avenir Next" w:cs="Arial"/>
          <w:color w:val="7B7B7B" w:themeColor="accent3" w:themeShade="BF"/>
          <w:sz w:val="22"/>
          <w:szCs w:val="22"/>
          <w:lang w:val="en-GB"/>
        </w:rPr>
        <w:t xml:space="preserve"> If a defendant is not domiciled in the Member State, </w:t>
      </w:r>
      <w:r w:rsidR="00030D1E">
        <w:rPr>
          <w:rFonts w:ascii="Avenir Next" w:hAnsi="Avenir Next" w:cs="Arial"/>
          <w:color w:val="7B7B7B" w:themeColor="accent3" w:themeShade="BF"/>
          <w:sz w:val="22"/>
          <w:szCs w:val="22"/>
          <w:lang w:val="en-GB"/>
        </w:rPr>
        <w:t xml:space="preserve">the insolvency practitioner may bring said action in the </w:t>
      </w:r>
      <w:r w:rsidR="005440BC">
        <w:rPr>
          <w:rFonts w:ascii="Avenir Next" w:hAnsi="Avenir Next" w:cs="Arial"/>
          <w:color w:val="7B7B7B" w:themeColor="accent3" w:themeShade="BF"/>
          <w:sz w:val="22"/>
          <w:szCs w:val="22"/>
          <w:lang w:val="en-GB"/>
        </w:rPr>
        <w:t>territory of the defendant’s domicile (see article 6(2) of the EIR).</w:t>
      </w:r>
      <w:r w:rsidR="006A18CE">
        <w:rPr>
          <w:rFonts w:ascii="Avenir Next" w:hAnsi="Avenir Next" w:cs="Arial"/>
          <w:color w:val="7B7B7B" w:themeColor="accent3" w:themeShade="BF"/>
          <w:sz w:val="22"/>
          <w:szCs w:val="22"/>
          <w:lang w:val="en-GB"/>
        </w:rPr>
        <w:t xml:space="preserve"> </w:t>
      </w:r>
      <w:r w:rsidR="005440BC">
        <w:rPr>
          <w:rFonts w:ascii="Avenir Next" w:hAnsi="Avenir Next" w:cs="Arial"/>
          <w:color w:val="7B7B7B" w:themeColor="accent3" w:themeShade="BF"/>
          <w:sz w:val="22"/>
          <w:szCs w:val="22"/>
          <w:lang w:val="en-GB"/>
        </w:rPr>
        <w:t xml:space="preserve">Article 7 of the EIR records that the </w:t>
      </w:r>
      <w:r w:rsidR="00272883">
        <w:rPr>
          <w:rFonts w:ascii="Avenir Next" w:hAnsi="Avenir Next" w:cs="Arial"/>
          <w:color w:val="7B7B7B" w:themeColor="accent3" w:themeShade="BF"/>
          <w:sz w:val="22"/>
          <w:szCs w:val="22"/>
          <w:lang w:val="en-GB"/>
        </w:rPr>
        <w:t xml:space="preserve">laws of the </w:t>
      </w:r>
      <w:r w:rsidR="005440BC">
        <w:rPr>
          <w:rFonts w:ascii="Avenir Next" w:hAnsi="Avenir Next" w:cs="Arial"/>
          <w:color w:val="7B7B7B" w:themeColor="accent3" w:themeShade="BF"/>
          <w:sz w:val="22"/>
          <w:szCs w:val="22"/>
          <w:lang w:val="en-GB"/>
        </w:rPr>
        <w:t>Member State of the insolvency proceedings covered by article 3(1)</w:t>
      </w:r>
      <w:r w:rsidR="00272883">
        <w:rPr>
          <w:rFonts w:ascii="Avenir Next" w:hAnsi="Avenir Next" w:cs="Arial"/>
          <w:color w:val="7B7B7B" w:themeColor="accent3" w:themeShade="BF"/>
          <w:sz w:val="22"/>
          <w:szCs w:val="22"/>
          <w:lang w:val="en-GB"/>
        </w:rPr>
        <w:t xml:space="preserve"> are deemed to be the applicable law.</w:t>
      </w:r>
    </w:p>
    <w:p w14:paraId="7091A1A7" w14:textId="1DF38A77" w:rsidR="00D12D56" w:rsidRDefault="00D12D56" w:rsidP="00D12D56">
      <w:pPr>
        <w:pStyle w:val="ListParagraph"/>
        <w:ind w:left="360"/>
        <w:jc w:val="both"/>
        <w:rPr>
          <w:rFonts w:ascii="Avenir Next" w:hAnsi="Avenir Next" w:cs="Arial"/>
          <w:color w:val="7B7B7B" w:themeColor="accent3" w:themeShade="BF"/>
          <w:sz w:val="22"/>
          <w:szCs w:val="22"/>
          <w:lang w:val="en-GB"/>
        </w:rPr>
      </w:pPr>
    </w:p>
    <w:p w14:paraId="2313C861" w14:textId="64E86A2E" w:rsidR="00D12D56" w:rsidRDefault="00D12D56" w:rsidP="00D12D56">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was not able to find </w:t>
      </w:r>
      <w:r w:rsidR="003566CE">
        <w:rPr>
          <w:rFonts w:ascii="Avenir Next" w:hAnsi="Avenir Next" w:cs="Arial"/>
          <w:color w:val="7B7B7B" w:themeColor="accent3" w:themeShade="BF"/>
          <w:sz w:val="22"/>
          <w:szCs w:val="22"/>
          <w:lang w:val="en-GB"/>
        </w:rPr>
        <w:t>any voidable transaction or avoidance action provisions within InsO.</w:t>
      </w:r>
      <w:r w:rsidR="008B66C5">
        <w:rPr>
          <w:rFonts w:ascii="Avenir Next" w:hAnsi="Avenir Next" w:cs="Arial"/>
          <w:color w:val="7B7B7B" w:themeColor="accent3" w:themeShade="BF"/>
          <w:sz w:val="22"/>
          <w:szCs w:val="22"/>
          <w:lang w:val="en-GB"/>
        </w:rPr>
        <w:t xml:space="preserve"> </w:t>
      </w:r>
    </w:p>
    <w:p w14:paraId="5F5EC0B1" w14:textId="77777777" w:rsidR="0032411B" w:rsidRDefault="0032411B" w:rsidP="0032411B">
      <w:pPr>
        <w:pStyle w:val="ListParagraph"/>
        <w:ind w:left="360"/>
        <w:jc w:val="both"/>
        <w:rPr>
          <w:rFonts w:ascii="Avenir Next" w:hAnsi="Avenir Next" w:cs="Arial"/>
          <w:color w:val="7B7B7B" w:themeColor="accent3" w:themeShade="BF"/>
          <w:sz w:val="22"/>
          <w:szCs w:val="22"/>
          <w:lang w:val="en-GB"/>
        </w:rPr>
      </w:pPr>
    </w:p>
    <w:p w14:paraId="1F97C2B0" w14:textId="3F78694C" w:rsidR="0032411B" w:rsidRDefault="000444DC" w:rsidP="00A5443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Priorities and preferences</w:t>
      </w:r>
      <w:r w:rsidR="0032411B">
        <w:rPr>
          <w:rFonts w:ascii="Avenir Next" w:hAnsi="Avenir Next" w:cs="Arial"/>
          <w:color w:val="7B7B7B" w:themeColor="accent3" w:themeShade="BF"/>
          <w:sz w:val="22"/>
          <w:szCs w:val="22"/>
          <w:lang w:val="en-GB"/>
        </w:rPr>
        <w:t xml:space="preserve"> </w:t>
      </w:r>
      <w:r w:rsidR="003E7EE6">
        <w:rPr>
          <w:rFonts w:ascii="Avenir Next" w:hAnsi="Avenir Next" w:cs="Arial"/>
          <w:color w:val="7B7B7B" w:themeColor="accent3" w:themeShade="BF"/>
          <w:sz w:val="22"/>
          <w:szCs w:val="22"/>
          <w:lang w:val="en-GB"/>
        </w:rPr>
        <w:t>–</w:t>
      </w:r>
      <w:r w:rsidR="0032411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pursuant</w:t>
      </w:r>
      <w:r w:rsidR="003E7EE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to article </w:t>
      </w:r>
      <w:r w:rsidR="003E7EE6">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6 of the EIR,</w:t>
      </w:r>
      <w:r w:rsidR="003E7EE6">
        <w:rPr>
          <w:rFonts w:ascii="Avenir Next" w:hAnsi="Avenir Next" w:cs="Arial"/>
          <w:color w:val="7B7B7B" w:themeColor="accent3" w:themeShade="BF"/>
          <w:sz w:val="22"/>
          <w:szCs w:val="22"/>
          <w:lang w:val="en-GB"/>
        </w:rPr>
        <w:t xml:space="preserve"> if a secondary insolvency proceedings could be commenced in another Member State, then the insolvency practitioner in Germany is required </w:t>
      </w:r>
      <w:r w:rsidR="00172B11">
        <w:rPr>
          <w:rFonts w:ascii="Avenir Next" w:hAnsi="Avenir Next" w:cs="Arial"/>
          <w:color w:val="7B7B7B" w:themeColor="accent3" w:themeShade="BF"/>
          <w:sz w:val="22"/>
          <w:szCs w:val="22"/>
          <w:lang w:val="en-GB"/>
        </w:rPr>
        <w:t>to comply with</w:t>
      </w:r>
      <w:r w:rsidR="00A17395">
        <w:rPr>
          <w:rFonts w:ascii="Avenir Next" w:hAnsi="Avenir Next" w:cs="Arial"/>
          <w:color w:val="7B7B7B" w:themeColor="accent3" w:themeShade="BF"/>
          <w:sz w:val="22"/>
          <w:szCs w:val="22"/>
          <w:lang w:val="en-GB"/>
        </w:rPr>
        <w:t>, and give a written undertaking to comply with,</w:t>
      </w:r>
      <w:r w:rsidR="00172B11">
        <w:rPr>
          <w:rFonts w:ascii="Avenir Next" w:hAnsi="Avenir Next" w:cs="Arial"/>
          <w:color w:val="7B7B7B" w:themeColor="accent3" w:themeShade="BF"/>
          <w:sz w:val="22"/>
          <w:szCs w:val="22"/>
          <w:lang w:val="en-GB"/>
        </w:rPr>
        <w:t xml:space="preserve"> the distribution and priority rights of the laws of the other Member State. </w:t>
      </w:r>
    </w:p>
    <w:p w14:paraId="096C6ED1" w14:textId="1FE3F21D" w:rsidR="000E5D80" w:rsidRDefault="000E5D80" w:rsidP="000E5D80">
      <w:pPr>
        <w:pStyle w:val="ListParagraph"/>
        <w:ind w:left="360"/>
        <w:jc w:val="both"/>
        <w:rPr>
          <w:rFonts w:ascii="Avenir Next" w:hAnsi="Avenir Next" w:cs="Arial"/>
          <w:color w:val="7B7B7B" w:themeColor="accent3" w:themeShade="BF"/>
          <w:sz w:val="22"/>
          <w:szCs w:val="22"/>
          <w:lang w:val="en-GB"/>
        </w:rPr>
      </w:pPr>
    </w:p>
    <w:p w14:paraId="06CC0021" w14:textId="510A5AE8" w:rsidR="000E5D80" w:rsidRPr="00BE6FA4" w:rsidRDefault="000E5D80" w:rsidP="000E5D80">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209 of InsO provides </w:t>
      </w:r>
      <w:r w:rsidR="004C6D68">
        <w:rPr>
          <w:rFonts w:ascii="Avenir Next" w:hAnsi="Avenir Next" w:cs="Arial"/>
          <w:color w:val="7B7B7B" w:themeColor="accent3" w:themeShade="BF"/>
          <w:sz w:val="22"/>
          <w:szCs w:val="22"/>
          <w:lang w:val="en-GB"/>
        </w:rPr>
        <w:t>a priority ranking list of costs and debts that must be covered by the insolvency administrator in circumstances where there is sufficient funds.</w:t>
      </w:r>
      <w:r w:rsidR="00DC1B4A">
        <w:rPr>
          <w:rFonts w:ascii="Avenir Next" w:hAnsi="Avenir Next" w:cs="Arial"/>
          <w:color w:val="7B7B7B" w:themeColor="accent3" w:themeShade="BF"/>
          <w:sz w:val="22"/>
          <w:szCs w:val="22"/>
          <w:lang w:val="en-GB"/>
        </w:rPr>
        <w:t xml:space="preserve"> My reading of this section is that each tier of the rankings </w:t>
      </w:r>
      <w:r w:rsidR="00727D57">
        <w:rPr>
          <w:rFonts w:ascii="Avenir Next" w:hAnsi="Avenir Next" w:cs="Arial"/>
          <w:color w:val="7B7B7B" w:themeColor="accent3" w:themeShade="BF"/>
          <w:sz w:val="22"/>
          <w:szCs w:val="22"/>
          <w:lang w:val="en-GB"/>
        </w:rPr>
        <w:t>is</w:t>
      </w:r>
      <w:r w:rsidR="00DC1B4A">
        <w:rPr>
          <w:rFonts w:ascii="Avenir Next" w:hAnsi="Avenir Next" w:cs="Arial"/>
          <w:color w:val="7B7B7B" w:themeColor="accent3" w:themeShade="BF"/>
          <w:sz w:val="22"/>
          <w:szCs w:val="22"/>
          <w:lang w:val="en-GB"/>
        </w:rPr>
        <w:t xml:space="preserve"> treated </w:t>
      </w:r>
      <w:r w:rsidR="00BE6FA4">
        <w:rPr>
          <w:rFonts w:ascii="Avenir Next" w:hAnsi="Avenir Next" w:cs="Arial"/>
          <w:color w:val="7B7B7B" w:themeColor="accent3" w:themeShade="BF"/>
          <w:sz w:val="22"/>
          <w:szCs w:val="22"/>
          <w:lang w:val="en-GB"/>
        </w:rPr>
        <w:t xml:space="preserve">on a </w:t>
      </w:r>
      <w:r w:rsidR="00BE6FA4">
        <w:rPr>
          <w:rFonts w:ascii="Avenir Next" w:hAnsi="Avenir Next" w:cs="Arial"/>
          <w:i/>
          <w:iCs/>
          <w:color w:val="7B7B7B" w:themeColor="accent3" w:themeShade="BF"/>
          <w:sz w:val="22"/>
          <w:szCs w:val="22"/>
          <w:lang w:val="en-GB"/>
        </w:rPr>
        <w:t xml:space="preserve">pari passu </w:t>
      </w:r>
      <w:r w:rsidR="00BE6FA4">
        <w:rPr>
          <w:rFonts w:ascii="Avenir Next" w:hAnsi="Avenir Next" w:cs="Arial"/>
          <w:color w:val="7B7B7B" w:themeColor="accent3" w:themeShade="BF"/>
          <w:sz w:val="22"/>
          <w:szCs w:val="22"/>
          <w:lang w:val="en-GB"/>
        </w:rPr>
        <w:t>basis.</w:t>
      </w:r>
    </w:p>
    <w:p w14:paraId="17FD4979" w14:textId="77777777" w:rsidR="00D42F97" w:rsidRPr="00D42F97" w:rsidRDefault="00D42F97" w:rsidP="00D42F97">
      <w:pPr>
        <w:pStyle w:val="ListParagraph"/>
        <w:rPr>
          <w:rFonts w:ascii="Avenir Next" w:hAnsi="Avenir Next" w:cs="Arial"/>
          <w:color w:val="7B7B7B" w:themeColor="accent3" w:themeShade="BF"/>
          <w:sz w:val="22"/>
          <w:szCs w:val="22"/>
          <w:lang w:val="en-GB"/>
        </w:rPr>
      </w:pPr>
    </w:p>
    <w:p w14:paraId="37216A71" w14:textId="04D65C2F" w:rsidR="00D42F97" w:rsidRDefault="00D42F97" w:rsidP="00A5443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Co-ordinated claims procedure </w:t>
      </w:r>
      <w:r w:rsidR="00064E5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064E5B">
        <w:rPr>
          <w:rFonts w:ascii="Avenir Next" w:hAnsi="Avenir Next" w:cs="Arial"/>
          <w:color w:val="7B7B7B" w:themeColor="accent3" w:themeShade="BF"/>
          <w:sz w:val="22"/>
          <w:szCs w:val="22"/>
          <w:lang w:val="en-GB"/>
        </w:rPr>
        <w:t>article 36 of the EIR also applies in relation to the insolvency practitioner in Germany being required to provide and undertaking in relation to the distribution right</w:t>
      </w:r>
      <w:r w:rsidR="00AC17DC">
        <w:rPr>
          <w:rFonts w:ascii="Avenir Next" w:hAnsi="Avenir Next" w:cs="Arial"/>
          <w:color w:val="7B7B7B" w:themeColor="accent3" w:themeShade="BF"/>
          <w:sz w:val="22"/>
          <w:szCs w:val="22"/>
          <w:lang w:val="en-GB"/>
        </w:rPr>
        <w:t>s of the creditors of the other Member State</w:t>
      </w:r>
      <w:r w:rsidR="00857393">
        <w:rPr>
          <w:rFonts w:ascii="Avenir Next" w:hAnsi="Avenir Next" w:cs="Arial"/>
          <w:color w:val="7B7B7B" w:themeColor="accent3" w:themeShade="BF"/>
          <w:sz w:val="22"/>
          <w:szCs w:val="22"/>
          <w:lang w:val="en-GB"/>
        </w:rPr>
        <w:t xml:space="preserve"> (see also article 36(2) of the EIR)</w:t>
      </w:r>
      <w:r w:rsidR="00AC17DC">
        <w:rPr>
          <w:rFonts w:ascii="Avenir Next" w:hAnsi="Avenir Next" w:cs="Arial"/>
          <w:color w:val="7B7B7B" w:themeColor="accent3" w:themeShade="BF"/>
          <w:sz w:val="22"/>
          <w:szCs w:val="22"/>
          <w:lang w:val="en-GB"/>
        </w:rPr>
        <w:t xml:space="preserve">. </w:t>
      </w:r>
      <w:r w:rsidR="00D817B5">
        <w:rPr>
          <w:rFonts w:ascii="Avenir Next" w:hAnsi="Avenir Next" w:cs="Arial"/>
          <w:color w:val="7B7B7B" w:themeColor="accent3" w:themeShade="BF"/>
          <w:sz w:val="22"/>
          <w:szCs w:val="22"/>
          <w:lang w:val="en-GB"/>
        </w:rPr>
        <w:t>These distribution rights include rules on qualified voting</w:t>
      </w:r>
      <w:r w:rsidR="00C94729">
        <w:rPr>
          <w:rFonts w:ascii="Avenir Next" w:hAnsi="Avenir Next" w:cs="Arial"/>
          <w:color w:val="7B7B7B" w:themeColor="accent3" w:themeShade="BF"/>
          <w:sz w:val="22"/>
          <w:szCs w:val="22"/>
          <w:lang w:val="en-GB"/>
        </w:rPr>
        <w:t>, ability for creditors to participate and vote by distance</w:t>
      </w:r>
      <w:r w:rsidR="00D14D77">
        <w:rPr>
          <w:rFonts w:ascii="Avenir Next" w:hAnsi="Avenir Next" w:cs="Arial"/>
          <w:color w:val="7B7B7B" w:themeColor="accent3" w:themeShade="BF"/>
          <w:sz w:val="22"/>
          <w:szCs w:val="22"/>
          <w:lang w:val="en-GB"/>
        </w:rPr>
        <w:t xml:space="preserve"> (see article 36(</w:t>
      </w:r>
      <w:r w:rsidR="005E11B1">
        <w:rPr>
          <w:rFonts w:ascii="Avenir Next" w:hAnsi="Avenir Next" w:cs="Arial"/>
          <w:color w:val="7B7B7B" w:themeColor="accent3" w:themeShade="BF"/>
          <w:sz w:val="22"/>
          <w:szCs w:val="22"/>
          <w:lang w:val="en-GB"/>
        </w:rPr>
        <w:t>5</w:t>
      </w:r>
      <w:r w:rsidR="00D14D77">
        <w:rPr>
          <w:rFonts w:ascii="Avenir Next" w:hAnsi="Avenir Next" w:cs="Arial"/>
          <w:color w:val="7B7B7B" w:themeColor="accent3" w:themeShade="BF"/>
          <w:sz w:val="22"/>
          <w:szCs w:val="22"/>
          <w:lang w:val="en-GB"/>
        </w:rPr>
        <w:t>) of the EIR).</w:t>
      </w:r>
      <w:r w:rsidR="009634EB">
        <w:rPr>
          <w:rFonts w:ascii="Avenir Next" w:hAnsi="Avenir Next" w:cs="Arial"/>
          <w:color w:val="7B7B7B" w:themeColor="accent3" w:themeShade="BF"/>
          <w:sz w:val="22"/>
          <w:szCs w:val="22"/>
          <w:lang w:val="en-GB"/>
        </w:rPr>
        <w:t xml:space="preserve"> Article 36 includes a number of other requirements for the insolvency practitioner to comply with and </w:t>
      </w:r>
      <w:r w:rsidR="006D1671">
        <w:rPr>
          <w:rFonts w:ascii="Avenir Next" w:hAnsi="Avenir Next" w:cs="Arial"/>
          <w:color w:val="7B7B7B" w:themeColor="accent3" w:themeShade="BF"/>
          <w:sz w:val="22"/>
          <w:szCs w:val="22"/>
          <w:lang w:val="en-GB"/>
        </w:rPr>
        <w:t>deems that insolvency practitioner personally liable in damages if they fail to meet these requirements (article 36(10) of the EIR</w:t>
      </w:r>
      <w:r w:rsidR="006E1306">
        <w:rPr>
          <w:rFonts w:ascii="Avenir Next" w:hAnsi="Avenir Next" w:cs="Arial"/>
          <w:color w:val="7B7B7B" w:themeColor="accent3" w:themeShade="BF"/>
          <w:sz w:val="22"/>
          <w:szCs w:val="22"/>
          <w:lang w:val="en-GB"/>
        </w:rPr>
        <w:t>).</w:t>
      </w:r>
    </w:p>
    <w:p w14:paraId="121550E3" w14:textId="54026090" w:rsidR="006E1306" w:rsidRDefault="006E1306" w:rsidP="00EA6C42">
      <w:pPr>
        <w:rPr>
          <w:rFonts w:ascii="Avenir Next" w:hAnsi="Avenir Next" w:cs="Arial"/>
          <w:color w:val="7B7B7B" w:themeColor="accent3" w:themeShade="BF"/>
          <w:sz w:val="22"/>
          <w:szCs w:val="22"/>
          <w:lang w:val="en-GB"/>
        </w:rPr>
      </w:pPr>
    </w:p>
    <w:p w14:paraId="1989A1E8" w14:textId="534896BF" w:rsidR="0013760C" w:rsidRDefault="00EA6C42" w:rsidP="00EA6C42">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Apologies </w:t>
      </w:r>
      <w:r w:rsidR="0013760C">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 xml:space="preserve">rofessor, I ran out of time on this question, but I will be </w:t>
      </w:r>
      <w:r w:rsidR="0013760C">
        <w:rPr>
          <w:rFonts w:ascii="Avenir Next" w:hAnsi="Avenir Next" w:cs="Arial"/>
          <w:color w:val="7B7B7B" w:themeColor="accent3" w:themeShade="BF"/>
          <w:sz w:val="22"/>
          <w:szCs w:val="22"/>
          <w:lang w:val="en-GB"/>
        </w:rPr>
        <w:t>well prepared for the summative assessment.</w:t>
      </w:r>
    </w:p>
    <w:p w14:paraId="7A3F4801" w14:textId="3DA261AB" w:rsidR="00EA6C42" w:rsidRPr="00EA6C42" w:rsidRDefault="00EA6C42" w:rsidP="00EA6C42">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1DFC" w14:textId="77777777" w:rsidR="00AA296A" w:rsidRDefault="00AA296A" w:rsidP="00241B44">
      <w:r>
        <w:separator/>
      </w:r>
    </w:p>
  </w:endnote>
  <w:endnote w:type="continuationSeparator" w:id="0">
    <w:p w14:paraId="29A77069" w14:textId="77777777" w:rsidR="00AA296A" w:rsidRDefault="00AA296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96BCA6E" w:rsidR="00AD6A7D" w:rsidRPr="009634F4" w:rsidRDefault="000C24D1" w:rsidP="00AD6A7D">
    <w:pPr>
      <w:pStyle w:val="Footer"/>
      <w:ind w:right="360"/>
      <w:rPr>
        <w:rFonts w:ascii="Avenir Next" w:hAnsi="Avenir Next" w:cs="Arial"/>
        <w:sz w:val="22"/>
        <w:szCs w:val="22"/>
      </w:rPr>
    </w:pPr>
    <w:r w:rsidRPr="000C24D1">
      <w:rPr>
        <w:rFonts w:ascii="Avenir Next" w:hAnsi="Avenir Next" w:cs="Arial"/>
        <w:sz w:val="22"/>
        <w:szCs w:val="22"/>
      </w:rPr>
      <w:t>202122-595</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BF9D" w14:textId="77777777" w:rsidR="00AA296A" w:rsidRDefault="00AA296A" w:rsidP="00241B44">
      <w:r>
        <w:separator/>
      </w:r>
    </w:p>
  </w:footnote>
  <w:footnote w:type="continuationSeparator" w:id="0">
    <w:p w14:paraId="574AAA37" w14:textId="77777777" w:rsidR="00AA296A" w:rsidRDefault="00AA296A" w:rsidP="00241B44">
      <w:r>
        <w:continuationSeparator/>
      </w:r>
    </w:p>
  </w:footnote>
  <w:footnote w:id="1">
    <w:p w14:paraId="647A8529" w14:textId="756222ED" w:rsidR="00783A6C" w:rsidRPr="00DC5382" w:rsidRDefault="00783A6C">
      <w:pPr>
        <w:pStyle w:val="FootnoteText"/>
        <w:rPr>
          <w:sz w:val="18"/>
          <w:szCs w:val="18"/>
          <w:lang w:val="en-AU"/>
        </w:rPr>
      </w:pPr>
      <w:r w:rsidRPr="00DC5382">
        <w:rPr>
          <w:rStyle w:val="FootnoteReference"/>
          <w:sz w:val="18"/>
          <w:szCs w:val="18"/>
        </w:rPr>
        <w:footnoteRef/>
      </w:r>
      <w:r w:rsidRPr="00DC5382">
        <w:rPr>
          <w:sz w:val="18"/>
          <w:szCs w:val="18"/>
        </w:rPr>
        <w:t xml:space="preserve"> </w:t>
      </w:r>
      <w:r w:rsidR="007D56C9" w:rsidRPr="00DC5382">
        <w:rPr>
          <w:sz w:val="18"/>
          <w:szCs w:val="18"/>
          <w:lang w:val="en-AU"/>
        </w:rPr>
        <w:t>For example, see</w:t>
      </w:r>
      <w:r w:rsidR="004239B8" w:rsidRPr="00DC5382">
        <w:rPr>
          <w:sz w:val="18"/>
          <w:szCs w:val="18"/>
          <w:lang w:val="en-AU"/>
        </w:rPr>
        <w:t xml:space="preserve"> </w:t>
      </w:r>
      <w:r w:rsidR="00090B6B" w:rsidRPr="00DC5382">
        <w:rPr>
          <w:sz w:val="18"/>
          <w:szCs w:val="18"/>
          <w:lang w:val="en-AU"/>
        </w:rPr>
        <w:t xml:space="preserve">B Wessells, </w:t>
      </w:r>
      <w:r w:rsidR="00090B6B" w:rsidRPr="00DC5382">
        <w:rPr>
          <w:i/>
          <w:iCs/>
          <w:sz w:val="18"/>
          <w:szCs w:val="18"/>
          <w:lang w:val="en-AU"/>
        </w:rPr>
        <w:t>International Insolvency Law</w:t>
      </w:r>
      <w:r w:rsidR="00090B6B" w:rsidRPr="00DC5382">
        <w:rPr>
          <w:sz w:val="18"/>
          <w:szCs w:val="18"/>
          <w:lang w:val="en-AU"/>
        </w:rPr>
        <w:t xml:space="preserve"> (Kluwer, 2006), p 1</w:t>
      </w:r>
      <w:r w:rsidR="00CD24B8" w:rsidRPr="00DC5382">
        <w:rPr>
          <w:sz w:val="18"/>
          <w:szCs w:val="18"/>
          <w:lang w:val="en-AU"/>
        </w:rPr>
        <w:t xml:space="preserve"> and F</w:t>
      </w:r>
      <w:r w:rsidR="009F0328" w:rsidRPr="00DC5382">
        <w:rPr>
          <w:sz w:val="18"/>
          <w:szCs w:val="18"/>
          <w:lang w:val="en-AU"/>
        </w:rPr>
        <w:t>l</w:t>
      </w:r>
      <w:r w:rsidR="00CD24B8" w:rsidRPr="00DC5382">
        <w:rPr>
          <w:sz w:val="18"/>
          <w:szCs w:val="18"/>
          <w:lang w:val="en-AU"/>
        </w:rPr>
        <w:t>etcher</w:t>
      </w:r>
      <w:r w:rsidR="009F0328" w:rsidRPr="00DC5382">
        <w:rPr>
          <w:sz w:val="18"/>
          <w:szCs w:val="18"/>
          <w:lang w:val="en-AU"/>
        </w:rPr>
        <w:t>,</w:t>
      </w:r>
      <w:r w:rsidR="0005564E" w:rsidRPr="00DC5382">
        <w:rPr>
          <w:sz w:val="18"/>
          <w:szCs w:val="18"/>
          <w:lang w:val="en-AU"/>
        </w:rPr>
        <w:t xml:space="preserve"> Ian F,</w:t>
      </w:r>
      <w:r w:rsidR="009F0328" w:rsidRPr="00DC5382">
        <w:rPr>
          <w:sz w:val="18"/>
          <w:szCs w:val="18"/>
          <w:lang w:val="en-AU"/>
        </w:rPr>
        <w:t xml:space="preserve"> </w:t>
      </w:r>
      <w:r w:rsidR="0005564E" w:rsidRPr="00DC5382">
        <w:rPr>
          <w:sz w:val="18"/>
          <w:szCs w:val="18"/>
          <w:lang w:val="en-AU"/>
        </w:rPr>
        <w:t>“</w:t>
      </w:r>
      <w:r w:rsidR="009F0328" w:rsidRPr="00DC5382">
        <w:rPr>
          <w:sz w:val="18"/>
          <w:szCs w:val="18"/>
          <w:lang w:val="en-AU"/>
        </w:rPr>
        <w:t>International Insolvency: The Way Ahead</w:t>
      </w:r>
      <w:r w:rsidR="0005564E" w:rsidRPr="00DC5382">
        <w:rPr>
          <w:sz w:val="18"/>
          <w:szCs w:val="18"/>
          <w:lang w:val="en-AU"/>
        </w:rPr>
        <w:t>”</w:t>
      </w:r>
      <w:r w:rsidR="00F44DBC" w:rsidRPr="00DC5382">
        <w:rPr>
          <w:sz w:val="18"/>
          <w:szCs w:val="18"/>
          <w:lang w:val="en-AU"/>
        </w:rPr>
        <w:t xml:space="preserve"> 28 </w:t>
      </w:r>
      <w:r w:rsidR="009F0328" w:rsidRPr="00DC5382">
        <w:rPr>
          <w:i/>
          <w:iCs/>
          <w:sz w:val="18"/>
          <w:szCs w:val="18"/>
          <w:lang w:val="en-AU"/>
        </w:rPr>
        <w:t>International Insolvency Review</w:t>
      </w:r>
      <w:r w:rsidR="009F0328" w:rsidRPr="00DC5382">
        <w:rPr>
          <w:sz w:val="18"/>
          <w:szCs w:val="18"/>
          <w:lang w:val="en-AU"/>
        </w:rPr>
        <w:t xml:space="preserve"> 1993,</w:t>
      </w:r>
      <w:r w:rsidR="001B06DA" w:rsidRPr="00DC5382">
        <w:rPr>
          <w:sz w:val="18"/>
          <w:szCs w:val="18"/>
          <w:lang w:val="en-AU"/>
        </w:rPr>
        <w:t xml:space="preserve"> Vol 2,</w:t>
      </w:r>
      <w:r w:rsidR="009F0328" w:rsidRPr="00DC5382">
        <w:rPr>
          <w:sz w:val="18"/>
          <w:szCs w:val="18"/>
          <w:lang w:val="en-AU"/>
        </w:rPr>
        <w:t xml:space="preserve"> p </w:t>
      </w:r>
      <w:r w:rsidR="00805408" w:rsidRPr="00DC5382">
        <w:rPr>
          <w:sz w:val="18"/>
          <w:szCs w:val="18"/>
          <w:lang w:val="en-AU"/>
        </w:rPr>
        <w:t>7</w:t>
      </w:r>
      <w:r w:rsidR="00090B6B" w:rsidRPr="00DC5382">
        <w:rPr>
          <w:sz w:val="18"/>
          <w:szCs w:val="18"/>
          <w:lang w:val="en-AU"/>
        </w:rPr>
        <w:t>.</w:t>
      </w:r>
      <w:r w:rsidR="004239B8" w:rsidRPr="00DC5382">
        <w:rPr>
          <w:sz w:val="18"/>
          <w:szCs w:val="18"/>
          <w:lang w:val="en-AU"/>
        </w:rPr>
        <w:t xml:space="preserve"> </w:t>
      </w:r>
    </w:p>
  </w:footnote>
  <w:footnote w:id="2">
    <w:p w14:paraId="237C4AE0" w14:textId="41EB281F" w:rsidR="007D1825" w:rsidRPr="00DC5382" w:rsidRDefault="007D1825">
      <w:pPr>
        <w:pStyle w:val="FootnoteText"/>
        <w:rPr>
          <w:sz w:val="18"/>
          <w:szCs w:val="18"/>
          <w:lang w:val="en-AU"/>
        </w:rPr>
      </w:pPr>
      <w:r w:rsidRPr="00DC5382">
        <w:rPr>
          <w:rStyle w:val="FootnoteReference"/>
          <w:sz w:val="18"/>
          <w:szCs w:val="18"/>
        </w:rPr>
        <w:footnoteRef/>
      </w:r>
      <w:r w:rsidRPr="00DC5382">
        <w:rPr>
          <w:sz w:val="18"/>
          <w:szCs w:val="18"/>
        </w:rPr>
        <w:t xml:space="preserve"> </w:t>
      </w:r>
      <w:r w:rsidR="00A46CCB" w:rsidRPr="00DC5382">
        <w:rPr>
          <w:sz w:val="18"/>
          <w:szCs w:val="18"/>
          <w:lang w:val="en-AU"/>
        </w:rPr>
        <w:t xml:space="preserve">B Wessells, </w:t>
      </w:r>
      <w:r w:rsidR="00A46CCB" w:rsidRPr="00DC5382">
        <w:rPr>
          <w:i/>
          <w:iCs/>
          <w:sz w:val="18"/>
          <w:szCs w:val="18"/>
          <w:lang w:val="en-AU"/>
        </w:rPr>
        <w:t>International Insolvency Law</w:t>
      </w:r>
      <w:r w:rsidR="00A46CCB" w:rsidRPr="00DC5382">
        <w:rPr>
          <w:sz w:val="18"/>
          <w:szCs w:val="18"/>
          <w:lang w:val="en-AU"/>
        </w:rPr>
        <w:t xml:space="preserve"> (Kluwer, 2006), p 1.</w:t>
      </w:r>
    </w:p>
  </w:footnote>
  <w:footnote w:id="3">
    <w:p w14:paraId="200482AC" w14:textId="771EAC74" w:rsidR="0009167D" w:rsidRPr="00DC5382" w:rsidRDefault="0009167D">
      <w:pPr>
        <w:pStyle w:val="FootnoteText"/>
        <w:rPr>
          <w:sz w:val="18"/>
          <w:szCs w:val="18"/>
          <w:lang w:val="en-AU"/>
        </w:rPr>
      </w:pPr>
      <w:r w:rsidRPr="00DC5382">
        <w:rPr>
          <w:rStyle w:val="FootnoteReference"/>
          <w:sz w:val="18"/>
          <w:szCs w:val="18"/>
        </w:rPr>
        <w:footnoteRef/>
      </w:r>
      <w:r w:rsidRPr="00DC5382">
        <w:rPr>
          <w:sz w:val="18"/>
          <w:szCs w:val="18"/>
        </w:rPr>
        <w:t xml:space="preserve"> </w:t>
      </w:r>
      <w:r w:rsidRPr="00DC5382">
        <w:rPr>
          <w:sz w:val="18"/>
          <w:szCs w:val="18"/>
          <w:lang w:val="en-AU"/>
        </w:rPr>
        <w:t xml:space="preserve">Fletcher, Ian F, “International Insolvency: The Way Ahead” 28 </w:t>
      </w:r>
      <w:r w:rsidRPr="00DC5382">
        <w:rPr>
          <w:i/>
          <w:iCs/>
          <w:sz w:val="18"/>
          <w:szCs w:val="18"/>
          <w:lang w:val="en-AU"/>
        </w:rPr>
        <w:t>International Insolvency Review</w:t>
      </w:r>
      <w:r w:rsidRPr="00DC5382">
        <w:rPr>
          <w:sz w:val="18"/>
          <w:szCs w:val="18"/>
          <w:lang w:val="en-AU"/>
        </w:rPr>
        <w:t xml:space="preserve"> 1993, Vol 2, p 1</w:t>
      </w:r>
      <w:r w:rsidR="00805408" w:rsidRPr="00DC5382">
        <w:rPr>
          <w:sz w:val="18"/>
          <w:szCs w:val="18"/>
          <w:lang w:val="en-AU"/>
        </w:rPr>
        <w:t>1</w:t>
      </w:r>
      <w:r w:rsidRPr="00DC5382">
        <w:rPr>
          <w:sz w:val="18"/>
          <w:szCs w:val="18"/>
          <w:lang w:val="en-AU"/>
        </w:rPr>
        <w:t>.</w:t>
      </w:r>
    </w:p>
  </w:footnote>
  <w:footnote w:id="4">
    <w:p w14:paraId="222FD078" w14:textId="0E2F1064" w:rsidR="004320F0" w:rsidRPr="00DC5382" w:rsidRDefault="004320F0">
      <w:pPr>
        <w:pStyle w:val="FootnoteText"/>
        <w:rPr>
          <w:sz w:val="18"/>
          <w:szCs w:val="18"/>
          <w:lang w:val="en-AU"/>
        </w:rPr>
      </w:pPr>
      <w:r w:rsidRPr="00DC5382">
        <w:rPr>
          <w:rStyle w:val="FootnoteReference"/>
          <w:sz w:val="18"/>
          <w:szCs w:val="18"/>
        </w:rPr>
        <w:footnoteRef/>
      </w:r>
      <w:r w:rsidRPr="00DC5382">
        <w:rPr>
          <w:sz w:val="18"/>
          <w:szCs w:val="18"/>
        </w:rPr>
        <w:t xml:space="preserve"> </w:t>
      </w:r>
      <w:r w:rsidR="00913EA5" w:rsidRPr="00DC5382">
        <w:rPr>
          <w:sz w:val="18"/>
          <w:szCs w:val="18"/>
          <w:lang w:val="en-AU"/>
        </w:rPr>
        <w:t xml:space="preserve">I am adopting the definition of insolvency representative on page </w:t>
      </w:r>
      <w:r w:rsidR="00823F35">
        <w:rPr>
          <w:sz w:val="18"/>
          <w:szCs w:val="18"/>
          <w:lang w:val="en-AU"/>
        </w:rPr>
        <w:t>30</w:t>
      </w:r>
      <w:r w:rsidR="00913EA5" w:rsidRPr="00DC5382">
        <w:rPr>
          <w:sz w:val="18"/>
          <w:szCs w:val="18"/>
          <w:lang w:val="en-AU"/>
        </w:rPr>
        <w:t xml:space="preserve"> of the course material. It was not apparent to me on the material how one is to go about referencing the course material.</w:t>
      </w:r>
    </w:p>
  </w:footnote>
  <w:footnote w:id="5">
    <w:p w14:paraId="0A33FF29" w14:textId="68C3AD53" w:rsidR="009F6BA9" w:rsidRPr="009F6BA9" w:rsidRDefault="009F6BA9">
      <w:pPr>
        <w:pStyle w:val="FootnoteText"/>
        <w:rPr>
          <w:lang w:val="en-AU"/>
        </w:rPr>
      </w:pPr>
      <w:r w:rsidRPr="00DC5382">
        <w:rPr>
          <w:rStyle w:val="FootnoteReference"/>
          <w:sz w:val="18"/>
          <w:szCs w:val="18"/>
        </w:rPr>
        <w:footnoteRef/>
      </w:r>
      <w:r w:rsidRPr="00DC5382">
        <w:rPr>
          <w:sz w:val="18"/>
          <w:szCs w:val="18"/>
        </w:rPr>
        <w:t xml:space="preserve"> </w:t>
      </w:r>
      <w:r w:rsidRPr="00DC5382">
        <w:rPr>
          <w:sz w:val="18"/>
          <w:szCs w:val="18"/>
          <w:lang w:val="en-AU"/>
        </w:rPr>
        <w:t xml:space="preserve">See generally the list of nine key issues of universalism described </w:t>
      </w:r>
      <w:r w:rsidR="00E334D7" w:rsidRPr="00DC5382">
        <w:rPr>
          <w:sz w:val="18"/>
          <w:szCs w:val="18"/>
          <w:lang w:val="en-AU"/>
        </w:rPr>
        <w:t>in</w:t>
      </w:r>
      <w:r w:rsidRPr="00DC5382">
        <w:rPr>
          <w:sz w:val="18"/>
          <w:szCs w:val="18"/>
          <w:lang w:val="en-AU"/>
        </w:rPr>
        <w:t xml:space="preserve"> </w:t>
      </w:r>
      <w:r w:rsidR="00E334D7" w:rsidRPr="00DC5382">
        <w:rPr>
          <w:sz w:val="18"/>
          <w:szCs w:val="18"/>
          <w:lang w:val="en-AU"/>
        </w:rPr>
        <w:t xml:space="preserve">J L </w:t>
      </w:r>
      <w:r w:rsidRPr="00DC5382">
        <w:rPr>
          <w:sz w:val="18"/>
          <w:szCs w:val="18"/>
          <w:lang w:val="en-AU"/>
        </w:rPr>
        <w:t>Westbrook</w:t>
      </w:r>
      <w:r w:rsidR="00E334D7" w:rsidRPr="00DC5382">
        <w:rPr>
          <w:sz w:val="18"/>
          <w:szCs w:val="18"/>
          <w:lang w:val="en-AU"/>
        </w:rPr>
        <w:t xml:space="preserve">, “Global Insolvency Proceedings for a Global market: The Universalist system and the Choice of a Central Court” (2018) 96 </w:t>
      </w:r>
      <w:r w:rsidR="00E334D7" w:rsidRPr="00DC5382">
        <w:rPr>
          <w:i/>
          <w:iCs/>
          <w:sz w:val="18"/>
          <w:szCs w:val="18"/>
          <w:lang w:val="en-AU"/>
        </w:rPr>
        <w:t>Texas Law Review</w:t>
      </w:r>
      <w:r w:rsidR="00E334D7" w:rsidRPr="00DC5382">
        <w:rPr>
          <w:sz w:val="18"/>
          <w:szCs w:val="18"/>
          <w:lang w:val="en-AU"/>
        </w:rPr>
        <w:t>, p 1473.</w:t>
      </w:r>
      <w:r w:rsidRPr="00DC5382">
        <w:rPr>
          <w:sz w:val="18"/>
          <w:szCs w:val="18"/>
          <w:lang w:val="en-AU"/>
        </w:rPr>
        <w:t xml:space="preserve"> </w:t>
      </w:r>
    </w:p>
  </w:footnote>
  <w:footnote w:id="6">
    <w:p w14:paraId="28958D86" w14:textId="2F09EADC" w:rsidR="00C53865" w:rsidRPr="00F95FAB" w:rsidRDefault="00C53865" w:rsidP="00C53865">
      <w:pPr>
        <w:pStyle w:val="FootnoteText"/>
        <w:rPr>
          <w:lang w:val="en-AU"/>
        </w:rPr>
      </w:pPr>
      <w:r w:rsidRPr="00844309">
        <w:rPr>
          <w:rStyle w:val="FootnoteReference"/>
          <w:sz w:val="18"/>
          <w:szCs w:val="18"/>
        </w:rPr>
        <w:footnoteRef/>
      </w:r>
      <w:r w:rsidRPr="00844309">
        <w:rPr>
          <w:sz w:val="18"/>
          <w:szCs w:val="18"/>
        </w:rPr>
        <w:t xml:space="preserve"> </w:t>
      </w:r>
      <w:r w:rsidRPr="00844309">
        <w:rPr>
          <w:sz w:val="18"/>
          <w:szCs w:val="18"/>
          <w:lang w:val="en-AU"/>
        </w:rPr>
        <w:t xml:space="preserve">J L Westbrook, “The Lessons of Maxwell Communications” (1996) </w:t>
      </w:r>
      <w:r w:rsidRPr="00844309">
        <w:rPr>
          <w:i/>
          <w:iCs/>
          <w:sz w:val="18"/>
          <w:szCs w:val="18"/>
          <w:lang w:val="en-AU"/>
        </w:rPr>
        <w:t>Fordham Law Review</w:t>
      </w:r>
      <w:r w:rsidRPr="00844309">
        <w:rPr>
          <w:sz w:val="18"/>
          <w:szCs w:val="18"/>
          <w:lang w:val="en-AU"/>
        </w:rPr>
        <w:t xml:space="preserve"> 64 2531, p 2532.</w:t>
      </w:r>
    </w:p>
  </w:footnote>
  <w:footnote w:id="7">
    <w:p w14:paraId="12FC41E1" w14:textId="67F32F18" w:rsidR="00350C84" w:rsidRPr="00350C84" w:rsidRDefault="00350C84">
      <w:pPr>
        <w:pStyle w:val="FootnoteText"/>
        <w:rPr>
          <w:lang w:val="en-AU"/>
        </w:rPr>
      </w:pPr>
      <w:r>
        <w:rPr>
          <w:rStyle w:val="FootnoteReference"/>
        </w:rPr>
        <w:footnoteRef/>
      </w:r>
      <w:r>
        <w:t xml:space="preserve"> </w:t>
      </w:r>
      <w:r w:rsidR="00913EA5" w:rsidRPr="00DC5382">
        <w:rPr>
          <w:sz w:val="18"/>
          <w:szCs w:val="18"/>
          <w:lang w:val="en-AU"/>
        </w:rPr>
        <w:t xml:space="preserve">I am adopting the definition of insolvency </w:t>
      </w:r>
      <w:r w:rsidR="00913EA5">
        <w:rPr>
          <w:sz w:val="18"/>
          <w:szCs w:val="18"/>
          <w:lang w:val="en-AU"/>
        </w:rPr>
        <w:t>proceeding</w:t>
      </w:r>
      <w:r w:rsidR="00913EA5" w:rsidRPr="00DC5382">
        <w:rPr>
          <w:sz w:val="18"/>
          <w:szCs w:val="18"/>
          <w:lang w:val="en-AU"/>
        </w:rPr>
        <w:t xml:space="preserve"> on page </w:t>
      </w:r>
      <w:r w:rsidR="00C05B02">
        <w:rPr>
          <w:sz w:val="18"/>
          <w:szCs w:val="18"/>
          <w:lang w:val="en-AU"/>
        </w:rPr>
        <w:t>30</w:t>
      </w:r>
      <w:r w:rsidR="00913EA5" w:rsidRPr="00DC5382">
        <w:rPr>
          <w:sz w:val="18"/>
          <w:szCs w:val="18"/>
          <w:lang w:val="en-AU"/>
        </w:rPr>
        <w:t xml:space="preserve"> of the course material.</w:t>
      </w:r>
    </w:p>
  </w:footnote>
  <w:footnote w:id="8">
    <w:p w14:paraId="1525F07E" w14:textId="591FABAD" w:rsidR="00051C2D" w:rsidRPr="00844309" w:rsidRDefault="00051C2D">
      <w:pPr>
        <w:pStyle w:val="FootnoteText"/>
        <w:rPr>
          <w:sz w:val="18"/>
          <w:szCs w:val="18"/>
          <w:lang w:val="en-AU"/>
        </w:rPr>
      </w:pPr>
      <w:r w:rsidRPr="00DA18B1">
        <w:rPr>
          <w:rStyle w:val="FootnoteReference"/>
          <w:sz w:val="18"/>
          <w:szCs w:val="18"/>
        </w:rPr>
        <w:footnoteRef/>
      </w:r>
      <w:r w:rsidRPr="00DA18B1">
        <w:rPr>
          <w:sz w:val="18"/>
          <w:szCs w:val="18"/>
        </w:rPr>
        <w:t xml:space="preserve"> </w:t>
      </w:r>
      <w:r w:rsidRPr="00DA18B1">
        <w:rPr>
          <w:sz w:val="18"/>
          <w:szCs w:val="18"/>
          <w:lang w:val="en-AU"/>
        </w:rPr>
        <w:t xml:space="preserve">R K Rasmussen, </w:t>
      </w:r>
      <w:r w:rsidR="001E4E30" w:rsidRPr="00DA18B1">
        <w:rPr>
          <w:sz w:val="18"/>
          <w:szCs w:val="18"/>
          <w:lang w:val="en-AU"/>
        </w:rPr>
        <w:t>“A new Approach to Tra</w:t>
      </w:r>
      <w:r w:rsidR="00844309">
        <w:rPr>
          <w:sz w:val="18"/>
          <w:szCs w:val="18"/>
          <w:lang w:val="en-AU"/>
        </w:rPr>
        <w:t>n</w:t>
      </w:r>
      <w:r w:rsidR="001E4E30" w:rsidRPr="00DA18B1">
        <w:rPr>
          <w:sz w:val="18"/>
          <w:szCs w:val="18"/>
          <w:lang w:val="en-AU"/>
        </w:rPr>
        <w:t>snational Insolvencies” (1998) 1</w:t>
      </w:r>
      <w:r w:rsidR="00DA18B1" w:rsidRPr="00DA18B1">
        <w:rPr>
          <w:sz w:val="18"/>
          <w:szCs w:val="18"/>
          <w:lang w:val="en-AU"/>
        </w:rPr>
        <w:t xml:space="preserve">9 </w:t>
      </w:r>
      <w:r w:rsidR="00DA18B1" w:rsidRPr="00DA18B1">
        <w:rPr>
          <w:i/>
          <w:iCs/>
          <w:sz w:val="18"/>
          <w:szCs w:val="18"/>
          <w:lang w:val="en-AU"/>
        </w:rPr>
        <w:t>Michigan Journal of International Law</w:t>
      </w:r>
      <w:r w:rsidR="00DA18B1" w:rsidRPr="00DA18B1">
        <w:rPr>
          <w:sz w:val="18"/>
          <w:szCs w:val="18"/>
          <w:lang w:val="en-AU"/>
        </w:rPr>
        <w:t xml:space="preserve"> 1, 1</w:t>
      </w:r>
      <w:r w:rsidR="00CE12FF">
        <w:rPr>
          <w:sz w:val="18"/>
          <w:szCs w:val="18"/>
          <w:lang w:val="en-AU"/>
        </w:rPr>
        <w:t>-</w:t>
      </w:r>
      <w:r w:rsidR="00DA18B1" w:rsidRPr="00844309">
        <w:rPr>
          <w:sz w:val="18"/>
          <w:szCs w:val="18"/>
          <w:lang w:val="en-AU"/>
        </w:rPr>
        <w:t>36.</w:t>
      </w:r>
    </w:p>
  </w:footnote>
  <w:footnote w:id="9">
    <w:p w14:paraId="0A8FD0AC" w14:textId="6CA465CD" w:rsidR="00992690" w:rsidRPr="00992690" w:rsidRDefault="00992690">
      <w:pPr>
        <w:pStyle w:val="FootnoteText"/>
        <w:rPr>
          <w:lang w:val="en-AU"/>
        </w:rPr>
      </w:pPr>
      <w:r w:rsidRPr="00992690">
        <w:rPr>
          <w:rStyle w:val="FootnoteReference"/>
          <w:sz w:val="18"/>
          <w:szCs w:val="18"/>
        </w:rPr>
        <w:footnoteRef/>
      </w:r>
      <w:r w:rsidRPr="00992690">
        <w:rPr>
          <w:sz w:val="18"/>
          <w:szCs w:val="18"/>
        </w:rPr>
        <w:t xml:space="preserve"> </w:t>
      </w:r>
      <w:r w:rsidRPr="00844309">
        <w:rPr>
          <w:sz w:val="18"/>
          <w:szCs w:val="18"/>
          <w:lang w:val="en-AU"/>
        </w:rPr>
        <w:t xml:space="preserve">J L Westbrook, “The Lessons of Maxwell Communications” (1996) </w:t>
      </w:r>
      <w:r w:rsidRPr="00844309">
        <w:rPr>
          <w:i/>
          <w:iCs/>
          <w:sz w:val="18"/>
          <w:szCs w:val="18"/>
          <w:lang w:val="en-AU"/>
        </w:rPr>
        <w:t>Fordham Law Review</w:t>
      </w:r>
      <w:r w:rsidRPr="00844309">
        <w:rPr>
          <w:sz w:val="18"/>
          <w:szCs w:val="18"/>
          <w:lang w:val="en-AU"/>
        </w:rPr>
        <w:t xml:space="preserve"> 64 2531, pp 2532.</w:t>
      </w:r>
    </w:p>
  </w:footnote>
  <w:footnote w:id="10">
    <w:p w14:paraId="5581C775" w14:textId="506CAD0B" w:rsidR="003C2FA3" w:rsidRPr="003C2FA3" w:rsidRDefault="003C2FA3">
      <w:pPr>
        <w:pStyle w:val="FootnoteText"/>
        <w:rPr>
          <w:lang w:val="en-AU"/>
        </w:rPr>
      </w:pPr>
      <w:r w:rsidRPr="003C2FA3">
        <w:rPr>
          <w:rStyle w:val="FootnoteReference"/>
          <w:sz w:val="18"/>
          <w:szCs w:val="18"/>
        </w:rPr>
        <w:footnoteRef/>
      </w:r>
      <w:r w:rsidRPr="003C2FA3">
        <w:rPr>
          <w:sz w:val="18"/>
          <w:szCs w:val="18"/>
        </w:rPr>
        <w:t xml:space="preserve"> </w:t>
      </w:r>
      <w:r>
        <w:rPr>
          <w:sz w:val="18"/>
          <w:szCs w:val="18"/>
        </w:rPr>
        <w:t>&lt;</w:t>
      </w:r>
      <w:r w:rsidRPr="003C2FA3">
        <w:rPr>
          <w:sz w:val="18"/>
          <w:szCs w:val="18"/>
        </w:rPr>
        <w:t>https://www.moec.gov.ae/en/federal-decree-law-no-9-of-2016-on-bankruptcy?p_l_back_url=%2Fen%2Fsearch-results%3Fq%3DFuture%2520Economy%26delta%3D40%26start%3D4</w:t>
      </w:r>
      <w:r>
        <w:rPr>
          <w:sz w:val="18"/>
          <w:szCs w:val="18"/>
        </w:rPr>
        <w:t>&gt;</w:t>
      </w:r>
      <w:r w:rsidR="00D108FE">
        <w:rPr>
          <w:sz w:val="18"/>
          <w:szCs w:val="18"/>
        </w:rPr>
        <w:t xml:space="preserve"> (accessed 15/10/2022).</w:t>
      </w:r>
    </w:p>
  </w:footnote>
  <w:footnote w:id="11">
    <w:p w14:paraId="1CD617F6" w14:textId="77CCA613" w:rsidR="0088307F" w:rsidRPr="0088307F" w:rsidRDefault="0088307F">
      <w:pPr>
        <w:pStyle w:val="FootnoteText"/>
        <w:rPr>
          <w:sz w:val="18"/>
          <w:szCs w:val="18"/>
          <w:lang w:val="en-AU"/>
        </w:rPr>
      </w:pPr>
      <w:r w:rsidRPr="0088307F">
        <w:rPr>
          <w:rStyle w:val="FootnoteReference"/>
          <w:sz w:val="18"/>
          <w:szCs w:val="18"/>
        </w:rPr>
        <w:footnoteRef/>
      </w:r>
      <w:r w:rsidRPr="0088307F">
        <w:rPr>
          <w:sz w:val="18"/>
          <w:szCs w:val="18"/>
        </w:rPr>
        <w:t xml:space="preserve"> </w:t>
      </w:r>
      <w:r w:rsidRPr="0088307F">
        <w:rPr>
          <w:sz w:val="18"/>
          <w:szCs w:val="18"/>
          <w:lang w:val="en-AU"/>
        </w:rPr>
        <w:t>&lt;https://u.ae/en/information-and-services/business/protection-of-insolvent-natural-persons#:~:text=The%20new%20law%20will%20protect,settle%20the%20financial%20obligations%20debtor&gt;</w:t>
      </w:r>
      <w:r w:rsidR="00D108FE">
        <w:rPr>
          <w:sz w:val="18"/>
          <w:szCs w:val="18"/>
          <w:lang w:val="en-AU"/>
        </w:rPr>
        <w:t xml:space="preserve"> </w:t>
      </w:r>
      <w:r w:rsidR="00D108FE">
        <w:rPr>
          <w:sz w:val="18"/>
          <w:szCs w:val="18"/>
        </w:rPr>
        <w:t>(accessed 15/10/2022).</w:t>
      </w:r>
    </w:p>
  </w:footnote>
  <w:footnote w:id="12">
    <w:p w14:paraId="1B45EBC7" w14:textId="3CB79EA5" w:rsidR="00980CAE" w:rsidRPr="0088307F" w:rsidRDefault="00980CAE" w:rsidP="00980CAE">
      <w:pPr>
        <w:pStyle w:val="FootnoteText"/>
        <w:rPr>
          <w:sz w:val="18"/>
          <w:szCs w:val="18"/>
          <w:lang w:val="en-AU"/>
        </w:rPr>
      </w:pPr>
      <w:r w:rsidRPr="0088307F">
        <w:rPr>
          <w:rStyle w:val="FootnoteReference"/>
          <w:sz w:val="18"/>
          <w:szCs w:val="18"/>
        </w:rPr>
        <w:footnoteRef/>
      </w:r>
      <w:r w:rsidRPr="0088307F">
        <w:rPr>
          <w:sz w:val="18"/>
          <w:szCs w:val="18"/>
        </w:rPr>
        <w:t xml:space="preserve"> </w:t>
      </w:r>
      <w:r w:rsidRPr="0088307F">
        <w:rPr>
          <w:sz w:val="18"/>
          <w:szCs w:val="18"/>
          <w:lang w:val="en-AU"/>
        </w:rPr>
        <w:t>&lt;</w:t>
      </w:r>
      <w:r w:rsidR="00AE1E0B" w:rsidRPr="00AE1E0B">
        <w:rPr>
          <w:sz w:val="18"/>
          <w:szCs w:val="18"/>
          <w:lang w:val="en-AU"/>
        </w:rPr>
        <w:t>https://mof.gov.ae/bankruptcy-and-insolvency/</w:t>
      </w:r>
      <w:r w:rsidRPr="0088307F">
        <w:rPr>
          <w:sz w:val="18"/>
          <w:szCs w:val="18"/>
          <w:lang w:val="en-AU"/>
        </w:rPr>
        <w:t>&gt;</w:t>
      </w:r>
      <w:r w:rsidR="00D108FE">
        <w:rPr>
          <w:sz w:val="18"/>
          <w:szCs w:val="18"/>
          <w:lang w:val="en-AU"/>
        </w:rPr>
        <w:t xml:space="preserve"> </w:t>
      </w:r>
      <w:r w:rsidR="00D108FE">
        <w:rPr>
          <w:sz w:val="18"/>
          <w:szCs w:val="18"/>
        </w:rPr>
        <w:t>(accessed 15/10/2022).</w:t>
      </w:r>
    </w:p>
  </w:footnote>
  <w:footnote w:id="13">
    <w:p w14:paraId="4311BC44" w14:textId="280C937C" w:rsidR="00CD29ED" w:rsidRPr="00782649" w:rsidRDefault="00CD29ED">
      <w:pPr>
        <w:pStyle w:val="FootnoteText"/>
        <w:rPr>
          <w:sz w:val="18"/>
          <w:szCs w:val="18"/>
          <w:lang w:val="en-AU"/>
        </w:rPr>
      </w:pPr>
      <w:r w:rsidRPr="00782649">
        <w:rPr>
          <w:rStyle w:val="FootnoteReference"/>
          <w:sz w:val="18"/>
          <w:szCs w:val="18"/>
        </w:rPr>
        <w:footnoteRef/>
      </w:r>
      <w:r w:rsidRPr="00782649">
        <w:rPr>
          <w:sz w:val="18"/>
          <w:szCs w:val="18"/>
        </w:rPr>
        <w:t xml:space="preserve"> Alarifi, F. (2021), "The bankruptcy law of Saudi Arabia: policy, operation and comparison", </w:t>
      </w:r>
      <w:r w:rsidRPr="00782649">
        <w:rPr>
          <w:i/>
          <w:iCs/>
          <w:sz w:val="18"/>
          <w:szCs w:val="18"/>
        </w:rPr>
        <w:t>PSU Research Review</w:t>
      </w:r>
      <w:r w:rsidR="00102395">
        <w:rPr>
          <w:sz w:val="18"/>
          <w:szCs w:val="18"/>
        </w:rPr>
        <w:t>, section 2.1</w:t>
      </w:r>
      <w:r w:rsidR="00211E2D" w:rsidRPr="00782649">
        <w:rPr>
          <w:sz w:val="18"/>
          <w:szCs w:val="18"/>
        </w:rPr>
        <w:t xml:space="preserve">. </w:t>
      </w:r>
      <w:r w:rsidR="00D808F6" w:rsidRPr="00782649">
        <w:rPr>
          <w:sz w:val="18"/>
          <w:szCs w:val="18"/>
        </w:rPr>
        <w:t>The journal citation does not include a volume number, but can be accessed at: &lt;</w:t>
      </w:r>
      <w:r w:rsidR="00782649" w:rsidRPr="00782649">
        <w:rPr>
          <w:sz w:val="18"/>
          <w:szCs w:val="18"/>
        </w:rPr>
        <w:t>https://www.emerald.com/insight/content/doi/10.1108/PRR-02-2021-0011/full/html</w:t>
      </w:r>
      <w:r w:rsidR="00D808F6" w:rsidRPr="00782649">
        <w:rPr>
          <w:sz w:val="18"/>
          <w:szCs w:val="18"/>
        </w:rPr>
        <w:t>&gt;</w:t>
      </w:r>
      <w:r w:rsidR="00D108FE">
        <w:rPr>
          <w:sz w:val="18"/>
          <w:szCs w:val="18"/>
          <w:lang w:val="en-AU"/>
        </w:rPr>
        <w:t xml:space="preserve"> </w:t>
      </w:r>
      <w:r w:rsidR="00D108FE">
        <w:rPr>
          <w:sz w:val="18"/>
          <w:szCs w:val="18"/>
        </w:rPr>
        <w:t>(accessed 15/10/2022).</w:t>
      </w:r>
    </w:p>
  </w:footnote>
  <w:footnote w:id="14">
    <w:p w14:paraId="05116E31" w14:textId="04B2C41A" w:rsidR="00E26A25" w:rsidRPr="00E26A25" w:rsidRDefault="00E26A25">
      <w:pPr>
        <w:pStyle w:val="FootnoteText"/>
        <w:rPr>
          <w:lang w:val="en-AU"/>
        </w:rPr>
      </w:pPr>
      <w:r w:rsidRPr="002B1045">
        <w:rPr>
          <w:rStyle w:val="FootnoteReference"/>
          <w:sz w:val="18"/>
          <w:szCs w:val="18"/>
        </w:rPr>
        <w:footnoteRef/>
      </w:r>
      <w:r w:rsidRPr="002B1045">
        <w:rPr>
          <w:sz w:val="18"/>
          <w:szCs w:val="18"/>
        </w:rPr>
        <w:t xml:space="preserve"> </w:t>
      </w:r>
      <w:r w:rsidRPr="002B1045">
        <w:rPr>
          <w:sz w:val="18"/>
          <w:szCs w:val="18"/>
          <w:lang w:val="en-AU"/>
        </w:rPr>
        <w:t>Ibid, sectio</w:t>
      </w:r>
      <w:r w:rsidR="002B1045" w:rsidRPr="002B1045">
        <w:rPr>
          <w:sz w:val="18"/>
          <w:szCs w:val="18"/>
          <w:lang w:val="en-AU"/>
        </w:rPr>
        <w:t>ns 2.1 and 5.</w:t>
      </w:r>
    </w:p>
  </w:footnote>
  <w:footnote w:id="15">
    <w:p w14:paraId="2ED2D12D" w14:textId="03AB214D" w:rsidR="00D959E1" w:rsidRPr="00D959E1" w:rsidRDefault="00D959E1">
      <w:pPr>
        <w:pStyle w:val="FootnoteText"/>
        <w:rPr>
          <w:lang w:val="en-AU"/>
        </w:rPr>
      </w:pPr>
      <w:r w:rsidRPr="00D959E1">
        <w:rPr>
          <w:rStyle w:val="FootnoteReference"/>
          <w:sz w:val="18"/>
          <w:szCs w:val="18"/>
        </w:rPr>
        <w:footnoteRef/>
      </w:r>
      <w:r w:rsidRPr="00D959E1">
        <w:rPr>
          <w:sz w:val="18"/>
          <w:szCs w:val="18"/>
        </w:rPr>
        <w:t xml:space="preserve"> </w:t>
      </w:r>
      <w:r w:rsidRPr="00D959E1">
        <w:rPr>
          <w:sz w:val="18"/>
          <w:szCs w:val="18"/>
          <w:lang w:val="en-AU"/>
        </w:rPr>
        <w:t>&lt;https://uncitral.un.org/en/texts/insolvency/modellaw/cross-border_insolvency/status&gt;</w:t>
      </w:r>
      <w:r w:rsidR="00D108FE">
        <w:rPr>
          <w:sz w:val="18"/>
          <w:szCs w:val="18"/>
          <w:lang w:val="en-AU"/>
        </w:rPr>
        <w:t xml:space="preserve"> </w:t>
      </w:r>
      <w:r w:rsidR="00D108FE">
        <w:rPr>
          <w:sz w:val="18"/>
          <w:szCs w:val="18"/>
        </w:rPr>
        <w:t>(accessed 15/10/2022).</w:t>
      </w:r>
    </w:p>
  </w:footnote>
  <w:footnote w:id="16">
    <w:p w14:paraId="58DA96CD" w14:textId="7F105EF3" w:rsidR="005E759D" w:rsidRPr="005E759D" w:rsidRDefault="005E759D">
      <w:pPr>
        <w:pStyle w:val="FootnoteText"/>
        <w:rPr>
          <w:lang w:val="en-AU"/>
        </w:rPr>
      </w:pPr>
      <w:r w:rsidRPr="005E759D">
        <w:rPr>
          <w:rStyle w:val="FootnoteReference"/>
          <w:sz w:val="18"/>
          <w:szCs w:val="18"/>
        </w:rPr>
        <w:footnoteRef/>
      </w:r>
      <w:r w:rsidRPr="005E759D">
        <w:rPr>
          <w:sz w:val="18"/>
          <w:szCs w:val="18"/>
        </w:rPr>
        <w:t xml:space="preserve"> </w:t>
      </w:r>
      <w:r w:rsidR="00A80FD1">
        <w:rPr>
          <w:sz w:val="18"/>
          <w:szCs w:val="18"/>
        </w:rPr>
        <w:t>Anderson, C and Morrison, D</w:t>
      </w:r>
      <w:r w:rsidR="00A80FD1" w:rsidRPr="00844309">
        <w:rPr>
          <w:sz w:val="18"/>
          <w:szCs w:val="18"/>
          <w:lang w:val="en-AU"/>
        </w:rPr>
        <w:t>, “</w:t>
      </w:r>
      <w:r w:rsidR="00A80FD1">
        <w:rPr>
          <w:sz w:val="18"/>
          <w:szCs w:val="18"/>
          <w:lang w:val="en-AU"/>
        </w:rPr>
        <w:t>Is Corporate Rescue a Realistic Ideal? Business as Usual in Australia and the United Kingdom</w:t>
      </w:r>
      <w:r w:rsidR="00A80FD1" w:rsidRPr="00844309">
        <w:rPr>
          <w:sz w:val="18"/>
          <w:szCs w:val="18"/>
          <w:lang w:val="en-AU"/>
        </w:rPr>
        <w:t>” (</w:t>
      </w:r>
      <w:r w:rsidR="00A80FD1">
        <w:rPr>
          <w:sz w:val="18"/>
          <w:szCs w:val="18"/>
          <w:lang w:val="en-AU"/>
        </w:rPr>
        <w:t>2015</w:t>
      </w:r>
      <w:r w:rsidR="00A80FD1" w:rsidRPr="00844309">
        <w:rPr>
          <w:sz w:val="18"/>
          <w:szCs w:val="18"/>
          <w:lang w:val="en-AU"/>
        </w:rPr>
        <w:t>)</w:t>
      </w:r>
      <w:r w:rsidR="00CD10A3">
        <w:rPr>
          <w:sz w:val="18"/>
          <w:szCs w:val="18"/>
          <w:lang w:val="en-AU"/>
        </w:rPr>
        <w:t xml:space="preserve"> 3</w:t>
      </w:r>
      <w:r w:rsidR="00A80FD1" w:rsidRPr="00844309">
        <w:rPr>
          <w:sz w:val="18"/>
          <w:szCs w:val="18"/>
          <w:lang w:val="en-AU"/>
        </w:rPr>
        <w:t xml:space="preserve"> </w:t>
      </w:r>
      <w:r w:rsidR="00AA0C58">
        <w:rPr>
          <w:i/>
          <w:iCs/>
          <w:sz w:val="18"/>
          <w:szCs w:val="18"/>
          <w:lang w:val="en-AU"/>
        </w:rPr>
        <w:t xml:space="preserve">Nottingham Insolvency and Business Law e-Journal </w:t>
      </w:r>
      <w:r w:rsidR="00CD10A3">
        <w:rPr>
          <w:sz w:val="18"/>
          <w:szCs w:val="18"/>
          <w:lang w:val="en-AU"/>
        </w:rPr>
        <w:t>23</w:t>
      </w:r>
      <w:r w:rsidR="00A80FD1" w:rsidRPr="00844309">
        <w:rPr>
          <w:sz w:val="18"/>
          <w:szCs w:val="18"/>
          <w:lang w:val="en-AU"/>
        </w:rPr>
        <w:t xml:space="preserve"> </w:t>
      </w:r>
      <w:r w:rsidR="00CD10A3">
        <w:rPr>
          <w:sz w:val="18"/>
          <w:szCs w:val="18"/>
          <w:lang w:val="en-AU"/>
        </w:rPr>
        <w:t>417</w:t>
      </w:r>
      <w:r w:rsidR="00A80FD1" w:rsidRPr="00844309">
        <w:rPr>
          <w:sz w:val="18"/>
          <w:szCs w:val="18"/>
          <w:lang w:val="en-AU"/>
        </w:rPr>
        <w:t xml:space="preserve">, p </w:t>
      </w:r>
      <w:r w:rsidR="00CD10A3">
        <w:rPr>
          <w:sz w:val="18"/>
          <w:szCs w:val="18"/>
          <w:lang w:val="en-AU"/>
        </w:rPr>
        <w:t>418</w:t>
      </w:r>
      <w:r>
        <w:rPr>
          <w:sz w:val="18"/>
          <w:szCs w:val="18"/>
        </w:rPr>
        <w:t>.</w:t>
      </w:r>
    </w:p>
  </w:footnote>
  <w:footnote w:id="17">
    <w:p w14:paraId="79D712E1" w14:textId="20CC1EF8" w:rsidR="00B7063A" w:rsidRPr="00B7063A" w:rsidRDefault="00B7063A">
      <w:pPr>
        <w:pStyle w:val="FootnoteText"/>
        <w:rPr>
          <w:lang w:val="en-AU"/>
        </w:rPr>
      </w:pPr>
      <w:r w:rsidRPr="00B7063A">
        <w:rPr>
          <w:rStyle w:val="FootnoteReference"/>
          <w:sz w:val="18"/>
          <w:szCs w:val="18"/>
        </w:rPr>
        <w:footnoteRef/>
      </w:r>
      <w:r w:rsidRPr="00B7063A">
        <w:rPr>
          <w:sz w:val="18"/>
          <w:szCs w:val="18"/>
        </w:rPr>
        <w:t xml:space="preserve"> </w:t>
      </w:r>
      <w:r w:rsidRPr="00B7063A">
        <w:rPr>
          <w:sz w:val="18"/>
          <w:szCs w:val="18"/>
          <w:lang w:val="en-AU"/>
        </w:rPr>
        <w:t xml:space="preserve">In M A Clarke et al, </w:t>
      </w:r>
      <w:r w:rsidRPr="00B7063A">
        <w:rPr>
          <w:i/>
          <w:iCs/>
          <w:sz w:val="18"/>
          <w:szCs w:val="18"/>
          <w:lang w:val="en-AU"/>
        </w:rPr>
        <w:t>Commercial Law</w:t>
      </w:r>
      <w:r w:rsidRPr="00B7063A">
        <w:rPr>
          <w:sz w:val="18"/>
          <w:szCs w:val="18"/>
          <w:lang w:val="en-AU"/>
        </w:rPr>
        <w:t xml:space="preserve"> (Oxford University Press, 2017), chap 28.</w:t>
      </w:r>
    </w:p>
  </w:footnote>
  <w:footnote w:id="18">
    <w:p w14:paraId="2B704BF6" w14:textId="00A6060E" w:rsidR="00362AF4" w:rsidRPr="00362AF4" w:rsidRDefault="00362AF4">
      <w:pPr>
        <w:pStyle w:val="FootnoteText"/>
        <w:rPr>
          <w:lang w:val="en-AU"/>
        </w:rPr>
      </w:pPr>
      <w:r w:rsidRPr="00B75DB9">
        <w:rPr>
          <w:rStyle w:val="FootnoteReference"/>
          <w:sz w:val="18"/>
          <w:szCs w:val="18"/>
        </w:rPr>
        <w:footnoteRef/>
      </w:r>
      <w:r w:rsidRPr="00B75DB9">
        <w:rPr>
          <w:sz w:val="18"/>
          <w:szCs w:val="18"/>
        </w:rPr>
        <w:t xml:space="preserve"> </w:t>
      </w:r>
      <w:r w:rsidRPr="00B75DB9">
        <w:rPr>
          <w:i/>
          <w:iCs/>
          <w:sz w:val="18"/>
          <w:szCs w:val="18"/>
          <w:lang w:val="en-AU"/>
        </w:rPr>
        <w:t>Bankruptcy Act 1966</w:t>
      </w:r>
      <w:r w:rsidRPr="00B75DB9">
        <w:rPr>
          <w:sz w:val="18"/>
          <w:szCs w:val="18"/>
          <w:lang w:val="en-AU"/>
        </w:rPr>
        <w:t xml:space="preserve"> (Cth), s 152. </w:t>
      </w:r>
    </w:p>
  </w:footnote>
  <w:footnote w:id="19">
    <w:p w14:paraId="3362B796" w14:textId="63BF9EEE" w:rsidR="00FC669A" w:rsidRPr="00FC669A" w:rsidRDefault="00FC669A">
      <w:pPr>
        <w:pStyle w:val="FootnoteText"/>
        <w:rPr>
          <w:lang w:val="en-AU"/>
        </w:rPr>
      </w:pPr>
      <w:r w:rsidRPr="0069245E">
        <w:rPr>
          <w:rStyle w:val="FootnoteReference"/>
          <w:sz w:val="18"/>
          <w:szCs w:val="18"/>
        </w:rPr>
        <w:footnoteRef/>
      </w:r>
      <w:r w:rsidRPr="0069245E">
        <w:rPr>
          <w:sz w:val="18"/>
          <w:szCs w:val="18"/>
        </w:rPr>
        <w:t xml:space="preserve"> </w:t>
      </w:r>
      <w:r w:rsidR="0069245E" w:rsidRPr="0069245E">
        <w:rPr>
          <w:sz w:val="18"/>
          <w:szCs w:val="18"/>
          <w:lang w:val="en-AU"/>
        </w:rPr>
        <w:t>&lt;https://www.afsa.gov.au/insolvency/how-we-can-help/indexed-amounts&gt;</w:t>
      </w:r>
      <w:r w:rsidR="00D108FE">
        <w:rPr>
          <w:sz w:val="18"/>
          <w:szCs w:val="18"/>
          <w:lang w:val="en-AU"/>
        </w:rPr>
        <w:t xml:space="preserve"> </w:t>
      </w:r>
      <w:r w:rsidR="00D108FE">
        <w:rPr>
          <w:sz w:val="18"/>
          <w:szCs w:val="18"/>
        </w:rPr>
        <w:t>(accessed 15/10/2022).</w:t>
      </w:r>
    </w:p>
  </w:footnote>
  <w:footnote w:id="20">
    <w:p w14:paraId="2CCE867B" w14:textId="1416580A" w:rsidR="007E6563" w:rsidRPr="007E6563" w:rsidRDefault="007E6563">
      <w:pPr>
        <w:pStyle w:val="FootnoteText"/>
        <w:rPr>
          <w:lang w:val="en-AU"/>
        </w:rPr>
      </w:pPr>
      <w:r w:rsidRPr="004277CC">
        <w:rPr>
          <w:rStyle w:val="FootnoteReference"/>
          <w:sz w:val="18"/>
          <w:szCs w:val="18"/>
        </w:rPr>
        <w:footnoteRef/>
      </w:r>
      <w:r w:rsidRPr="004277CC">
        <w:rPr>
          <w:sz w:val="18"/>
          <w:szCs w:val="18"/>
        </w:rPr>
        <w:t xml:space="preserve"> </w:t>
      </w:r>
      <w:r w:rsidR="004277CC" w:rsidRPr="004277CC">
        <w:rPr>
          <w:sz w:val="18"/>
          <w:szCs w:val="18"/>
          <w:lang w:val="en-AU"/>
        </w:rPr>
        <w:t xml:space="preserve">World Bank, </w:t>
      </w:r>
      <w:r w:rsidR="004277CC" w:rsidRPr="004277CC">
        <w:rPr>
          <w:i/>
          <w:iCs/>
          <w:sz w:val="18"/>
          <w:szCs w:val="18"/>
          <w:lang w:val="en-AU"/>
        </w:rPr>
        <w:t>Report on the Treatment of the Insolvency of Natural Persons</w:t>
      </w:r>
      <w:r w:rsidR="004277CC" w:rsidRPr="004277CC">
        <w:rPr>
          <w:sz w:val="18"/>
          <w:szCs w:val="18"/>
          <w:lang w:val="en-AU"/>
        </w:rPr>
        <w:t xml:space="preserve"> (2012),</w:t>
      </w:r>
      <w:r w:rsidRPr="004277CC">
        <w:rPr>
          <w:sz w:val="18"/>
          <w:szCs w:val="18"/>
          <w:lang w:val="en-AU"/>
        </w:rPr>
        <w:t xml:space="preserve"> 51</w:t>
      </w:r>
      <w:r w:rsidR="004277CC" w:rsidRPr="004277CC">
        <w:rPr>
          <w:sz w:val="18"/>
          <w:szCs w:val="18"/>
          <w:lang w:val="en-AU"/>
        </w:rPr>
        <w:t>.</w:t>
      </w:r>
    </w:p>
  </w:footnote>
  <w:footnote w:id="21">
    <w:p w14:paraId="2E78FDB0" w14:textId="6EDC13EE" w:rsidR="009979D2" w:rsidRPr="003D6902" w:rsidRDefault="009979D2">
      <w:pPr>
        <w:pStyle w:val="FootnoteText"/>
        <w:rPr>
          <w:lang w:val="en-AU"/>
        </w:rPr>
      </w:pPr>
      <w:r w:rsidRPr="00DD4616">
        <w:rPr>
          <w:rStyle w:val="FootnoteReference"/>
          <w:sz w:val="18"/>
          <w:szCs w:val="18"/>
        </w:rPr>
        <w:footnoteRef/>
      </w:r>
      <w:r w:rsidRPr="00DD4616">
        <w:rPr>
          <w:sz w:val="18"/>
          <w:szCs w:val="18"/>
        </w:rPr>
        <w:t xml:space="preserve"> </w:t>
      </w:r>
      <w:r w:rsidR="0082690D" w:rsidRPr="00DD4616">
        <w:rPr>
          <w:sz w:val="18"/>
          <w:szCs w:val="18"/>
          <w:lang w:val="en-AU"/>
        </w:rPr>
        <w:t>I F F</w:t>
      </w:r>
      <w:r w:rsidR="003D6902" w:rsidRPr="00DD4616">
        <w:rPr>
          <w:sz w:val="18"/>
          <w:szCs w:val="18"/>
          <w:lang w:val="en-AU"/>
        </w:rPr>
        <w:t>l</w:t>
      </w:r>
      <w:r w:rsidR="0082690D" w:rsidRPr="00DD4616">
        <w:rPr>
          <w:sz w:val="18"/>
          <w:szCs w:val="18"/>
          <w:lang w:val="en-AU"/>
        </w:rPr>
        <w:t>etcher</w:t>
      </w:r>
      <w:r w:rsidR="003D6902" w:rsidRPr="00DD4616">
        <w:rPr>
          <w:sz w:val="18"/>
          <w:szCs w:val="18"/>
          <w:lang w:val="en-AU"/>
        </w:rPr>
        <w:t xml:space="preserve">, </w:t>
      </w:r>
      <w:r w:rsidR="003D6902" w:rsidRPr="00DD4616">
        <w:rPr>
          <w:i/>
          <w:iCs/>
          <w:sz w:val="18"/>
          <w:szCs w:val="18"/>
          <w:lang w:val="en-AU"/>
        </w:rPr>
        <w:t xml:space="preserve">The Law of Insolvency, </w:t>
      </w:r>
      <w:r w:rsidR="003D6902" w:rsidRPr="00DD4616">
        <w:rPr>
          <w:sz w:val="18"/>
          <w:szCs w:val="18"/>
          <w:lang w:val="en-AU"/>
        </w:rPr>
        <w:t>London (Sweet and Maxwell, 5</w:t>
      </w:r>
      <w:r w:rsidR="003D6902" w:rsidRPr="00DD4616">
        <w:rPr>
          <w:sz w:val="18"/>
          <w:szCs w:val="18"/>
          <w:vertAlign w:val="superscript"/>
          <w:lang w:val="en-AU"/>
        </w:rPr>
        <w:t>th</w:t>
      </w:r>
      <w:r w:rsidR="003D6902" w:rsidRPr="00DD4616">
        <w:rPr>
          <w:sz w:val="18"/>
          <w:szCs w:val="18"/>
          <w:lang w:val="en-AU"/>
        </w:rPr>
        <w:t xml:space="preserve"> ed, 2017), Ch 1</w:t>
      </w:r>
      <w:r w:rsidR="00DD4616" w:rsidRPr="00DD4616">
        <w:rPr>
          <w:sz w:val="18"/>
          <w:szCs w:val="18"/>
          <w:lang w:val="en-AU"/>
        </w:rPr>
        <w:t>.</w:t>
      </w:r>
    </w:p>
  </w:footnote>
  <w:footnote w:id="22">
    <w:p w14:paraId="7AD2A8CF" w14:textId="347C1CF5" w:rsidR="005C2399" w:rsidRPr="005C2399" w:rsidRDefault="005C2399">
      <w:pPr>
        <w:pStyle w:val="FootnoteText"/>
        <w:rPr>
          <w:lang w:val="en-AU"/>
        </w:rPr>
      </w:pPr>
      <w:r w:rsidRPr="00362CBE">
        <w:rPr>
          <w:rStyle w:val="FootnoteReference"/>
          <w:sz w:val="18"/>
          <w:szCs w:val="18"/>
        </w:rPr>
        <w:footnoteRef/>
      </w:r>
      <w:r w:rsidRPr="00362CBE">
        <w:rPr>
          <w:sz w:val="18"/>
          <w:szCs w:val="18"/>
        </w:rPr>
        <w:t xml:space="preserve"> </w:t>
      </w:r>
      <w:r w:rsidR="0068118B" w:rsidRPr="00362CBE">
        <w:rPr>
          <w:sz w:val="18"/>
          <w:szCs w:val="18"/>
        </w:rPr>
        <w:t xml:space="preserve">Australian </w:t>
      </w:r>
      <w:r w:rsidR="00362CBE" w:rsidRPr="00362CBE">
        <w:rPr>
          <w:sz w:val="18"/>
          <w:szCs w:val="18"/>
        </w:rPr>
        <w:t>Productivity</w:t>
      </w:r>
      <w:r w:rsidR="0068118B" w:rsidRPr="00362CBE">
        <w:rPr>
          <w:sz w:val="18"/>
          <w:szCs w:val="18"/>
        </w:rPr>
        <w:t xml:space="preserve"> Commission</w:t>
      </w:r>
      <w:r w:rsidR="00AE23E7">
        <w:rPr>
          <w:sz w:val="18"/>
          <w:szCs w:val="18"/>
        </w:rPr>
        <w:t xml:space="preserve"> 2015</w:t>
      </w:r>
      <w:r w:rsidR="0068118B" w:rsidRPr="00362CBE">
        <w:rPr>
          <w:sz w:val="18"/>
          <w:szCs w:val="18"/>
        </w:rPr>
        <w:t xml:space="preserve">, </w:t>
      </w:r>
      <w:r w:rsidR="00B74745" w:rsidRPr="00362CBE">
        <w:rPr>
          <w:i/>
          <w:iCs/>
          <w:sz w:val="18"/>
          <w:szCs w:val="18"/>
        </w:rPr>
        <w:t>Business Set-up, Transfer and Closure</w:t>
      </w:r>
      <w:r w:rsidR="0068118B" w:rsidRPr="00362CBE">
        <w:rPr>
          <w:i/>
          <w:iCs/>
          <w:sz w:val="18"/>
          <w:szCs w:val="18"/>
        </w:rPr>
        <w:t xml:space="preserve"> Report</w:t>
      </w:r>
      <w:r w:rsidR="0068118B" w:rsidRPr="00362CBE">
        <w:rPr>
          <w:sz w:val="18"/>
          <w:szCs w:val="18"/>
        </w:rPr>
        <w:t xml:space="preserve"> (</w:t>
      </w:r>
      <w:r w:rsidR="00AE23E7">
        <w:rPr>
          <w:sz w:val="18"/>
          <w:szCs w:val="18"/>
        </w:rPr>
        <w:t>Final Report 75</w:t>
      </w:r>
      <w:r w:rsidR="00121029">
        <w:rPr>
          <w:sz w:val="18"/>
          <w:szCs w:val="18"/>
        </w:rPr>
        <w:t>, Canberra</w:t>
      </w:r>
      <w:r w:rsidR="0068118B" w:rsidRPr="00362CBE">
        <w:rPr>
          <w:sz w:val="18"/>
          <w:szCs w:val="18"/>
        </w:rPr>
        <w:t xml:space="preserve">), </w:t>
      </w:r>
      <w:r w:rsidR="00362CBE" w:rsidRPr="00362CBE">
        <w:rPr>
          <w:sz w:val="18"/>
          <w:szCs w:val="18"/>
        </w:rPr>
        <w:t>Ch</w:t>
      </w:r>
      <w:r w:rsidR="00121029">
        <w:rPr>
          <w:sz w:val="18"/>
          <w:szCs w:val="18"/>
        </w:rPr>
        <w:t> </w:t>
      </w:r>
      <w:r w:rsidR="00362CBE" w:rsidRPr="00362CBE">
        <w:rPr>
          <w:sz w:val="18"/>
          <w:szCs w:val="18"/>
        </w:rPr>
        <w:t xml:space="preserve">12.1, </w:t>
      </w:r>
      <w:r w:rsidR="0068118B" w:rsidRPr="00362CBE">
        <w:rPr>
          <w:sz w:val="18"/>
          <w:szCs w:val="18"/>
        </w:rPr>
        <w:t>320</w:t>
      </w:r>
      <w:r w:rsidR="00362CBE" w:rsidRPr="00362CBE">
        <w:rPr>
          <w:sz w:val="18"/>
          <w:szCs w:val="18"/>
        </w:rPr>
        <w:t>.</w:t>
      </w:r>
    </w:p>
  </w:footnote>
  <w:footnote w:id="23">
    <w:p w14:paraId="46D94E0A" w14:textId="4E4FC71D" w:rsidR="006C52A2" w:rsidRPr="00B7063A" w:rsidRDefault="006C52A2" w:rsidP="006C52A2">
      <w:pPr>
        <w:pStyle w:val="FootnoteText"/>
        <w:rPr>
          <w:lang w:val="en-AU"/>
        </w:rPr>
      </w:pPr>
      <w:r w:rsidRPr="00B7063A">
        <w:rPr>
          <w:rStyle w:val="FootnoteReference"/>
          <w:sz w:val="18"/>
          <w:szCs w:val="18"/>
        </w:rPr>
        <w:footnoteRef/>
      </w:r>
      <w:r w:rsidRPr="00B7063A">
        <w:rPr>
          <w:sz w:val="18"/>
          <w:szCs w:val="18"/>
        </w:rPr>
        <w:t xml:space="preserve"> </w:t>
      </w:r>
      <w:r w:rsidRPr="00B7063A">
        <w:rPr>
          <w:sz w:val="18"/>
          <w:szCs w:val="18"/>
          <w:lang w:val="en-AU"/>
        </w:rPr>
        <w:t xml:space="preserve">In M A Clarke et al, </w:t>
      </w:r>
      <w:r w:rsidRPr="00B7063A">
        <w:rPr>
          <w:i/>
          <w:iCs/>
          <w:sz w:val="18"/>
          <w:szCs w:val="18"/>
          <w:lang w:val="en-AU"/>
        </w:rPr>
        <w:t>Commercial Law</w:t>
      </w:r>
      <w:r w:rsidRPr="00B7063A">
        <w:rPr>
          <w:sz w:val="18"/>
          <w:szCs w:val="18"/>
          <w:lang w:val="en-AU"/>
        </w:rPr>
        <w:t xml:space="preserve"> (Oxford University Press, 2017), </w:t>
      </w:r>
      <w:r w:rsidR="00C61125">
        <w:rPr>
          <w:sz w:val="18"/>
          <w:szCs w:val="18"/>
          <w:lang w:val="en-AU"/>
        </w:rPr>
        <w:t>C</w:t>
      </w:r>
      <w:r w:rsidRPr="00B7063A">
        <w:rPr>
          <w:sz w:val="18"/>
          <w:szCs w:val="18"/>
          <w:lang w:val="en-AU"/>
        </w:rPr>
        <w:t>h 28.</w:t>
      </w:r>
    </w:p>
  </w:footnote>
  <w:footnote w:id="24">
    <w:p w14:paraId="1F628F18" w14:textId="30A13BB8" w:rsidR="00FD02EA" w:rsidRPr="00550841" w:rsidRDefault="00FD02EA">
      <w:pPr>
        <w:pStyle w:val="FootnoteText"/>
        <w:rPr>
          <w:lang w:val="en-AU"/>
        </w:rPr>
      </w:pPr>
      <w:r w:rsidRPr="006B1EB8">
        <w:rPr>
          <w:rStyle w:val="FootnoteReference"/>
          <w:sz w:val="18"/>
          <w:szCs w:val="18"/>
        </w:rPr>
        <w:footnoteRef/>
      </w:r>
      <w:r w:rsidRPr="006B1EB8">
        <w:rPr>
          <w:sz w:val="18"/>
          <w:szCs w:val="18"/>
        </w:rPr>
        <w:t xml:space="preserve"> </w:t>
      </w:r>
      <w:r w:rsidR="00550841" w:rsidRPr="006B1EB8">
        <w:rPr>
          <w:sz w:val="18"/>
          <w:szCs w:val="18"/>
          <w:lang w:val="en-AU"/>
        </w:rPr>
        <w:t xml:space="preserve">I F Fletcher, </w:t>
      </w:r>
      <w:r w:rsidR="00550841" w:rsidRPr="006B1EB8">
        <w:rPr>
          <w:i/>
          <w:iCs/>
          <w:sz w:val="18"/>
          <w:szCs w:val="18"/>
          <w:lang w:val="en-AU"/>
        </w:rPr>
        <w:t xml:space="preserve">Insolvency in Private International Law – National and International Approaches </w:t>
      </w:r>
      <w:r w:rsidR="00550841" w:rsidRPr="006B1EB8">
        <w:rPr>
          <w:sz w:val="18"/>
          <w:szCs w:val="18"/>
          <w:lang w:val="en-AU"/>
        </w:rPr>
        <w:t xml:space="preserve">(Oxford: Oxford </w:t>
      </w:r>
      <w:r w:rsidR="00206C35" w:rsidRPr="006B1EB8">
        <w:rPr>
          <w:sz w:val="18"/>
          <w:szCs w:val="18"/>
          <w:lang w:val="en-AU"/>
        </w:rPr>
        <w:t>University Press, 2</w:t>
      </w:r>
      <w:r w:rsidR="00206C35" w:rsidRPr="006B1EB8">
        <w:rPr>
          <w:sz w:val="18"/>
          <w:szCs w:val="18"/>
          <w:vertAlign w:val="superscript"/>
          <w:lang w:val="en-AU"/>
        </w:rPr>
        <w:t>nd</w:t>
      </w:r>
      <w:r w:rsidR="00206C35" w:rsidRPr="006B1EB8">
        <w:rPr>
          <w:sz w:val="18"/>
          <w:szCs w:val="18"/>
          <w:lang w:val="en-AU"/>
        </w:rPr>
        <w:t xml:space="preserve"> ed, 2005) p </w:t>
      </w:r>
      <w:r w:rsidR="006B1EB8" w:rsidRPr="006B1EB8">
        <w:rPr>
          <w:sz w:val="18"/>
          <w:szCs w:val="18"/>
          <w:lang w:val="en-AU"/>
        </w:rPr>
        <w:t>3-5.</w:t>
      </w:r>
    </w:p>
  </w:footnote>
  <w:footnote w:id="25">
    <w:p w14:paraId="38C73B60" w14:textId="33FCD9BC" w:rsidR="005C184A" w:rsidRPr="005C184A" w:rsidRDefault="005C184A">
      <w:pPr>
        <w:pStyle w:val="FootnoteText"/>
        <w:rPr>
          <w:lang w:val="en-AU"/>
        </w:rPr>
      </w:pPr>
      <w:r w:rsidRPr="0096326E">
        <w:rPr>
          <w:rStyle w:val="FootnoteReference"/>
          <w:sz w:val="18"/>
          <w:szCs w:val="18"/>
        </w:rPr>
        <w:footnoteRef/>
      </w:r>
      <w:r w:rsidRPr="0096326E">
        <w:rPr>
          <w:sz w:val="18"/>
          <w:szCs w:val="18"/>
        </w:rPr>
        <w:t xml:space="preserve"> </w:t>
      </w:r>
      <w:r w:rsidR="00DA2DC9" w:rsidRPr="0096326E">
        <w:rPr>
          <w:i/>
          <w:iCs/>
          <w:sz w:val="18"/>
          <w:szCs w:val="18"/>
          <w:lang w:val="en-AU"/>
        </w:rPr>
        <w:t>Corporations Act 2001</w:t>
      </w:r>
      <w:r w:rsidR="00DA2DC9" w:rsidRPr="0096326E">
        <w:rPr>
          <w:sz w:val="18"/>
          <w:szCs w:val="18"/>
          <w:lang w:val="en-AU"/>
        </w:rPr>
        <w:t xml:space="preserve"> (Cth), s 95A. </w:t>
      </w:r>
      <w:r w:rsidR="00610B48" w:rsidRPr="0096326E">
        <w:rPr>
          <w:sz w:val="18"/>
          <w:szCs w:val="18"/>
          <w:lang w:val="en-AU"/>
        </w:rPr>
        <w:t>It is a question of being able to pay your debts as and when they fall due</w:t>
      </w:r>
      <w:r w:rsidR="0096326E" w:rsidRPr="0096326E">
        <w:rPr>
          <w:sz w:val="18"/>
          <w:szCs w:val="18"/>
          <w:lang w:val="en-AU"/>
        </w:rPr>
        <w:t xml:space="preserve"> and payable</w:t>
      </w:r>
      <w:r w:rsidR="00F71A12" w:rsidRPr="0096326E">
        <w:rPr>
          <w:sz w:val="18"/>
          <w:szCs w:val="18"/>
          <w:lang w:val="en-AU"/>
        </w:rPr>
        <w:t xml:space="preserve"> (usually referenced by completing a cash</w:t>
      </w:r>
      <w:r w:rsidR="0096326E" w:rsidRPr="0096326E">
        <w:rPr>
          <w:sz w:val="18"/>
          <w:szCs w:val="18"/>
          <w:lang w:val="en-AU"/>
        </w:rPr>
        <w:t xml:space="preserve"> </w:t>
      </w:r>
      <w:r w:rsidR="00F71A12" w:rsidRPr="0096326E">
        <w:rPr>
          <w:sz w:val="18"/>
          <w:szCs w:val="18"/>
          <w:lang w:val="en-AU"/>
        </w:rPr>
        <w:t xml:space="preserve">flow test and balance sheet test) and short-term </w:t>
      </w:r>
      <w:r w:rsidR="00FA132E" w:rsidRPr="0096326E">
        <w:rPr>
          <w:sz w:val="18"/>
          <w:szCs w:val="18"/>
          <w:lang w:val="en-AU"/>
        </w:rPr>
        <w:t>liquidity problems do not ordinarily lead to insolvency proceedings</w:t>
      </w:r>
      <w:r w:rsidR="00651C29" w:rsidRPr="0096326E">
        <w:rPr>
          <w:sz w:val="18"/>
          <w:szCs w:val="18"/>
          <w:lang w:val="en-AU"/>
        </w:rPr>
        <w:t>. See</w:t>
      </w:r>
      <w:r w:rsidR="0096326E" w:rsidRPr="0096326E">
        <w:rPr>
          <w:sz w:val="18"/>
          <w:szCs w:val="18"/>
          <w:lang w:val="en-AU"/>
        </w:rPr>
        <w:t>,</w:t>
      </w:r>
      <w:r w:rsidR="00651C29" w:rsidRPr="0096326E">
        <w:rPr>
          <w:sz w:val="18"/>
          <w:szCs w:val="18"/>
          <w:lang w:val="en-AU"/>
        </w:rPr>
        <w:t xml:space="preserve"> for example, </w:t>
      </w:r>
      <w:r w:rsidR="00651C29" w:rsidRPr="0096326E">
        <w:rPr>
          <w:i/>
          <w:iCs/>
          <w:sz w:val="18"/>
          <w:szCs w:val="18"/>
          <w:lang w:val="en-AU"/>
        </w:rPr>
        <w:t>Sandell v Porter</w:t>
      </w:r>
      <w:r w:rsidR="00651C29" w:rsidRPr="0096326E">
        <w:rPr>
          <w:sz w:val="18"/>
          <w:szCs w:val="18"/>
          <w:lang w:val="en-AU"/>
        </w:rPr>
        <w:t xml:space="preserve"> </w:t>
      </w:r>
      <w:r w:rsidR="00612939" w:rsidRPr="0096326E">
        <w:rPr>
          <w:sz w:val="18"/>
          <w:szCs w:val="18"/>
          <w:lang w:val="en-AU"/>
        </w:rPr>
        <w:t xml:space="preserve">[1966] 115 CLR 666. </w:t>
      </w:r>
    </w:p>
  </w:footnote>
  <w:footnote w:id="26">
    <w:p w14:paraId="3260470E" w14:textId="29234B7C" w:rsidR="00854958" w:rsidRPr="00854958" w:rsidRDefault="00854958">
      <w:pPr>
        <w:pStyle w:val="FootnoteText"/>
        <w:rPr>
          <w:lang w:val="en-AU"/>
        </w:rPr>
      </w:pPr>
      <w:r w:rsidRPr="00F82F9B">
        <w:rPr>
          <w:rStyle w:val="FootnoteReference"/>
          <w:sz w:val="18"/>
          <w:szCs w:val="18"/>
        </w:rPr>
        <w:footnoteRef/>
      </w:r>
      <w:r w:rsidRPr="00F82F9B">
        <w:rPr>
          <w:sz w:val="18"/>
          <w:szCs w:val="18"/>
        </w:rPr>
        <w:t xml:space="preserve"> </w:t>
      </w:r>
      <w:r w:rsidR="002F7CB4">
        <w:rPr>
          <w:sz w:val="18"/>
          <w:szCs w:val="18"/>
        </w:rPr>
        <w:t xml:space="preserve">I F </w:t>
      </w:r>
      <w:r w:rsidRPr="00F82F9B">
        <w:rPr>
          <w:sz w:val="18"/>
          <w:szCs w:val="18"/>
          <w:lang w:val="en-AU"/>
        </w:rPr>
        <w:t xml:space="preserve">Fletcher, </w:t>
      </w:r>
      <w:r w:rsidRPr="00F82F9B">
        <w:rPr>
          <w:i/>
          <w:iCs/>
          <w:sz w:val="18"/>
          <w:szCs w:val="18"/>
          <w:lang w:val="en-AU"/>
        </w:rPr>
        <w:t>supra</w:t>
      </w:r>
      <w:r w:rsidRPr="00F82F9B">
        <w:rPr>
          <w:sz w:val="18"/>
          <w:szCs w:val="18"/>
          <w:lang w:val="en-AU"/>
        </w:rPr>
        <w:t xml:space="preserve"> note 24</w:t>
      </w:r>
      <w:r w:rsidR="00F82F9B" w:rsidRPr="00F82F9B">
        <w:rPr>
          <w:sz w:val="18"/>
          <w:szCs w:val="18"/>
          <w:lang w:val="en-AU"/>
        </w:rPr>
        <w:t>, p 3-5.</w:t>
      </w:r>
    </w:p>
  </w:footnote>
  <w:footnote w:id="27">
    <w:p w14:paraId="6150381C" w14:textId="0C0E378B" w:rsidR="001F6181" w:rsidRPr="003B490F" w:rsidRDefault="001F6181">
      <w:pPr>
        <w:pStyle w:val="FootnoteText"/>
        <w:rPr>
          <w:lang w:val="en-AU"/>
        </w:rPr>
      </w:pPr>
      <w:r w:rsidRPr="003B490F">
        <w:rPr>
          <w:rStyle w:val="FootnoteReference"/>
          <w:sz w:val="18"/>
          <w:szCs w:val="18"/>
        </w:rPr>
        <w:footnoteRef/>
      </w:r>
      <w:r w:rsidRPr="003B490F">
        <w:rPr>
          <w:sz w:val="18"/>
          <w:szCs w:val="18"/>
        </w:rPr>
        <w:t xml:space="preserve"> </w:t>
      </w:r>
      <w:r w:rsidR="00F02422" w:rsidRPr="003B490F">
        <w:rPr>
          <w:sz w:val="18"/>
          <w:szCs w:val="18"/>
          <w:lang w:val="en-AU"/>
        </w:rPr>
        <w:t xml:space="preserve">P J Omar, “The Landscape of International Insolvency”, (2002) 11, </w:t>
      </w:r>
      <w:r w:rsidR="00F02422" w:rsidRPr="003B490F">
        <w:rPr>
          <w:i/>
          <w:iCs/>
          <w:sz w:val="18"/>
          <w:szCs w:val="18"/>
          <w:lang w:val="en-AU"/>
        </w:rPr>
        <w:t>IIR</w:t>
      </w:r>
      <w:r w:rsidR="003B490F" w:rsidRPr="003B490F">
        <w:rPr>
          <w:sz w:val="18"/>
          <w:szCs w:val="18"/>
          <w:lang w:val="en-AU"/>
        </w:rPr>
        <w:t xml:space="preserve"> 173, p 175. </w:t>
      </w:r>
    </w:p>
  </w:footnote>
  <w:footnote w:id="28">
    <w:p w14:paraId="18FA6F18" w14:textId="1784612B" w:rsidR="003E654D" w:rsidRPr="00285976" w:rsidRDefault="003E654D">
      <w:pPr>
        <w:pStyle w:val="FootnoteText"/>
        <w:rPr>
          <w:lang w:val="en-AU"/>
        </w:rPr>
      </w:pPr>
      <w:r w:rsidRPr="00285976">
        <w:rPr>
          <w:rStyle w:val="FootnoteReference"/>
          <w:sz w:val="18"/>
          <w:szCs w:val="18"/>
        </w:rPr>
        <w:footnoteRef/>
      </w:r>
      <w:r w:rsidRPr="00285976">
        <w:rPr>
          <w:sz w:val="18"/>
          <w:szCs w:val="18"/>
        </w:rPr>
        <w:t xml:space="preserve"> </w:t>
      </w:r>
      <w:r w:rsidRPr="00285976">
        <w:rPr>
          <w:sz w:val="18"/>
          <w:szCs w:val="18"/>
          <w:lang w:val="en-AU"/>
        </w:rPr>
        <w:t xml:space="preserve">J L Westbrook, “Developments in Transnational Bankruptcy”, (1995) 39, </w:t>
      </w:r>
      <w:r w:rsidR="00285976" w:rsidRPr="00285976">
        <w:rPr>
          <w:i/>
          <w:iCs/>
          <w:sz w:val="18"/>
          <w:szCs w:val="18"/>
          <w:lang w:val="en-AU"/>
        </w:rPr>
        <w:t>St Louis University Law Journal</w:t>
      </w:r>
      <w:r w:rsidR="00285976" w:rsidRPr="00285976">
        <w:rPr>
          <w:sz w:val="18"/>
          <w:szCs w:val="18"/>
          <w:lang w:val="en-AU"/>
        </w:rPr>
        <w:t xml:space="preserve"> 753, pp 753-757.</w:t>
      </w:r>
    </w:p>
  </w:footnote>
  <w:footnote w:id="29">
    <w:p w14:paraId="43A3C57F" w14:textId="5D9F78A8" w:rsidR="003706B8" w:rsidRPr="003706B8" w:rsidRDefault="003706B8">
      <w:pPr>
        <w:pStyle w:val="FootnoteText"/>
        <w:rPr>
          <w:lang w:val="en-AU"/>
        </w:rPr>
      </w:pPr>
      <w:r w:rsidRPr="003706B8">
        <w:rPr>
          <w:rStyle w:val="FootnoteReference"/>
          <w:sz w:val="18"/>
          <w:szCs w:val="18"/>
        </w:rPr>
        <w:footnoteRef/>
      </w:r>
      <w:r w:rsidRPr="003706B8">
        <w:rPr>
          <w:sz w:val="18"/>
          <w:szCs w:val="18"/>
        </w:rPr>
        <w:t xml:space="preserve"> </w:t>
      </w:r>
      <w:r w:rsidRPr="003706B8">
        <w:rPr>
          <w:sz w:val="18"/>
          <w:szCs w:val="18"/>
          <w:lang w:val="en-AU"/>
        </w:rPr>
        <w:t>&lt;https://www.worldbank.org/en/topic/financialsector/brief/the-world-bank-principles-for-effective-insolvency-and-creditor-rights&gt;</w:t>
      </w:r>
      <w:r w:rsidR="00D108FE">
        <w:rPr>
          <w:sz w:val="18"/>
          <w:szCs w:val="18"/>
          <w:lang w:val="en-AU"/>
        </w:rPr>
        <w:t xml:space="preserve"> </w:t>
      </w:r>
      <w:r w:rsidR="00D108FE">
        <w:rPr>
          <w:sz w:val="18"/>
          <w:szCs w:val="18"/>
        </w:rPr>
        <w:t>(accessed 15/10/2022).</w:t>
      </w:r>
    </w:p>
  </w:footnote>
  <w:footnote w:id="30">
    <w:p w14:paraId="2B39B4B5" w14:textId="64369118" w:rsidR="00C84FEC" w:rsidRPr="00C84FEC" w:rsidRDefault="00C84FEC">
      <w:pPr>
        <w:pStyle w:val="FootnoteText"/>
        <w:rPr>
          <w:lang w:val="en-AU"/>
        </w:rPr>
      </w:pPr>
      <w:r w:rsidRPr="00FB552F">
        <w:rPr>
          <w:rStyle w:val="FootnoteReference"/>
          <w:sz w:val="18"/>
          <w:szCs w:val="18"/>
        </w:rPr>
        <w:footnoteRef/>
      </w:r>
      <w:r w:rsidRPr="00FB552F">
        <w:rPr>
          <w:sz w:val="18"/>
          <w:szCs w:val="18"/>
        </w:rPr>
        <w:t xml:space="preserve"> </w:t>
      </w:r>
      <w:r w:rsidR="000D2700" w:rsidRPr="00FB552F">
        <w:rPr>
          <w:sz w:val="18"/>
          <w:szCs w:val="18"/>
          <w:lang w:val="en-AU"/>
        </w:rPr>
        <w:t>&lt;https:</w:t>
      </w:r>
      <w:r w:rsidR="00887D36" w:rsidRPr="00FB552F">
        <w:rPr>
          <w:sz w:val="18"/>
          <w:szCs w:val="18"/>
          <w:lang w:val="en-AU"/>
        </w:rPr>
        <w:t>//www.eesc.europa.eu/sites/default/files/resources/docs/ipol-juri_nt2010419</w:t>
      </w:r>
      <w:r w:rsidR="00FB552F" w:rsidRPr="00FB552F">
        <w:rPr>
          <w:sz w:val="18"/>
          <w:szCs w:val="18"/>
          <w:lang w:val="en-AU"/>
        </w:rPr>
        <w:t>633_en.pdf&gt;</w:t>
      </w:r>
      <w:r w:rsidR="00D108FE">
        <w:rPr>
          <w:sz w:val="18"/>
          <w:szCs w:val="18"/>
          <w:lang w:val="en-AU"/>
        </w:rPr>
        <w:t xml:space="preserve"> </w:t>
      </w:r>
      <w:r w:rsidR="00D108FE">
        <w:rPr>
          <w:sz w:val="18"/>
          <w:szCs w:val="18"/>
        </w:rPr>
        <w:t>(accessed 15/10/2022).</w:t>
      </w:r>
    </w:p>
  </w:footnote>
  <w:footnote w:id="31">
    <w:p w14:paraId="7D1E9B35" w14:textId="0A1A2989" w:rsidR="00A80C90" w:rsidRPr="00A80C90" w:rsidRDefault="00A80C90">
      <w:pPr>
        <w:pStyle w:val="FootnoteText"/>
        <w:rPr>
          <w:lang w:val="en-AU"/>
        </w:rPr>
      </w:pPr>
      <w:r w:rsidRPr="00414A18">
        <w:rPr>
          <w:rStyle w:val="FootnoteReference"/>
          <w:sz w:val="18"/>
          <w:szCs w:val="18"/>
        </w:rPr>
        <w:footnoteRef/>
      </w:r>
      <w:r w:rsidRPr="00414A18">
        <w:rPr>
          <w:sz w:val="18"/>
          <w:szCs w:val="18"/>
        </w:rPr>
        <w:t xml:space="preserve"> </w:t>
      </w:r>
      <w:r w:rsidR="00414A18" w:rsidRPr="00414A18">
        <w:rPr>
          <w:sz w:val="18"/>
          <w:szCs w:val="18"/>
          <w:lang w:val="en-AU"/>
        </w:rPr>
        <w:t>&lt;https://finance.ec.europa.eu/publications/high-level-forum-capital-markets-union_en&gt;</w:t>
      </w:r>
      <w:r w:rsidR="00D108FE">
        <w:rPr>
          <w:sz w:val="18"/>
          <w:szCs w:val="18"/>
          <w:lang w:val="en-AU"/>
        </w:rPr>
        <w:t xml:space="preserve"> </w:t>
      </w:r>
      <w:r w:rsidR="00D108FE">
        <w:rPr>
          <w:sz w:val="18"/>
          <w:szCs w:val="18"/>
        </w:rPr>
        <w:t>(accessed 15/10/2022).</w:t>
      </w:r>
    </w:p>
  </w:footnote>
  <w:footnote w:id="32">
    <w:p w14:paraId="555EAD55" w14:textId="0E0B84EC" w:rsidR="00903B2D" w:rsidRPr="00903B2D" w:rsidRDefault="00903B2D">
      <w:pPr>
        <w:pStyle w:val="FootnoteText"/>
        <w:rPr>
          <w:lang w:val="en-AU"/>
        </w:rPr>
      </w:pPr>
      <w:r w:rsidRPr="00BF217F">
        <w:rPr>
          <w:rStyle w:val="FootnoteReference"/>
          <w:sz w:val="18"/>
          <w:szCs w:val="18"/>
        </w:rPr>
        <w:footnoteRef/>
      </w:r>
      <w:r w:rsidRPr="00BF217F">
        <w:rPr>
          <w:sz w:val="18"/>
          <w:szCs w:val="18"/>
        </w:rPr>
        <w:t xml:space="preserve"> Final Report of the High Level Forum on Capital Markets Union </w:t>
      </w:r>
      <w:r w:rsidR="00B610F9">
        <w:rPr>
          <w:sz w:val="18"/>
          <w:szCs w:val="18"/>
        </w:rPr>
        <w:t xml:space="preserve">– A new vision for Europe’s Capital Markets </w:t>
      </w:r>
      <w:r w:rsidRPr="00BF217F">
        <w:rPr>
          <w:sz w:val="18"/>
          <w:szCs w:val="18"/>
        </w:rPr>
        <w:t>(2020), p 114.</w:t>
      </w:r>
    </w:p>
  </w:footnote>
  <w:footnote w:id="33">
    <w:p w14:paraId="4C6653AF" w14:textId="3B9458BB" w:rsidR="002464B2" w:rsidRPr="002464B2" w:rsidRDefault="002464B2">
      <w:pPr>
        <w:pStyle w:val="FootnoteText"/>
        <w:rPr>
          <w:lang w:val="en-AU"/>
        </w:rPr>
      </w:pPr>
      <w:r w:rsidRPr="002464B2">
        <w:rPr>
          <w:rStyle w:val="FootnoteReference"/>
          <w:sz w:val="18"/>
          <w:szCs w:val="18"/>
        </w:rPr>
        <w:footnoteRef/>
      </w:r>
      <w:r w:rsidRPr="002464B2">
        <w:rPr>
          <w:sz w:val="18"/>
          <w:szCs w:val="18"/>
        </w:rPr>
        <w:t xml:space="preserve"> </w:t>
      </w:r>
      <w:r w:rsidRPr="002464B2">
        <w:rPr>
          <w:sz w:val="18"/>
          <w:szCs w:val="18"/>
          <w:lang w:val="en-AU"/>
        </w:rPr>
        <w:t>&lt;https://uncitral.un.org/en/texts/insolvency/modellaw/cross-border_insolvency/status&gt;</w:t>
      </w:r>
      <w:r w:rsidR="00D108FE">
        <w:rPr>
          <w:sz w:val="18"/>
          <w:szCs w:val="18"/>
          <w:lang w:val="en-AU"/>
        </w:rPr>
        <w:t xml:space="preserve"> </w:t>
      </w:r>
      <w:r w:rsidR="00D108FE">
        <w:rPr>
          <w:sz w:val="18"/>
          <w:szCs w:val="18"/>
        </w:rPr>
        <w:t>(accessed 15/10/2022).</w:t>
      </w:r>
    </w:p>
  </w:footnote>
  <w:footnote w:id="34">
    <w:p w14:paraId="396A54C4" w14:textId="4B9E5B8C" w:rsidR="00F27C8B" w:rsidRPr="00C05A69" w:rsidRDefault="00F27C8B">
      <w:pPr>
        <w:pStyle w:val="FootnoteText"/>
        <w:rPr>
          <w:sz w:val="18"/>
          <w:szCs w:val="18"/>
          <w:lang w:val="en-AU"/>
        </w:rPr>
      </w:pPr>
      <w:r w:rsidRPr="00C05A69">
        <w:rPr>
          <w:rStyle w:val="FootnoteReference"/>
          <w:sz w:val="18"/>
          <w:szCs w:val="18"/>
        </w:rPr>
        <w:footnoteRef/>
      </w:r>
      <w:r w:rsidRPr="00C05A69">
        <w:rPr>
          <w:sz w:val="18"/>
          <w:szCs w:val="18"/>
        </w:rPr>
        <w:t xml:space="preserve"> </w:t>
      </w:r>
      <w:r w:rsidR="00C05A69" w:rsidRPr="00C05A69">
        <w:rPr>
          <w:sz w:val="18"/>
          <w:szCs w:val="18"/>
        </w:rPr>
        <w:t xml:space="preserve">United Nations Commission on International Trade Law (UNCITRAL): </w:t>
      </w:r>
      <w:r w:rsidR="00C05A69" w:rsidRPr="00C05A69">
        <w:rPr>
          <w:i/>
          <w:iCs/>
          <w:sz w:val="18"/>
          <w:szCs w:val="18"/>
        </w:rPr>
        <w:t>Model Law on Cross-Border Insolvency</w:t>
      </w:r>
      <w:r w:rsidR="00C05A69" w:rsidRPr="00C05A69">
        <w:rPr>
          <w:sz w:val="18"/>
          <w:szCs w:val="18"/>
        </w:rPr>
        <w:t xml:space="preserve"> (1997).</w:t>
      </w:r>
    </w:p>
  </w:footnote>
  <w:footnote w:id="35">
    <w:p w14:paraId="529A58A7" w14:textId="1C3D9E70" w:rsidR="0096467B" w:rsidRPr="0096467B" w:rsidRDefault="0096467B">
      <w:pPr>
        <w:pStyle w:val="FootnoteText"/>
        <w:rPr>
          <w:lang w:val="en-AU"/>
        </w:rPr>
      </w:pPr>
      <w:r w:rsidRPr="0096467B">
        <w:rPr>
          <w:rStyle w:val="FootnoteReference"/>
          <w:sz w:val="18"/>
          <w:szCs w:val="18"/>
        </w:rPr>
        <w:footnoteRef/>
      </w:r>
      <w:r w:rsidRPr="0096467B">
        <w:rPr>
          <w:sz w:val="18"/>
          <w:szCs w:val="18"/>
        </w:rPr>
        <w:t xml:space="preserve"> </w:t>
      </w:r>
      <w:r w:rsidRPr="0096467B">
        <w:rPr>
          <w:sz w:val="18"/>
          <w:szCs w:val="18"/>
          <w:lang w:val="en-AU"/>
        </w:rPr>
        <w:t>Ibid.</w:t>
      </w:r>
    </w:p>
  </w:footnote>
  <w:footnote w:id="36">
    <w:p w14:paraId="2E1589BA" w14:textId="44163FF0" w:rsidR="00216783" w:rsidRPr="000F65BB" w:rsidRDefault="00216783">
      <w:pPr>
        <w:pStyle w:val="FootnoteText"/>
        <w:rPr>
          <w:sz w:val="18"/>
          <w:szCs w:val="18"/>
          <w:lang w:val="en-AU"/>
        </w:rPr>
      </w:pPr>
      <w:r w:rsidRPr="000F65BB">
        <w:rPr>
          <w:rStyle w:val="FootnoteReference"/>
          <w:sz w:val="18"/>
          <w:szCs w:val="18"/>
        </w:rPr>
        <w:footnoteRef/>
      </w:r>
      <w:r w:rsidRPr="000F65BB">
        <w:rPr>
          <w:sz w:val="18"/>
          <w:szCs w:val="18"/>
        </w:rPr>
        <w:t xml:space="preserve"> </w:t>
      </w:r>
      <w:r w:rsidR="00FA515A" w:rsidRPr="000F65BB">
        <w:rPr>
          <w:sz w:val="18"/>
          <w:szCs w:val="18"/>
        </w:rPr>
        <w:t xml:space="preserve">Guide to Enactment and Interpretation of the UNCITRAL Model Law on </w:t>
      </w:r>
      <w:r w:rsidR="00FE42F3" w:rsidRPr="000F65BB">
        <w:rPr>
          <w:sz w:val="18"/>
          <w:szCs w:val="18"/>
        </w:rPr>
        <w:t xml:space="preserve">Cross-Border Insolvency, Part </w:t>
      </w:r>
      <w:r w:rsidR="00275F9C">
        <w:rPr>
          <w:sz w:val="18"/>
          <w:szCs w:val="18"/>
        </w:rPr>
        <w:t>T</w:t>
      </w:r>
      <w:r w:rsidR="00FE42F3" w:rsidRPr="000F65BB">
        <w:rPr>
          <w:sz w:val="18"/>
          <w:szCs w:val="18"/>
        </w:rPr>
        <w:t xml:space="preserve">wo, </w:t>
      </w:r>
      <w:r w:rsidR="00FE42F3" w:rsidRPr="000F65BB">
        <w:rPr>
          <w:sz w:val="18"/>
          <w:szCs w:val="18"/>
          <w:lang w:val="en-AU"/>
        </w:rPr>
        <w:t>p</w:t>
      </w:r>
      <w:r w:rsidR="00087CAB" w:rsidRPr="000F65BB">
        <w:rPr>
          <w:sz w:val="18"/>
          <w:szCs w:val="18"/>
          <w:lang w:val="en-AU"/>
        </w:rPr>
        <w:t>ara</w:t>
      </w:r>
      <w:r w:rsidR="00FE42F3" w:rsidRPr="000F65BB">
        <w:rPr>
          <w:sz w:val="18"/>
          <w:szCs w:val="18"/>
          <w:lang w:val="en-AU"/>
        </w:rPr>
        <w:t>graph</w:t>
      </w:r>
      <w:r w:rsidR="00087CAB" w:rsidRPr="000F65BB">
        <w:rPr>
          <w:sz w:val="18"/>
          <w:szCs w:val="18"/>
          <w:lang w:val="en-AU"/>
        </w:rPr>
        <w:t>s 31</w:t>
      </w:r>
      <w:r w:rsidR="00FE42F3" w:rsidRPr="000F65BB">
        <w:rPr>
          <w:sz w:val="18"/>
          <w:szCs w:val="18"/>
          <w:lang w:val="en-AU"/>
        </w:rPr>
        <w:t xml:space="preserve"> and</w:t>
      </w:r>
      <w:r w:rsidR="00087CAB" w:rsidRPr="000F65BB">
        <w:rPr>
          <w:sz w:val="18"/>
          <w:szCs w:val="18"/>
          <w:lang w:val="en-AU"/>
        </w:rPr>
        <w:t xml:space="preserve"> 157-160</w:t>
      </w:r>
      <w:r w:rsidR="00FE42F3" w:rsidRPr="000F65BB">
        <w:rPr>
          <w:sz w:val="18"/>
          <w:szCs w:val="18"/>
          <w:lang w:val="en-AU"/>
        </w:rPr>
        <w:t>.</w:t>
      </w:r>
    </w:p>
  </w:footnote>
  <w:footnote w:id="37">
    <w:p w14:paraId="2D3BD874" w14:textId="34E7E35B" w:rsidR="00F92A78" w:rsidRPr="000F65BB" w:rsidRDefault="00F92A78">
      <w:pPr>
        <w:pStyle w:val="FootnoteText"/>
        <w:rPr>
          <w:sz w:val="18"/>
          <w:szCs w:val="18"/>
          <w:lang w:val="en-AU"/>
        </w:rPr>
      </w:pPr>
      <w:r w:rsidRPr="000F65BB">
        <w:rPr>
          <w:rStyle w:val="FootnoteReference"/>
          <w:sz w:val="18"/>
          <w:szCs w:val="18"/>
        </w:rPr>
        <w:footnoteRef/>
      </w:r>
      <w:r w:rsidRPr="000F65BB">
        <w:rPr>
          <w:sz w:val="18"/>
          <w:szCs w:val="18"/>
        </w:rPr>
        <w:t xml:space="preserve"> </w:t>
      </w:r>
      <w:r w:rsidRPr="000F65BB">
        <w:rPr>
          <w:sz w:val="18"/>
          <w:szCs w:val="18"/>
          <w:lang w:val="en-AU"/>
        </w:rPr>
        <w:t xml:space="preserve">The United States </w:t>
      </w:r>
      <w:r w:rsidR="00FD2336" w:rsidRPr="000F65BB">
        <w:rPr>
          <w:sz w:val="18"/>
          <w:szCs w:val="18"/>
          <w:lang w:val="en-AU"/>
        </w:rPr>
        <w:t>(see</w:t>
      </w:r>
      <w:r w:rsidR="009E773E" w:rsidRPr="000F65BB">
        <w:rPr>
          <w:sz w:val="18"/>
          <w:szCs w:val="18"/>
          <w:lang w:val="en-AU"/>
        </w:rPr>
        <w:t xml:space="preserve"> page 11 of</w:t>
      </w:r>
      <w:r w:rsidR="00FD2336" w:rsidRPr="000F65BB">
        <w:rPr>
          <w:sz w:val="18"/>
          <w:szCs w:val="18"/>
          <w:lang w:val="en-AU"/>
        </w:rPr>
        <w:t xml:space="preserve"> </w:t>
      </w:r>
      <w:r w:rsidR="000C67A2" w:rsidRPr="000F65BB">
        <w:rPr>
          <w:i/>
          <w:iCs/>
          <w:sz w:val="18"/>
          <w:szCs w:val="18"/>
          <w:lang w:val="en-AU"/>
        </w:rPr>
        <w:t>In re</w:t>
      </w:r>
      <w:r w:rsidR="002835BB" w:rsidRPr="000F65BB">
        <w:rPr>
          <w:i/>
          <w:iCs/>
          <w:sz w:val="18"/>
          <w:szCs w:val="18"/>
          <w:lang w:val="en-AU"/>
        </w:rPr>
        <w:t xml:space="preserve"> Paul Zeital</w:t>
      </w:r>
      <w:r w:rsidR="000C67A2" w:rsidRPr="000F65BB">
        <w:rPr>
          <w:i/>
          <w:iCs/>
          <w:sz w:val="18"/>
          <w:szCs w:val="18"/>
          <w:lang w:val="en-AU"/>
        </w:rPr>
        <w:t xml:space="preserve"> Kemsley</w:t>
      </w:r>
      <w:r w:rsidR="000C67A2" w:rsidRPr="000F65BB">
        <w:rPr>
          <w:sz w:val="18"/>
          <w:szCs w:val="18"/>
          <w:lang w:val="en-AU"/>
        </w:rPr>
        <w:t xml:space="preserve"> </w:t>
      </w:r>
      <w:r w:rsidR="009E773E" w:rsidRPr="000F65BB">
        <w:rPr>
          <w:sz w:val="18"/>
          <w:szCs w:val="18"/>
          <w:lang w:val="en-AU"/>
        </w:rPr>
        <w:t xml:space="preserve">[2013] Case No 12-13570 (JMP), U.S. Bankruptcy Court) </w:t>
      </w:r>
      <w:r w:rsidRPr="000F65BB">
        <w:rPr>
          <w:sz w:val="18"/>
          <w:szCs w:val="18"/>
          <w:lang w:val="en-AU"/>
        </w:rPr>
        <w:t xml:space="preserve">and the United Kingdom </w:t>
      </w:r>
      <w:r w:rsidR="00574DAE" w:rsidRPr="000F65BB">
        <w:rPr>
          <w:sz w:val="18"/>
          <w:szCs w:val="18"/>
          <w:lang w:val="en-AU"/>
        </w:rPr>
        <w:t>(</w:t>
      </w:r>
      <w:r w:rsidR="00574DAE" w:rsidRPr="000F65BB">
        <w:rPr>
          <w:i/>
          <w:iCs/>
          <w:sz w:val="18"/>
          <w:szCs w:val="18"/>
          <w:lang w:val="en-AU"/>
        </w:rPr>
        <w:t>Re Videology Ltd</w:t>
      </w:r>
      <w:r w:rsidR="00574DAE" w:rsidRPr="000F65BB">
        <w:rPr>
          <w:sz w:val="18"/>
          <w:szCs w:val="18"/>
          <w:lang w:val="en-AU"/>
        </w:rPr>
        <w:t xml:space="preserve"> [2018] EWHC 2186 (Ch)) </w:t>
      </w:r>
      <w:r w:rsidRPr="000F65BB">
        <w:rPr>
          <w:sz w:val="18"/>
          <w:szCs w:val="18"/>
          <w:lang w:val="en-AU"/>
        </w:rPr>
        <w:t xml:space="preserve">positions appear to follow </w:t>
      </w:r>
      <w:r w:rsidR="00FD2336" w:rsidRPr="000F65BB">
        <w:rPr>
          <w:sz w:val="18"/>
          <w:szCs w:val="18"/>
          <w:lang w:val="en-AU"/>
        </w:rPr>
        <w:t xml:space="preserve">the UNCITRAL Guide on this issue. </w:t>
      </w:r>
      <w:r w:rsidR="00C35660" w:rsidRPr="000F65BB">
        <w:rPr>
          <w:sz w:val="18"/>
          <w:szCs w:val="18"/>
          <w:lang w:val="en-AU"/>
        </w:rPr>
        <w:t xml:space="preserve">The Australian position on this issue is still not </w:t>
      </w:r>
      <w:r w:rsidR="00BA20DC" w:rsidRPr="000F65BB">
        <w:rPr>
          <w:sz w:val="18"/>
          <w:szCs w:val="18"/>
          <w:lang w:val="en-AU"/>
        </w:rPr>
        <w:t>decided</w:t>
      </w:r>
      <w:r w:rsidR="00C35660" w:rsidRPr="000F65BB">
        <w:rPr>
          <w:sz w:val="18"/>
          <w:szCs w:val="18"/>
          <w:lang w:val="en-AU"/>
        </w:rPr>
        <w:t xml:space="preserve"> (see for instance</w:t>
      </w:r>
      <w:r w:rsidR="007B63B9" w:rsidRPr="000F65BB">
        <w:rPr>
          <w:sz w:val="18"/>
          <w:szCs w:val="18"/>
        </w:rPr>
        <w:t xml:space="preserve"> </w:t>
      </w:r>
      <w:r w:rsidR="007B63B9" w:rsidRPr="000F65BB">
        <w:rPr>
          <w:i/>
          <w:iCs/>
          <w:sz w:val="18"/>
          <w:szCs w:val="18"/>
          <w:lang w:val="en-AU"/>
        </w:rPr>
        <w:t>Kapila, in the matter of Edelsten</w:t>
      </w:r>
      <w:r w:rsidR="007B63B9" w:rsidRPr="000F65BB">
        <w:rPr>
          <w:sz w:val="18"/>
          <w:szCs w:val="18"/>
          <w:lang w:val="en-AU"/>
        </w:rPr>
        <w:t xml:space="preserve"> [2014] FCA 1112, 39 and </w:t>
      </w:r>
      <w:r w:rsidR="00413A93" w:rsidRPr="000F65BB">
        <w:rPr>
          <w:i/>
          <w:iCs/>
          <w:sz w:val="18"/>
          <w:szCs w:val="18"/>
          <w:lang w:val="en-AU"/>
        </w:rPr>
        <w:t>In the matter of Hydrodec Group Plc</w:t>
      </w:r>
      <w:r w:rsidR="00413A93" w:rsidRPr="000F65BB">
        <w:rPr>
          <w:sz w:val="18"/>
          <w:szCs w:val="18"/>
          <w:lang w:val="en-AU"/>
        </w:rPr>
        <w:t xml:space="preserve"> [2021] NSWSC 755, 139.</w:t>
      </w:r>
    </w:p>
  </w:footnote>
  <w:footnote w:id="38">
    <w:p w14:paraId="21C7CE5B" w14:textId="05550FD5" w:rsidR="007A488E" w:rsidRPr="007A488E" w:rsidRDefault="007A488E">
      <w:pPr>
        <w:pStyle w:val="FootnoteText"/>
        <w:rPr>
          <w:lang w:val="en-AU"/>
        </w:rPr>
      </w:pPr>
      <w:r w:rsidRPr="000F65BB">
        <w:rPr>
          <w:rStyle w:val="FootnoteReference"/>
          <w:sz w:val="18"/>
          <w:szCs w:val="18"/>
        </w:rPr>
        <w:footnoteRef/>
      </w:r>
      <w:r w:rsidRPr="000F65BB">
        <w:rPr>
          <w:sz w:val="18"/>
          <w:szCs w:val="18"/>
        </w:rPr>
        <w:t xml:space="preserve"> </w:t>
      </w:r>
      <w:r w:rsidR="006E15EC" w:rsidRPr="000F65BB">
        <w:rPr>
          <w:sz w:val="18"/>
          <w:szCs w:val="18"/>
          <w:lang w:val="en-AU"/>
        </w:rPr>
        <w:t>Nicki Gunn, Hugh Raisin and Amelia Kelly, “</w:t>
      </w:r>
      <w:r w:rsidR="006E15EC" w:rsidRPr="000F65BB">
        <w:rPr>
          <w:i/>
          <w:iCs/>
          <w:sz w:val="18"/>
          <w:szCs w:val="18"/>
          <w:lang w:val="en-AU"/>
        </w:rPr>
        <w:t>A Saad compromise? Different interpretations of the model law promoting inconsistency in a law meant to remove it</w:t>
      </w:r>
      <w:r w:rsidR="006E15EC" w:rsidRPr="000F65BB">
        <w:rPr>
          <w:sz w:val="18"/>
          <w:szCs w:val="18"/>
          <w:lang w:val="en-AU"/>
        </w:rPr>
        <w:t xml:space="preserve">” </w:t>
      </w:r>
      <w:r w:rsidR="000F65BB" w:rsidRPr="000F65BB">
        <w:rPr>
          <w:sz w:val="18"/>
          <w:szCs w:val="18"/>
          <w:lang w:val="en-AU"/>
        </w:rPr>
        <w:t>&lt;https://www.dlapiper.com/ko/korea/insights/publications/2019/12/global-insight-issue-31/a-saad-compromise/&gt;</w:t>
      </w:r>
      <w:r w:rsidR="00946032">
        <w:rPr>
          <w:sz w:val="18"/>
          <w:szCs w:val="18"/>
          <w:lang w:val="en-AU"/>
        </w:rPr>
        <w:t xml:space="preserve"> (accessed 15/10/2022)</w:t>
      </w:r>
      <w:r w:rsidR="000F65BB" w:rsidRPr="000F65BB">
        <w:rPr>
          <w:sz w:val="18"/>
          <w:szCs w:val="18"/>
          <w:lang w:val="en-AU"/>
        </w:rPr>
        <w:t>.</w:t>
      </w:r>
    </w:p>
  </w:footnote>
  <w:footnote w:id="39">
    <w:p w14:paraId="40C3A713" w14:textId="2A3FFBEA" w:rsidR="00AA6349" w:rsidRPr="00AA6349" w:rsidRDefault="00AA6349">
      <w:pPr>
        <w:pStyle w:val="FootnoteText"/>
        <w:rPr>
          <w:lang w:val="en-AU"/>
        </w:rPr>
      </w:pPr>
      <w:r>
        <w:rPr>
          <w:rStyle w:val="FootnoteReference"/>
        </w:rPr>
        <w:footnoteRef/>
      </w:r>
      <w:r>
        <w:t xml:space="preserve"> </w:t>
      </w:r>
      <w:r w:rsidR="00275F9C" w:rsidRPr="000F65BB">
        <w:rPr>
          <w:sz w:val="18"/>
          <w:szCs w:val="18"/>
        </w:rPr>
        <w:t xml:space="preserve">Guide to Enactment and Interpretation of the UNCITRAL Model Law on Cross-Border Insolvency, Part </w:t>
      </w:r>
      <w:r w:rsidR="00275F9C">
        <w:rPr>
          <w:sz w:val="18"/>
          <w:szCs w:val="18"/>
        </w:rPr>
        <w:t>T</w:t>
      </w:r>
      <w:r w:rsidR="00275F9C" w:rsidRPr="000F65BB">
        <w:rPr>
          <w:sz w:val="18"/>
          <w:szCs w:val="18"/>
        </w:rPr>
        <w:t xml:space="preserve">wo, </w:t>
      </w:r>
      <w:r w:rsidR="00275F9C" w:rsidRPr="000F65BB">
        <w:rPr>
          <w:sz w:val="18"/>
          <w:szCs w:val="18"/>
          <w:lang w:val="en-AU"/>
        </w:rPr>
        <w:t xml:space="preserve">paragraph </w:t>
      </w:r>
      <w:r w:rsidR="00275F9C">
        <w:rPr>
          <w:sz w:val="18"/>
          <w:szCs w:val="18"/>
          <w:lang w:val="en-AU"/>
        </w:rPr>
        <w:t>145</w:t>
      </w:r>
      <w:r w:rsidR="00275F9C" w:rsidRPr="000F65BB">
        <w:rPr>
          <w:sz w:val="18"/>
          <w:szCs w:val="18"/>
          <w:lang w:val="en-AU"/>
        </w:rPr>
        <w:t>.</w:t>
      </w:r>
    </w:p>
  </w:footnote>
  <w:footnote w:id="40">
    <w:p w14:paraId="7478A745" w14:textId="17C20B13" w:rsidR="00873CDD" w:rsidRPr="00AA6349" w:rsidRDefault="00873CDD" w:rsidP="00873CDD">
      <w:pPr>
        <w:pStyle w:val="FootnoteText"/>
        <w:rPr>
          <w:lang w:val="en-AU"/>
        </w:rPr>
      </w:pPr>
      <w:r>
        <w:rPr>
          <w:rStyle w:val="FootnoteReference"/>
        </w:rPr>
        <w:footnoteRef/>
      </w:r>
      <w:r>
        <w:t xml:space="preserve"> </w:t>
      </w:r>
      <w:r w:rsidRPr="000F65BB">
        <w:rPr>
          <w:sz w:val="18"/>
          <w:szCs w:val="18"/>
        </w:rPr>
        <w:t xml:space="preserve">Guide to Enactment and Interpretation of the UNCITRAL Model Law on Cross-Border Insolvency, Part </w:t>
      </w:r>
      <w:r>
        <w:rPr>
          <w:sz w:val="18"/>
          <w:szCs w:val="18"/>
        </w:rPr>
        <w:t>T</w:t>
      </w:r>
      <w:r w:rsidRPr="000F65BB">
        <w:rPr>
          <w:sz w:val="18"/>
          <w:szCs w:val="18"/>
        </w:rPr>
        <w:t xml:space="preserve">wo, </w:t>
      </w:r>
      <w:r w:rsidRPr="000F65BB">
        <w:rPr>
          <w:sz w:val="18"/>
          <w:szCs w:val="18"/>
          <w:lang w:val="en-AU"/>
        </w:rPr>
        <w:t xml:space="preserve">paragraph </w:t>
      </w:r>
      <w:r>
        <w:rPr>
          <w:sz w:val="18"/>
          <w:szCs w:val="18"/>
          <w:lang w:val="en-AU"/>
        </w:rPr>
        <w:t>14</w:t>
      </w:r>
      <w:r w:rsidR="002B3B3A">
        <w:rPr>
          <w:sz w:val="18"/>
          <w:szCs w:val="18"/>
          <w:lang w:val="en-AU"/>
        </w:rPr>
        <w:t>6-147</w:t>
      </w:r>
      <w:r w:rsidRPr="000F65BB">
        <w:rPr>
          <w:sz w:val="18"/>
          <w:szCs w:val="18"/>
          <w:lang w:val="en-AU"/>
        </w:rPr>
        <w:t>.</w:t>
      </w:r>
    </w:p>
  </w:footnote>
  <w:footnote w:id="41">
    <w:p w14:paraId="1F43CC5D" w14:textId="053F27FC" w:rsidR="00FF4443" w:rsidRPr="00AA6349" w:rsidRDefault="00FF4443" w:rsidP="00FF4443">
      <w:pPr>
        <w:pStyle w:val="FootnoteText"/>
        <w:rPr>
          <w:lang w:val="en-AU"/>
        </w:rPr>
      </w:pPr>
      <w:r>
        <w:rPr>
          <w:rStyle w:val="FootnoteReference"/>
        </w:rPr>
        <w:footnoteRef/>
      </w:r>
      <w:r>
        <w:t xml:space="preserve"> </w:t>
      </w:r>
      <w:r w:rsidRPr="000F65BB">
        <w:rPr>
          <w:sz w:val="18"/>
          <w:szCs w:val="18"/>
        </w:rPr>
        <w:t xml:space="preserve">Guide to Enactment and Interpretation of the UNCITRAL Model Law on Cross-Border Insolvency, Part </w:t>
      </w:r>
      <w:r>
        <w:rPr>
          <w:sz w:val="18"/>
          <w:szCs w:val="18"/>
        </w:rPr>
        <w:t>T</w:t>
      </w:r>
      <w:r w:rsidRPr="000F65BB">
        <w:rPr>
          <w:sz w:val="18"/>
          <w:szCs w:val="18"/>
        </w:rPr>
        <w:t xml:space="preserve">wo, </w:t>
      </w:r>
      <w:r w:rsidRPr="000F65BB">
        <w:rPr>
          <w:sz w:val="18"/>
          <w:szCs w:val="18"/>
          <w:lang w:val="en-AU"/>
        </w:rPr>
        <w:t xml:space="preserve">paragraph </w:t>
      </w:r>
      <w:r>
        <w:rPr>
          <w:sz w:val="18"/>
          <w:szCs w:val="18"/>
          <w:lang w:val="en-AU"/>
        </w:rPr>
        <w:t>14</w:t>
      </w:r>
      <w:r w:rsidR="00920D24">
        <w:rPr>
          <w:sz w:val="18"/>
          <w:szCs w:val="18"/>
          <w:lang w:val="en-AU"/>
        </w:rPr>
        <w:t>8</w:t>
      </w:r>
      <w:r>
        <w:rPr>
          <w:sz w:val="18"/>
          <w:szCs w:val="18"/>
          <w:lang w:val="en-AU"/>
        </w:rPr>
        <w:t>-14</w:t>
      </w:r>
      <w:r w:rsidR="00920D24">
        <w:rPr>
          <w:sz w:val="18"/>
          <w:szCs w:val="18"/>
          <w:lang w:val="en-AU"/>
        </w:rPr>
        <w:t>9</w:t>
      </w:r>
      <w:r w:rsidRPr="000F65BB">
        <w:rPr>
          <w:sz w:val="18"/>
          <w:szCs w:val="18"/>
          <w:lang w:val="en-AU"/>
        </w:rPr>
        <w:t>.</w:t>
      </w:r>
    </w:p>
  </w:footnote>
  <w:footnote w:id="42">
    <w:p w14:paraId="1460F8E0" w14:textId="45EB7462" w:rsidR="00F27C8B" w:rsidRPr="00F27C8B" w:rsidRDefault="00F27C8B">
      <w:pPr>
        <w:pStyle w:val="FootnoteText"/>
        <w:rPr>
          <w:lang w:val="en-AU"/>
        </w:rPr>
      </w:pPr>
      <w:r w:rsidRPr="0096467B">
        <w:rPr>
          <w:rStyle w:val="FootnoteReference"/>
          <w:sz w:val="18"/>
          <w:szCs w:val="18"/>
        </w:rPr>
        <w:footnoteRef/>
      </w:r>
      <w:r w:rsidRPr="0096467B">
        <w:rPr>
          <w:sz w:val="18"/>
          <w:szCs w:val="18"/>
        </w:rPr>
        <w:t xml:space="preserve"> </w:t>
      </w:r>
      <w:r w:rsidR="0096467B" w:rsidRPr="00C05A69">
        <w:rPr>
          <w:sz w:val="18"/>
          <w:szCs w:val="18"/>
        </w:rPr>
        <w:t xml:space="preserve">United Nations Commission on International Trade Law (UNCITRAL): </w:t>
      </w:r>
      <w:r w:rsidR="0096467B" w:rsidRPr="00C05A69">
        <w:rPr>
          <w:i/>
          <w:iCs/>
          <w:sz w:val="18"/>
          <w:szCs w:val="18"/>
        </w:rPr>
        <w:t>Model Law on Cross-Border Insolvency</w:t>
      </w:r>
      <w:r w:rsidR="0096467B" w:rsidRPr="00C05A69">
        <w:rPr>
          <w:sz w:val="18"/>
          <w:szCs w:val="18"/>
        </w:rPr>
        <w:t xml:space="preserve"> (1997).</w:t>
      </w:r>
    </w:p>
  </w:footnote>
  <w:footnote w:id="43">
    <w:p w14:paraId="1CC62101" w14:textId="720BE4DC" w:rsidR="002015F6" w:rsidRPr="00AA6349" w:rsidRDefault="002015F6" w:rsidP="002015F6">
      <w:pPr>
        <w:pStyle w:val="FootnoteText"/>
        <w:rPr>
          <w:lang w:val="en-AU"/>
        </w:rPr>
      </w:pPr>
      <w:r>
        <w:rPr>
          <w:rStyle w:val="FootnoteReference"/>
        </w:rPr>
        <w:footnoteRef/>
      </w:r>
      <w:r>
        <w:t xml:space="preserve"> </w:t>
      </w:r>
      <w:r w:rsidRPr="000F65BB">
        <w:rPr>
          <w:sz w:val="18"/>
          <w:szCs w:val="18"/>
        </w:rPr>
        <w:t xml:space="preserve">Guide to Enactment and Interpretation of the UNCITRAL Model Law on Cross-Border Insolvency, Part </w:t>
      </w:r>
      <w:r>
        <w:rPr>
          <w:sz w:val="18"/>
          <w:szCs w:val="18"/>
        </w:rPr>
        <w:t>T</w:t>
      </w:r>
      <w:r w:rsidRPr="000F65BB">
        <w:rPr>
          <w:sz w:val="18"/>
          <w:szCs w:val="18"/>
        </w:rPr>
        <w:t xml:space="preserve">wo, </w:t>
      </w:r>
      <w:r w:rsidRPr="000F65BB">
        <w:rPr>
          <w:sz w:val="18"/>
          <w:szCs w:val="18"/>
          <w:lang w:val="en-AU"/>
        </w:rPr>
        <w:t xml:space="preserve">paragraph </w:t>
      </w:r>
      <w:r>
        <w:rPr>
          <w:sz w:val="18"/>
          <w:szCs w:val="18"/>
          <w:lang w:val="en-AU"/>
        </w:rPr>
        <w:t>8</w:t>
      </w:r>
      <w:r w:rsidR="0019263B">
        <w:rPr>
          <w:sz w:val="18"/>
          <w:szCs w:val="18"/>
          <w:lang w:val="en-AU"/>
        </w:rPr>
        <w:t>9</w:t>
      </w:r>
      <w:r w:rsidRPr="000F65BB">
        <w:rPr>
          <w:sz w:val="18"/>
          <w:szCs w:val="18"/>
          <w:lang w:val="en-AU"/>
        </w:rPr>
        <w:t>.</w:t>
      </w:r>
    </w:p>
  </w:footnote>
  <w:footnote w:id="44">
    <w:p w14:paraId="5125D8B9" w14:textId="2D4E6C6C" w:rsidR="009C3139" w:rsidRPr="00615BAA" w:rsidRDefault="009C3139">
      <w:pPr>
        <w:pStyle w:val="FootnoteText"/>
        <w:rPr>
          <w:lang w:val="en-AU"/>
        </w:rPr>
      </w:pPr>
      <w:r w:rsidRPr="0019263B">
        <w:rPr>
          <w:rStyle w:val="FootnoteReference"/>
          <w:sz w:val="18"/>
          <w:szCs w:val="18"/>
        </w:rPr>
        <w:footnoteRef/>
      </w:r>
      <w:r w:rsidRPr="0019263B">
        <w:rPr>
          <w:sz w:val="18"/>
          <w:szCs w:val="18"/>
        </w:rPr>
        <w:t xml:space="preserve"> </w:t>
      </w:r>
      <w:r w:rsidR="00615BAA" w:rsidRPr="0019263B">
        <w:rPr>
          <w:sz w:val="18"/>
          <w:szCs w:val="18"/>
        </w:rPr>
        <w:t xml:space="preserve">M Virgos and E Schmit, </w:t>
      </w:r>
      <w:r w:rsidR="00615BAA" w:rsidRPr="0019263B">
        <w:rPr>
          <w:i/>
          <w:iCs/>
          <w:sz w:val="18"/>
          <w:szCs w:val="18"/>
        </w:rPr>
        <w:t>Report on the Convention on Insolvency Proceedings</w:t>
      </w:r>
      <w:r w:rsidR="00615BAA" w:rsidRPr="0019263B">
        <w:rPr>
          <w:sz w:val="18"/>
          <w:szCs w:val="18"/>
        </w:rPr>
        <w:t>, Brussels 3 May 1</w:t>
      </w:r>
      <w:r w:rsidR="0019263B" w:rsidRPr="0019263B">
        <w:rPr>
          <w:sz w:val="18"/>
          <w:szCs w:val="18"/>
        </w:rPr>
        <w:t>996.</w:t>
      </w:r>
    </w:p>
  </w:footnote>
  <w:footnote w:id="45">
    <w:p w14:paraId="3CF5C068" w14:textId="77AA1DD6" w:rsidR="00FA2B17" w:rsidRPr="007F7E52" w:rsidRDefault="00FA2B17">
      <w:pPr>
        <w:pStyle w:val="FootnoteText"/>
        <w:rPr>
          <w:sz w:val="18"/>
          <w:szCs w:val="18"/>
          <w:lang w:val="en-AU"/>
        </w:rPr>
      </w:pPr>
      <w:r w:rsidRPr="007F7E52">
        <w:rPr>
          <w:rStyle w:val="FootnoteReference"/>
          <w:sz w:val="18"/>
          <w:szCs w:val="18"/>
        </w:rPr>
        <w:footnoteRef/>
      </w:r>
      <w:r w:rsidRPr="007F7E52">
        <w:rPr>
          <w:sz w:val="18"/>
          <w:szCs w:val="18"/>
        </w:rPr>
        <w:t xml:space="preserve"> </w:t>
      </w:r>
      <w:r w:rsidRPr="007F7E52">
        <w:rPr>
          <w:sz w:val="18"/>
          <w:szCs w:val="18"/>
          <w:lang w:val="en-AU"/>
        </w:rPr>
        <w:t xml:space="preserve">Ibid, </w:t>
      </w:r>
      <w:r w:rsidR="007F7E52" w:rsidRPr="007F7E52">
        <w:rPr>
          <w:sz w:val="18"/>
          <w:szCs w:val="18"/>
          <w:lang w:val="en-AU"/>
        </w:rPr>
        <w:t>para 7.1.</w:t>
      </w:r>
    </w:p>
  </w:footnote>
  <w:footnote w:id="46">
    <w:p w14:paraId="628FB2C1" w14:textId="1439A493" w:rsidR="00C17B6F" w:rsidRPr="00C17B6F" w:rsidRDefault="00C17B6F">
      <w:pPr>
        <w:pStyle w:val="FootnoteText"/>
        <w:rPr>
          <w:lang w:val="en-AU"/>
        </w:rPr>
      </w:pPr>
      <w:r w:rsidRPr="00C17B6F">
        <w:rPr>
          <w:rStyle w:val="FootnoteReference"/>
          <w:sz w:val="18"/>
          <w:szCs w:val="18"/>
        </w:rPr>
        <w:footnoteRef/>
      </w:r>
      <w:r w:rsidRPr="00C17B6F">
        <w:rPr>
          <w:sz w:val="18"/>
          <w:szCs w:val="18"/>
        </w:rPr>
        <w:t xml:space="preserve"> </w:t>
      </w:r>
      <w:r w:rsidRPr="00C05A69">
        <w:rPr>
          <w:sz w:val="18"/>
          <w:szCs w:val="18"/>
        </w:rPr>
        <w:t xml:space="preserve">United Nations Commission on International Trade Law (UNCITRAL): </w:t>
      </w:r>
      <w:r w:rsidRPr="00C05A69">
        <w:rPr>
          <w:i/>
          <w:iCs/>
          <w:sz w:val="18"/>
          <w:szCs w:val="18"/>
        </w:rPr>
        <w:t>Model Law on Cross-Border Insolvency</w:t>
      </w:r>
      <w:r w:rsidRPr="00C05A69">
        <w:rPr>
          <w:sz w:val="18"/>
          <w:szCs w:val="18"/>
        </w:rPr>
        <w:t xml:space="preserve"> (1997).</w:t>
      </w:r>
    </w:p>
  </w:footnote>
  <w:footnote w:id="47">
    <w:p w14:paraId="42962983" w14:textId="1104ED17" w:rsidR="00102EBB" w:rsidRPr="00102EBB" w:rsidRDefault="00102EBB">
      <w:pPr>
        <w:pStyle w:val="FootnoteText"/>
        <w:rPr>
          <w:lang w:val="en-AU"/>
        </w:rPr>
      </w:pPr>
      <w:r w:rsidRPr="00102EBB">
        <w:rPr>
          <w:rStyle w:val="FootnoteReference"/>
          <w:sz w:val="18"/>
          <w:szCs w:val="18"/>
        </w:rPr>
        <w:footnoteRef/>
      </w:r>
      <w:r w:rsidRPr="00102EBB">
        <w:rPr>
          <w:sz w:val="18"/>
          <w:szCs w:val="18"/>
        </w:rPr>
        <w:t xml:space="preserve"> </w:t>
      </w:r>
      <w:r w:rsidRPr="00102EBB">
        <w:rPr>
          <w:sz w:val="18"/>
          <w:szCs w:val="18"/>
          <w:lang w:val="en-AU"/>
        </w:rPr>
        <w:t>Ibid.</w:t>
      </w:r>
    </w:p>
  </w:footnote>
  <w:footnote w:id="48">
    <w:p w14:paraId="6C1BA0D2" w14:textId="137708DE" w:rsidR="00D8700D" w:rsidRPr="00D8700D" w:rsidRDefault="00D8700D">
      <w:pPr>
        <w:pStyle w:val="FootnoteText"/>
        <w:rPr>
          <w:lang w:val="en-AU"/>
        </w:rPr>
      </w:pPr>
      <w:r w:rsidRPr="000643C7">
        <w:rPr>
          <w:rStyle w:val="FootnoteReference"/>
          <w:sz w:val="18"/>
          <w:szCs w:val="18"/>
        </w:rPr>
        <w:footnoteRef/>
      </w:r>
      <w:r w:rsidRPr="000643C7">
        <w:rPr>
          <w:sz w:val="18"/>
          <w:szCs w:val="18"/>
        </w:rPr>
        <w:t xml:space="preserve"> </w:t>
      </w:r>
      <w:r w:rsidRPr="000643C7">
        <w:rPr>
          <w:sz w:val="18"/>
          <w:szCs w:val="18"/>
          <w:lang w:val="en-AU"/>
        </w:rPr>
        <w:t xml:space="preserve">Ibid, </w:t>
      </w:r>
      <w:r w:rsidR="000643C7" w:rsidRPr="000643C7">
        <w:rPr>
          <w:sz w:val="18"/>
          <w:szCs w:val="18"/>
          <w:lang w:val="en-AU"/>
        </w:rPr>
        <w:t>article 20 and article 21.</w:t>
      </w:r>
    </w:p>
  </w:footnote>
  <w:footnote w:id="49">
    <w:p w14:paraId="4EEA355D" w14:textId="792D8453" w:rsidR="002A2329" w:rsidRPr="002A2329" w:rsidRDefault="002A2329">
      <w:pPr>
        <w:pStyle w:val="FootnoteText"/>
        <w:rPr>
          <w:lang w:val="en-AU"/>
        </w:rPr>
      </w:pPr>
      <w:r w:rsidRPr="002A2329">
        <w:rPr>
          <w:rStyle w:val="FootnoteReference"/>
          <w:sz w:val="18"/>
          <w:szCs w:val="18"/>
        </w:rPr>
        <w:footnoteRef/>
      </w:r>
      <w:r w:rsidRPr="002A2329">
        <w:rPr>
          <w:sz w:val="18"/>
          <w:szCs w:val="18"/>
        </w:rPr>
        <w:t xml:space="preserve"> </w:t>
      </w:r>
      <w:r w:rsidRPr="002A2329">
        <w:rPr>
          <w:sz w:val="18"/>
          <w:szCs w:val="18"/>
          <w:lang w:val="en-AU"/>
        </w:rPr>
        <w:t>Ibid, article 24.</w:t>
      </w:r>
    </w:p>
  </w:footnote>
  <w:footnote w:id="50">
    <w:p w14:paraId="71E88036" w14:textId="05065997" w:rsidR="005D7EDE" w:rsidRPr="005D7EDE" w:rsidRDefault="005D7EDE">
      <w:pPr>
        <w:pStyle w:val="FootnoteText"/>
        <w:rPr>
          <w:sz w:val="18"/>
          <w:szCs w:val="18"/>
          <w:lang w:val="en-AU"/>
        </w:rPr>
      </w:pPr>
      <w:r w:rsidRPr="005D7EDE">
        <w:rPr>
          <w:rStyle w:val="FootnoteReference"/>
          <w:sz w:val="18"/>
          <w:szCs w:val="18"/>
        </w:rPr>
        <w:footnoteRef/>
      </w:r>
      <w:r w:rsidRPr="005D7EDE">
        <w:rPr>
          <w:sz w:val="18"/>
          <w:szCs w:val="18"/>
        </w:rPr>
        <w:t xml:space="preserve"> </w:t>
      </w:r>
      <w:r w:rsidRPr="002A2329">
        <w:rPr>
          <w:sz w:val="18"/>
          <w:szCs w:val="18"/>
          <w:lang w:val="en-AU"/>
        </w:rPr>
        <w:t xml:space="preserve">Ibid, article </w:t>
      </w:r>
      <w:r>
        <w:rPr>
          <w:sz w:val="18"/>
          <w:szCs w:val="18"/>
          <w:lang w:val="en-AU"/>
        </w:rPr>
        <w:t>31</w:t>
      </w:r>
      <w:r w:rsidRPr="002A2329">
        <w:rPr>
          <w:sz w:val="18"/>
          <w:szCs w:val="18"/>
          <w:lang w:val="en-AU"/>
        </w:rPr>
        <w:t>.</w:t>
      </w:r>
    </w:p>
  </w:footnote>
  <w:footnote w:id="51">
    <w:p w14:paraId="33204834" w14:textId="63BA36E4" w:rsidR="00F06101" w:rsidRPr="00F06101" w:rsidRDefault="00F06101">
      <w:pPr>
        <w:pStyle w:val="FootnoteText"/>
        <w:rPr>
          <w:lang w:val="en-AU"/>
        </w:rPr>
      </w:pPr>
      <w:r w:rsidRPr="00F06101">
        <w:rPr>
          <w:rStyle w:val="FootnoteReference"/>
          <w:sz w:val="18"/>
          <w:szCs w:val="18"/>
        </w:rPr>
        <w:footnoteRef/>
      </w:r>
      <w:r w:rsidRPr="00F06101">
        <w:rPr>
          <w:sz w:val="18"/>
          <w:szCs w:val="18"/>
        </w:rPr>
        <w:t xml:space="preserve"> </w:t>
      </w:r>
      <w:r w:rsidRPr="00F06101">
        <w:rPr>
          <w:sz w:val="18"/>
          <w:szCs w:val="18"/>
          <w:lang w:val="en-AU"/>
        </w:rPr>
        <w:t>Ibid, article 29.</w:t>
      </w:r>
    </w:p>
  </w:footnote>
  <w:footnote w:id="52">
    <w:p w14:paraId="0166E611" w14:textId="740D102A" w:rsidR="0023589B" w:rsidRPr="0023589B" w:rsidRDefault="0023589B">
      <w:pPr>
        <w:pStyle w:val="FootnoteText"/>
        <w:rPr>
          <w:lang w:val="en-AU"/>
        </w:rPr>
      </w:pPr>
      <w:r w:rsidRPr="0023589B">
        <w:rPr>
          <w:rStyle w:val="FootnoteReference"/>
          <w:sz w:val="18"/>
          <w:szCs w:val="18"/>
        </w:rPr>
        <w:footnoteRef/>
      </w:r>
      <w:r w:rsidRPr="0023589B">
        <w:rPr>
          <w:sz w:val="18"/>
          <w:szCs w:val="18"/>
        </w:rPr>
        <w:t xml:space="preserve"> European Insolvency Regulation Recast (2015), Article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22540E9"/>
    <w:multiLevelType w:val="hybridMultilevel"/>
    <w:tmpl w:val="F51CE91E"/>
    <w:lvl w:ilvl="0" w:tplc="6C928D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4055D"/>
    <w:multiLevelType w:val="hybridMultilevel"/>
    <w:tmpl w:val="B4CC6416"/>
    <w:lvl w:ilvl="0" w:tplc="5D0E7A7E">
      <w:start w:val="1"/>
      <w:numFmt w:val="decimal"/>
      <w:lvlText w:val="%1."/>
      <w:lvlJc w:val="left"/>
      <w:pPr>
        <w:ind w:left="360" w:hanging="360"/>
      </w:pPr>
      <w:rPr>
        <w:rFonts w:hint="default"/>
        <w:color w:val="7B7B7B" w:themeColor="accent3"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9630E"/>
    <w:multiLevelType w:val="hybridMultilevel"/>
    <w:tmpl w:val="52BA1AC6"/>
    <w:lvl w:ilvl="0" w:tplc="EC9002B0">
      <w:numFmt w:val="bullet"/>
      <w:lvlText w:val=""/>
      <w:lvlJc w:val="left"/>
      <w:pPr>
        <w:ind w:left="360" w:hanging="360"/>
      </w:pPr>
      <w:rPr>
        <w:rFonts w:ascii="Symbol" w:eastAsia="Times New Roman" w:hAnsi="Symbol" w:cs="Arial" w:hint="default"/>
        <w:color w:val="7B7B7B"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459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2"/>
  </w:num>
  <w:num w:numId="3">
    <w:abstractNumId w:val="6"/>
  </w:num>
  <w:num w:numId="4">
    <w:abstractNumId w:val="3"/>
  </w:num>
  <w:num w:numId="5">
    <w:abstractNumId w:val="10"/>
  </w:num>
  <w:num w:numId="6">
    <w:abstractNumId w:val="16"/>
  </w:num>
  <w:num w:numId="7">
    <w:abstractNumId w:val="24"/>
  </w:num>
  <w:num w:numId="8">
    <w:abstractNumId w:val="15"/>
  </w:num>
  <w:num w:numId="9">
    <w:abstractNumId w:val="5"/>
  </w:num>
  <w:num w:numId="10">
    <w:abstractNumId w:val="9"/>
  </w:num>
  <w:num w:numId="11">
    <w:abstractNumId w:val="7"/>
  </w:num>
  <w:num w:numId="12">
    <w:abstractNumId w:val="4"/>
  </w:num>
  <w:num w:numId="13">
    <w:abstractNumId w:val="13"/>
  </w:num>
  <w:num w:numId="14">
    <w:abstractNumId w:val="0"/>
  </w:num>
  <w:num w:numId="15">
    <w:abstractNumId w:val="2"/>
  </w:num>
  <w:num w:numId="16">
    <w:abstractNumId w:val="14"/>
  </w:num>
  <w:num w:numId="17">
    <w:abstractNumId w:val="12"/>
  </w:num>
  <w:num w:numId="18">
    <w:abstractNumId w:val="21"/>
  </w:num>
  <w:num w:numId="19">
    <w:abstractNumId w:val="17"/>
  </w:num>
  <w:num w:numId="20">
    <w:abstractNumId w:val="25"/>
  </w:num>
  <w:num w:numId="21">
    <w:abstractNumId w:val="18"/>
  </w:num>
  <w:num w:numId="22">
    <w:abstractNumId w:val="11"/>
  </w:num>
  <w:num w:numId="23">
    <w:abstractNumId w:val="20"/>
  </w:num>
  <w:num w:numId="24">
    <w:abstractNumId w:val="8"/>
  </w:num>
  <w:num w:numId="25">
    <w:abstractNumId w:val="23"/>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DD5"/>
    <w:rsid w:val="000158A2"/>
    <w:rsid w:val="000250C7"/>
    <w:rsid w:val="000255D9"/>
    <w:rsid w:val="00030D1E"/>
    <w:rsid w:val="000313D3"/>
    <w:rsid w:val="00033E74"/>
    <w:rsid w:val="000371AF"/>
    <w:rsid w:val="00037621"/>
    <w:rsid w:val="000444DC"/>
    <w:rsid w:val="00044D46"/>
    <w:rsid w:val="00045088"/>
    <w:rsid w:val="00045904"/>
    <w:rsid w:val="00046846"/>
    <w:rsid w:val="00051C2D"/>
    <w:rsid w:val="000527AF"/>
    <w:rsid w:val="00054E93"/>
    <w:rsid w:val="0005564E"/>
    <w:rsid w:val="00055893"/>
    <w:rsid w:val="000621DB"/>
    <w:rsid w:val="000643C7"/>
    <w:rsid w:val="00064C77"/>
    <w:rsid w:val="00064E5B"/>
    <w:rsid w:val="00065166"/>
    <w:rsid w:val="00065CDA"/>
    <w:rsid w:val="00073282"/>
    <w:rsid w:val="0008073F"/>
    <w:rsid w:val="00082609"/>
    <w:rsid w:val="0008356B"/>
    <w:rsid w:val="00084397"/>
    <w:rsid w:val="00084A4E"/>
    <w:rsid w:val="000851CC"/>
    <w:rsid w:val="000852A8"/>
    <w:rsid w:val="000860CB"/>
    <w:rsid w:val="00087CAB"/>
    <w:rsid w:val="00090B6B"/>
    <w:rsid w:val="000911E9"/>
    <w:rsid w:val="0009167D"/>
    <w:rsid w:val="00093BE8"/>
    <w:rsid w:val="000A3792"/>
    <w:rsid w:val="000A68ED"/>
    <w:rsid w:val="000B0B98"/>
    <w:rsid w:val="000B3E9B"/>
    <w:rsid w:val="000B5FF1"/>
    <w:rsid w:val="000B609F"/>
    <w:rsid w:val="000B7EA8"/>
    <w:rsid w:val="000C24D1"/>
    <w:rsid w:val="000C67A2"/>
    <w:rsid w:val="000D03C4"/>
    <w:rsid w:val="000D23B6"/>
    <w:rsid w:val="000D2700"/>
    <w:rsid w:val="000D55A8"/>
    <w:rsid w:val="000E329C"/>
    <w:rsid w:val="000E4841"/>
    <w:rsid w:val="000E5D80"/>
    <w:rsid w:val="000F1677"/>
    <w:rsid w:val="000F3D6C"/>
    <w:rsid w:val="000F6597"/>
    <w:rsid w:val="000F65BB"/>
    <w:rsid w:val="000F6620"/>
    <w:rsid w:val="00101707"/>
    <w:rsid w:val="00102395"/>
    <w:rsid w:val="00102EBB"/>
    <w:rsid w:val="00110DA3"/>
    <w:rsid w:val="0011473D"/>
    <w:rsid w:val="00115C85"/>
    <w:rsid w:val="00116C3A"/>
    <w:rsid w:val="00120409"/>
    <w:rsid w:val="00120637"/>
    <w:rsid w:val="00121029"/>
    <w:rsid w:val="001232BA"/>
    <w:rsid w:val="00123661"/>
    <w:rsid w:val="00123855"/>
    <w:rsid w:val="00126A4D"/>
    <w:rsid w:val="00127552"/>
    <w:rsid w:val="0013685D"/>
    <w:rsid w:val="0013760C"/>
    <w:rsid w:val="0014563E"/>
    <w:rsid w:val="0014622C"/>
    <w:rsid w:val="00152348"/>
    <w:rsid w:val="00153CB8"/>
    <w:rsid w:val="0015456D"/>
    <w:rsid w:val="001600DD"/>
    <w:rsid w:val="001608D0"/>
    <w:rsid w:val="00161256"/>
    <w:rsid w:val="00161F1B"/>
    <w:rsid w:val="00162829"/>
    <w:rsid w:val="00164AB5"/>
    <w:rsid w:val="00171C96"/>
    <w:rsid w:val="00172B11"/>
    <w:rsid w:val="00180548"/>
    <w:rsid w:val="00180CCE"/>
    <w:rsid w:val="0018267A"/>
    <w:rsid w:val="00182779"/>
    <w:rsid w:val="001830DF"/>
    <w:rsid w:val="00187AC3"/>
    <w:rsid w:val="0019263B"/>
    <w:rsid w:val="00192CD3"/>
    <w:rsid w:val="00193B66"/>
    <w:rsid w:val="001966D9"/>
    <w:rsid w:val="001A7B60"/>
    <w:rsid w:val="001A7E9A"/>
    <w:rsid w:val="001B06DA"/>
    <w:rsid w:val="001B4CD9"/>
    <w:rsid w:val="001B5016"/>
    <w:rsid w:val="001B6215"/>
    <w:rsid w:val="001C03D9"/>
    <w:rsid w:val="001C22C1"/>
    <w:rsid w:val="001C357B"/>
    <w:rsid w:val="001C3D1B"/>
    <w:rsid w:val="001C45FC"/>
    <w:rsid w:val="001D4862"/>
    <w:rsid w:val="001E118D"/>
    <w:rsid w:val="001E25B9"/>
    <w:rsid w:val="001E4050"/>
    <w:rsid w:val="001E49E0"/>
    <w:rsid w:val="001E4E30"/>
    <w:rsid w:val="001E6B07"/>
    <w:rsid w:val="001E7B5A"/>
    <w:rsid w:val="001F6181"/>
    <w:rsid w:val="001F68F1"/>
    <w:rsid w:val="001F7412"/>
    <w:rsid w:val="002015F6"/>
    <w:rsid w:val="00203E7E"/>
    <w:rsid w:val="00206C35"/>
    <w:rsid w:val="0020725B"/>
    <w:rsid w:val="0020759F"/>
    <w:rsid w:val="00211E2D"/>
    <w:rsid w:val="00213508"/>
    <w:rsid w:val="00215D92"/>
    <w:rsid w:val="00216783"/>
    <w:rsid w:val="00217410"/>
    <w:rsid w:val="002177EA"/>
    <w:rsid w:val="00231ADD"/>
    <w:rsid w:val="002337DD"/>
    <w:rsid w:val="0023589B"/>
    <w:rsid w:val="00241B44"/>
    <w:rsid w:val="00245EFB"/>
    <w:rsid w:val="002464B2"/>
    <w:rsid w:val="002507F9"/>
    <w:rsid w:val="0025330D"/>
    <w:rsid w:val="0026073C"/>
    <w:rsid w:val="0026493D"/>
    <w:rsid w:val="0026515D"/>
    <w:rsid w:val="002668D3"/>
    <w:rsid w:val="00272883"/>
    <w:rsid w:val="0027299F"/>
    <w:rsid w:val="00275F9C"/>
    <w:rsid w:val="00276BA3"/>
    <w:rsid w:val="002835BB"/>
    <w:rsid w:val="00284EBE"/>
    <w:rsid w:val="00285976"/>
    <w:rsid w:val="00286801"/>
    <w:rsid w:val="00286AE6"/>
    <w:rsid w:val="00286ED3"/>
    <w:rsid w:val="00287E3F"/>
    <w:rsid w:val="002903A8"/>
    <w:rsid w:val="00291DF7"/>
    <w:rsid w:val="002938DB"/>
    <w:rsid w:val="0029433F"/>
    <w:rsid w:val="00294829"/>
    <w:rsid w:val="002949E1"/>
    <w:rsid w:val="0029690F"/>
    <w:rsid w:val="002A2329"/>
    <w:rsid w:val="002A2A60"/>
    <w:rsid w:val="002A31BB"/>
    <w:rsid w:val="002A579E"/>
    <w:rsid w:val="002A59D2"/>
    <w:rsid w:val="002B1045"/>
    <w:rsid w:val="002B1C45"/>
    <w:rsid w:val="002B3B3A"/>
    <w:rsid w:val="002C13C8"/>
    <w:rsid w:val="002C1671"/>
    <w:rsid w:val="002C2BE5"/>
    <w:rsid w:val="002C3547"/>
    <w:rsid w:val="002C4277"/>
    <w:rsid w:val="002C4557"/>
    <w:rsid w:val="002C686D"/>
    <w:rsid w:val="002C7A36"/>
    <w:rsid w:val="002D0021"/>
    <w:rsid w:val="002D0B1F"/>
    <w:rsid w:val="002D31CD"/>
    <w:rsid w:val="002D3473"/>
    <w:rsid w:val="002E0EF3"/>
    <w:rsid w:val="002E4782"/>
    <w:rsid w:val="002F1956"/>
    <w:rsid w:val="002F29D3"/>
    <w:rsid w:val="002F3440"/>
    <w:rsid w:val="002F75A3"/>
    <w:rsid w:val="002F7CB4"/>
    <w:rsid w:val="00303C2F"/>
    <w:rsid w:val="003072CC"/>
    <w:rsid w:val="003144EF"/>
    <w:rsid w:val="00320CEF"/>
    <w:rsid w:val="0032387D"/>
    <w:rsid w:val="0032411B"/>
    <w:rsid w:val="00330937"/>
    <w:rsid w:val="00330F31"/>
    <w:rsid w:val="00334648"/>
    <w:rsid w:val="00335674"/>
    <w:rsid w:val="0033768C"/>
    <w:rsid w:val="00337938"/>
    <w:rsid w:val="00340769"/>
    <w:rsid w:val="003409BA"/>
    <w:rsid w:val="00341AA6"/>
    <w:rsid w:val="00347B62"/>
    <w:rsid w:val="00350C84"/>
    <w:rsid w:val="0035342B"/>
    <w:rsid w:val="003566B4"/>
    <w:rsid w:val="003566CE"/>
    <w:rsid w:val="00360E06"/>
    <w:rsid w:val="00361A0A"/>
    <w:rsid w:val="00362AF4"/>
    <w:rsid w:val="00362CBE"/>
    <w:rsid w:val="0036565C"/>
    <w:rsid w:val="0036625E"/>
    <w:rsid w:val="003706B8"/>
    <w:rsid w:val="003707AE"/>
    <w:rsid w:val="00373E14"/>
    <w:rsid w:val="0037465A"/>
    <w:rsid w:val="00374696"/>
    <w:rsid w:val="003746B2"/>
    <w:rsid w:val="00374B26"/>
    <w:rsid w:val="00380BF4"/>
    <w:rsid w:val="00382C98"/>
    <w:rsid w:val="003835DF"/>
    <w:rsid w:val="0038533C"/>
    <w:rsid w:val="00392316"/>
    <w:rsid w:val="003948D5"/>
    <w:rsid w:val="00394E0A"/>
    <w:rsid w:val="003964F8"/>
    <w:rsid w:val="00396821"/>
    <w:rsid w:val="00397D3A"/>
    <w:rsid w:val="003A051E"/>
    <w:rsid w:val="003A2F8D"/>
    <w:rsid w:val="003B170F"/>
    <w:rsid w:val="003B490F"/>
    <w:rsid w:val="003B62ED"/>
    <w:rsid w:val="003C046D"/>
    <w:rsid w:val="003C2FA3"/>
    <w:rsid w:val="003C4471"/>
    <w:rsid w:val="003C44E9"/>
    <w:rsid w:val="003C578B"/>
    <w:rsid w:val="003C600E"/>
    <w:rsid w:val="003C64AB"/>
    <w:rsid w:val="003C7D73"/>
    <w:rsid w:val="003D0A6D"/>
    <w:rsid w:val="003D2DA8"/>
    <w:rsid w:val="003D5081"/>
    <w:rsid w:val="003D6902"/>
    <w:rsid w:val="003E0B16"/>
    <w:rsid w:val="003E654D"/>
    <w:rsid w:val="003E67D1"/>
    <w:rsid w:val="003E7EE6"/>
    <w:rsid w:val="003F0C47"/>
    <w:rsid w:val="003F2389"/>
    <w:rsid w:val="003F33FD"/>
    <w:rsid w:val="003F5758"/>
    <w:rsid w:val="003F5D9B"/>
    <w:rsid w:val="003F67D3"/>
    <w:rsid w:val="003F7333"/>
    <w:rsid w:val="00402AFB"/>
    <w:rsid w:val="004043A4"/>
    <w:rsid w:val="00405DC1"/>
    <w:rsid w:val="00411B48"/>
    <w:rsid w:val="00413873"/>
    <w:rsid w:val="00413A93"/>
    <w:rsid w:val="00414A18"/>
    <w:rsid w:val="00415660"/>
    <w:rsid w:val="00415F1F"/>
    <w:rsid w:val="0042108F"/>
    <w:rsid w:val="004239B8"/>
    <w:rsid w:val="004277CC"/>
    <w:rsid w:val="00430CF4"/>
    <w:rsid w:val="00430FED"/>
    <w:rsid w:val="004320F0"/>
    <w:rsid w:val="0043427C"/>
    <w:rsid w:val="00434A8C"/>
    <w:rsid w:val="00444284"/>
    <w:rsid w:val="00445731"/>
    <w:rsid w:val="00445CE6"/>
    <w:rsid w:val="0045300E"/>
    <w:rsid w:val="004534C2"/>
    <w:rsid w:val="00455BA8"/>
    <w:rsid w:val="00456360"/>
    <w:rsid w:val="0045683E"/>
    <w:rsid w:val="004634C7"/>
    <w:rsid w:val="0047236B"/>
    <w:rsid w:val="00472C00"/>
    <w:rsid w:val="0047537F"/>
    <w:rsid w:val="004777B0"/>
    <w:rsid w:val="00480136"/>
    <w:rsid w:val="00491675"/>
    <w:rsid w:val="00493855"/>
    <w:rsid w:val="004954C4"/>
    <w:rsid w:val="00495848"/>
    <w:rsid w:val="00496799"/>
    <w:rsid w:val="004A16A3"/>
    <w:rsid w:val="004A4588"/>
    <w:rsid w:val="004A57DD"/>
    <w:rsid w:val="004A5AC3"/>
    <w:rsid w:val="004A5D4E"/>
    <w:rsid w:val="004A7B51"/>
    <w:rsid w:val="004A7D71"/>
    <w:rsid w:val="004A7EF3"/>
    <w:rsid w:val="004B11FD"/>
    <w:rsid w:val="004B23A2"/>
    <w:rsid w:val="004B28D4"/>
    <w:rsid w:val="004C1306"/>
    <w:rsid w:val="004C6D68"/>
    <w:rsid w:val="004D1A5A"/>
    <w:rsid w:val="004D218F"/>
    <w:rsid w:val="004D3721"/>
    <w:rsid w:val="004D550E"/>
    <w:rsid w:val="004D64F9"/>
    <w:rsid w:val="004E14A8"/>
    <w:rsid w:val="004E3393"/>
    <w:rsid w:val="004E79A8"/>
    <w:rsid w:val="004F47D3"/>
    <w:rsid w:val="004F5FDF"/>
    <w:rsid w:val="004F63F5"/>
    <w:rsid w:val="0050582A"/>
    <w:rsid w:val="00511C31"/>
    <w:rsid w:val="0051665E"/>
    <w:rsid w:val="00516E79"/>
    <w:rsid w:val="005177FE"/>
    <w:rsid w:val="00521C5B"/>
    <w:rsid w:val="0052263B"/>
    <w:rsid w:val="00524728"/>
    <w:rsid w:val="005257B4"/>
    <w:rsid w:val="00527662"/>
    <w:rsid w:val="00531332"/>
    <w:rsid w:val="00532AB4"/>
    <w:rsid w:val="005331CA"/>
    <w:rsid w:val="0053472A"/>
    <w:rsid w:val="0053586C"/>
    <w:rsid w:val="00537970"/>
    <w:rsid w:val="00540E49"/>
    <w:rsid w:val="005440BC"/>
    <w:rsid w:val="00544127"/>
    <w:rsid w:val="00550841"/>
    <w:rsid w:val="00553EB2"/>
    <w:rsid w:val="00560534"/>
    <w:rsid w:val="00561EA3"/>
    <w:rsid w:val="0056391B"/>
    <w:rsid w:val="005650E2"/>
    <w:rsid w:val="0056590C"/>
    <w:rsid w:val="00567075"/>
    <w:rsid w:val="00574DAE"/>
    <w:rsid w:val="00575B2D"/>
    <w:rsid w:val="0057640A"/>
    <w:rsid w:val="005833D0"/>
    <w:rsid w:val="005846F3"/>
    <w:rsid w:val="0058622F"/>
    <w:rsid w:val="00587A3D"/>
    <w:rsid w:val="0059194D"/>
    <w:rsid w:val="00591D52"/>
    <w:rsid w:val="005929A1"/>
    <w:rsid w:val="00592F82"/>
    <w:rsid w:val="005A0CCA"/>
    <w:rsid w:val="005A303A"/>
    <w:rsid w:val="005A726D"/>
    <w:rsid w:val="005B1AFC"/>
    <w:rsid w:val="005B1E1E"/>
    <w:rsid w:val="005B67AC"/>
    <w:rsid w:val="005C184A"/>
    <w:rsid w:val="005C2399"/>
    <w:rsid w:val="005C3E88"/>
    <w:rsid w:val="005D20AD"/>
    <w:rsid w:val="005D43C2"/>
    <w:rsid w:val="005D43E0"/>
    <w:rsid w:val="005D58A3"/>
    <w:rsid w:val="005D7EDE"/>
    <w:rsid w:val="005E11B1"/>
    <w:rsid w:val="005E1B79"/>
    <w:rsid w:val="005E4893"/>
    <w:rsid w:val="005E759D"/>
    <w:rsid w:val="005F026D"/>
    <w:rsid w:val="005F2D0B"/>
    <w:rsid w:val="005F3B73"/>
    <w:rsid w:val="005F4B31"/>
    <w:rsid w:val="005F550B"/>
    <w:rsid w:val="005F5638"/>
    <w:rsid w:val="005F6250"/>
    <w:rsid w:val="00610388"/>
    <w:rsid w:val="00610B48"/>
    <w:rsid w:val="00612939"/>
    <w:rsid w:val="00612CA5"/>
    <w:rsid w:val="00613205"/>
    <w:rsid w:val="006153EC"/>
    <w:rsid w:val="00615BAA"/>
    <w:rsid w:val="00621A17"/>
    <w:rsid w:val="00622702"/>
    <w:rsid w:val="00627CC9"/>
    <w:rsid w:val="00627E7B"/>
    <w:rsid w:val="006301CD"/>
    <w:rsid w:val="00630542"/>
    <w:rsid w:val="00632E44"/>
    <w:rsid w:val="00634622"/>
    <w:rsid w:val="00636110"/>
    <w:rsid w:val="00636808"/>
    <w:rsid w:val="00641228"/>
    <w:rsid w:val="00641515"/>
    <w:rsid w:val="00650196"/>
    <w:rsid w:val="00651C29"/>
    <w:rsid w:val="00652CB8"/>
    <w:rsid w:val="00654C2F"/>
    <w:rsid w:val="006567FF"/>
    <w:rsid w:val="00657087"/>
    <w:rsid w:val="00666E4C"/>
    <w:rsid w:val="0067311E"/>
    <w:rsid w:val="006746A5"/>
    <w:rsid w:val="00675C9B"/>
    <w:rsid w:val="0067667E"/>
    <w:rsid w:val="00677AEB"/>
    <w:rsid w:val="00677F34"/>
    <w:rsid w:val="0068118B"/>
    <w:rsid w:val="00687A1D"/>
    <w:rsid w:val="0069150E"/>
    <w:rsid w:val="006921F0"/>
    <w:rsid w:val="0069245E"/>
    <w:rsid w:val="0069337F"/>
    <w:rsid w:val="00693CD4"/>
    <w:rsid w:val="00694A8C"/>
    <w:rsid w:val="00697EA1"/>
    <w:rsid w:val="006A090A"/>
    <w:rsid w:val="006A16C5"/>
    <w:rsid w:val="006A18CE"/>
    <w:rsid w:val="006A2646"/>
    <w:rsid w:val="006A2C0C"/>
    <w:rsid w:val="006A31BF"/>
    <w:rsid w:val="006A6530"/>
    <w:rsid w:val="006A7ECD"/>
    <w:rsid w:val="006B1CA2"/>
    <w:rsid w:val="006B1EB8"/>
    <w:rsid w:val="006B435A"/>
    <w:rsid w:val="006B4C64"/>
    <w:rsid w:val="006C52A2"/>
    <w:rsid w:val="006C54B7"/>
    <w:rsid w:val="006D01C2"/>
    <w:rsid w:val="006D03DC"/>
    <w:rsid w:val="006D1671"/>
    <w:rsid w:val="006D6129"/>
    <w:rsid w:val="006D7BA1"/>
    <w:rsid w:val="006E1306"/>
    <w:rsid w:val="006E15EC"/>
    <w:rsid w:val="006E481A"/>
    <w:rsid w:val="006E5298"/>
    <w:rsid w:val="006F734A"/>
    <w:rsid w:val="00700D83"/>
    <w:rsid w:val="00706B83"/>
    <w:rsid w:val="007074E9"/>
    <w:rsid w:val="00712ED6"/>
    <w:rsid w:val="00713DA4"/>
    <w:rsid w:val="00714BF1"/>
    <w:rsid w:val="007177F4"/>
    <w:rsid w:val="00717C06"/>
    <w:rsid w:val="0072071C"/>
    <w:rsid w:val="00721383"/>
    <w:rsid w:val="0072240D"/>
    <w:rsid w:val="00727682"/>
    <w:rsid w:val="00727D57"/>
    <w:rsid w:val="007333CC"/>
    <w:rsid w:val="0073399A"/>
    <w:rsid w:val="00733F31"/>
    <w:rsid w:val="0073459E"/>
    <w:rsid w:val="00741A7B"/>
    <w:rsid w:val="00743626"/>
    <w:rsid w:val="00744CCB"/>
    <w:rsid w:val="007451CF"/>
    <w:rsid w:val="00745F75"/>
    <w:rsid w:val="00747E0F"/>
    <w:rsid w:val="0075361D"/>
    <w:rsid w:val="00753B3D"/>
    <w:rsid w:val="007553AD"/>
    <w:rsid w:val="00757558"/>
    <w:rsid w:val="007603F5"/>
    <w:rsid w:val="007643E8"/>
    <w:rsid w:val="00764DB0"/>
    <w:rsid w:val="0076764D"/>
    <w:rsid w:val="0077134C"/>
    <w:rsid w:val="0077498C"/>
    <w:rsid w:val="00782649"/>
    <w:rsid w:val="00783A6C"/>
    <w:rsid w:val="00784128"/>
    <w:rsid w:val="00793173"/>
    <w:rsid w:val="0079548A"/>
    <w:rsid w:val="00795624"/>
    <w:rsid w:val="00796AF5"/>
    <w:rsid w:val="007A151A"/>
    <w:rsid w:val="007A2344"/>
    <w:rsid w:val="007A488E"/>
    <w:rsid w:val="007B1384"/>
    <w:rsid w:val="007B164A"/>
    <w:rsid w:val="007B314C"/>
    <w:rsid w:val="007B63B9"/>
    <w:rsid w:val="007C1459"/>
    <w:rsid w:val="007C1FCC"/>
    <w:rsid w:val="007C60E2"/>
    <w:rsid w:val="007C6201"/>
    <w:rsid w:val="007D1825"/>
    <w:rsid w:val="007D252A"/>
    <w:rsid w:val="007D2A7B"/>
    <w:rsid w:val="007D3D48"/>
    <w:rsid w:val="007D56C9"/>
    <w:rsid w:val="007D6609"/>
    <w:rsid w:val="007D7C92"/>
    <w:rsid w:val="007E1154"/>
    <w:rsid w:val="007E6563"/>
    <w:rsid w:val="007F07E3"/>
    <w:rsid w:val="007F0893"/>
    <w:rsid w:val="007F41F8"/>
    <w:rsid w:val="007F45F1"/>
    <w:rsid w:val="007F5085"/>
    <w:rsid w:val="007F7E52"/>
    <w:rsid w:val="008031A7"/>
    <w:rsid w:val="0080454E"/>
    <w:rsid w:val="00804BCA"/>
    <w:rsid w:val="00804C32"/>
    <w:rsid w:val="00805408"/>
    <w:rsid w:val="00806302"/>
    <w:rsid w:val="00807119"/>
    <w:rsid w:val="0080724A"/>
    <w:rsid w:val="00823B54"/>
    <w:rsid w:val="00823F35"/>
    <w:rsid w:val="0082483F"/>
    <w:rsid w:val="0082518A"/>
    <w:rsid w:val="0082690D"/>
    <w:rsid w:val="008279C0"/>
    <w:rsid w:val="00827D56"/>
    <w:rsid w:val="00830A3A"/>
    <w:rsid w:val="00834ED1"/>
    <w:rsid w:val="00836639"/>
    <w:rsid w:val="008377EA"/>
    <w:rsid w:val="00844309"/>
    <w:rsid w:val="0084568B"/>
    <w:rsid w:val="00851A4B"/>
    <w:rsid w:val="008527F4"/>
    <w:rsid w:val="00852D34"/>
    <w:rsid w:val="008533D0"/>
    <w:rsid w:val="00854958"/>
    <w:rsid w:val="00857393"/>
    <w:rsid w:val="008621DA"/>
    <w:rsid w:val="008646D7"/>
    <w:rsid w:val="0086538D"/>
    <w:rsid w:val="00865DCF"/>
    <w:rsid w:val="008723F3"/>
    <w:rsid w:val="00873CDD"/>
    <w:rsid w:val="00875FCA"/>
    <w:rsid w:val="00881DE6"/>
    <w:rsid w:val="0088307F"/>
    <w:rsid w:val="008837A6"/>
    <w:rsid w:val="00886DFA"/>
    <w:rsid w:val="00886EEF"/>
    <w:rsid w:val="00887D36"/>
    <w:rsid w:val="0089145D"/>
    <w:rsid w:val="00897627"/>
    <w:rsid w:val="008A0BC2"/>
    <w:rsid w:val="008A3DB2"/>
    <w:rsid w:val="008A59AC"/>
    <w:rsid w:val="008A5F4B"/>
    <w:rsid w:val="008A6CFE"/>
    <w:rsid w:val="008B0E74"/>
    <w:rsid w:val="008B2B86"/>
    <w:rsid w:val="008B5333"/>
    <w:rsid w:val="008B6223"/>
    <w:rsid w:val="008B66C5"/>
    <w:rsid w:val="008C4FD5"/>
    <w:rsid w:val="008C66E0"/>
    <w:rsid w:val="008D1DCB"/>
    <w:rsid w:val="008D6241"/>
    <w:rsid w:val="008D691E"/>
    <w:rsid w:val="008E2790"/>
    <w:rsid w:val="008E3339"/>
    <w:rsid w:val="008E649B"/>
    <w:rsid w:val="008F0C4D"/>
    <w:rsid w:val="008F20FC"/>
    <w:rsid w:val="008F28E5"/>
    <w:rsid w:val="008F6301"/>
    <w:rsid w:val="00903B2D"/>
    <w:rsid w:val="00903BCB"/>
    <w:rsid w:val="0090445E"/>
    <w:rsid w:val="00905A43"/>
    <w:rsid w:val="00912C79"/>
    <w:rsid w:val="00913EA5"/>
    <w:rsid w:val="00920D24"/>
    <w:rsid w:val="00927594"/>
    <w:rsid w:val="0093435C"/>
    <w:rsid w:val="009351B9"/>
    <w:rsid w:val="00935F99"/>
    <w:rsid w:val="009365CB"/>
    <w:rsid w:val="009417E7"/>
    <w:rsid w:val="00942123"/>
    <w:rsid w:val="00946032"/>
    <w:rsid w:val="0095207B"/>
    <w:rsid w:val="009530BC"/>
    <w:rsid w:val="0095536E"/>
    <w:rsid w:val="00955AF1"/>
    <w:rsid w:val="00962045"/>
    <w:rsid w:val="0096326E"/>
    <w:rsid w:val="009634EB"/>
    <w:rsid w:val="009634F4"/>
    <w:rsid w:val="0096467B"/>
    <w:rsid w:val="00980CAE"/>
    <w:rsid w:val="00984CEA"/>
    <w:rsid w:val="00986D65"/>
    <w:rsid w:val="00991428"/>
    <w:rsid w:val="00992676"/>
    <w:rsid w:val="00992690"/>
    <w:rsid w:val="009979D2"/>
    <w:rsid w:val="009A1DF7"/>
    <w:rsid w:val="009A49F6"/>
    <w:rsid w:val="009B0723"/>
    <w:rsid w:val="009B07AD"/>
    <w:rsid w:val="009B0883"/>
    <w:rsid w:val="009B0FB6"/>
    <w:rsid w:val="009B15E2"/>
    <w:rsid w:val="009B2992"/>
    <w:rsid w:val="009C0B8E"/>
    <w:rsid w:val="009C1BC8"/>
    <w:rsid w:val="009C1E12"/>
    <w:rsid w:val="009C2442"/>
    <w:rsid w:val="009C3139"/>
    <w:rsid w:val="009C45A1"/>
    <w:rsid w:val="009D0811"/>
    <w:rsid w:val="009D0EE1"/>
    <w:rsid w:val="009E1027"/>
    <w:rsid w:val="009E2AEB"/>
    <w:rsid w:val="009E2E27"/>
    <w:rsid w:val="009E39D6"/>
    <w:rsid w:val="009E4DE3"/>
    <w:rsid w:val="009E773E"/>
    <w:rsid w:val="009F0328"/>
    <w:rsid w:val="009F6BA9"/>
    <w:rsid w:val="00A005FC"/>
    <w:rsid w:val="00A047EE"/>
    <w:rsid w:val="00A10575"/>
    <w:rsid w:val="00A11760"/>
    <w:rsid w:val="00A1467C"/>
    <w:rsid w:val="00A14EB7"/>
    <w:rsid w:val="00A160BD"/>
    <w:rsid w:val="00A17395"/>
    <w:rsid w:val="00A2274A"/>
    <w:rsid w:val="00A235B7"/>
    <w:rsid w:val="00A245DB"/>
    <w:rsid w:val="00A25A96"/>
    <w:rsid w:val="00A35747"/>
    <w:rsid w:val="00A362FB"/>
    <w:rsid w:val="00A407EF"/>
    <w:rsid w:val="00A445CC"/>
    <w:rsid w:val="00A458BE"/>
    <w:rsid w:val="00A4634C"/>
    <w:rsid w:val="00A46B4C"/>
    <w:rsid w:val="00A46CCB"/>
    <w:rsid w:val="00A506C1"/>
    <w:rsid w:val="00A5117B"/>
    <w:rsid w:val="00A54431"/>
    <w:rsid w:val="00A54909"/>
    <w:rsid w:val="00A57743"/>
    <w:rsid w:val="00A60074"/>
    <w:rsid w:val="00A6627C"/>
    <w:rsid w:val="00A7073A"/>
    <w:rsid w:val="00A71019"/>
    <w:rsid w:val="00A7639B"/>
    <w:rsid w:val="00A80C90"/>
    <w:rsid w:val="00A80FD1"/>
    <w:rsid w:val="00A81029"/>
    <w:rsid w:val="00A83A2F"/>
    <w:rsid w:val="00A876BC"/>
    <w:rsid w:val="00A93897"/>
    <w:rsid w:val="00A9488B"/>
    <w:rsid w:val="00A95DE9"/>
    <w:rsid w:val="00A96489"/>
    <w:rsid w:val="00A97725"/>
    <w:rsid w:val="00AA0354"/>
    <w:rsid w:val="00AA0C58"/>
    <w:rsid w:val="00AA296A"/>
    <w:rsid w:val="00AA6349"/>
    <w:rsid w:val="00AB329E"/>
    <w:rsid w:val="00AB4E31"/>
    <w:rsid w:val="00AB685C"/>
    <w:rsid w:val="00AB6C2D"/>
    <w:rsid w:val="00AC17DC"/>
    <w:rsid w:val="00AC3839"/>
    <w:rsid w:val="00AC62A8"/>
    <w:rsid w:val="00AC7082"/>
    <w:rsid w:val="00AD167C"/>
    <w:rsid w:val="00AD2926"/>
    <w:rsid w:val="00AD6A7D"/>
    <w:rsid w:val="00AE0EEB"/>
    <w:rsid w:val="00AE0F59"/>
    <w:rsid w:val="00AE1E0B"/>
    <w:rsid w:val="00AE23E7"/>
    <w:rsid w:val="00AF1490"/>
    <w:rsid w:val="00AF228E"/>
    <w:rsid w:val="00AF78E8"/>
    <w:rsid w:val="00B01F47"/>
    <w:rsid w:val="00B05929"/>
    <w:rsid w:val="00B05C58"/>
    <w:rsid w:val="00B060C3"/>
    <w:rsid w:val="00B14819"/>
    <w:rsid w:val="00B152AB"/>
    <w:rsid w:val="00B17AA9"/>
    <w:rsid w:val="00B211BA"/>
    <w:rsid w:val="00B2708A"/>
    <w:rsid w:val="00B311D8"/>
    <w:rsid w:val="00B42463"/>
    <w:rsid w:val="00B437D0"/>
    <w:rsid w:val="00B44B85"/>
    <w:rsid w:val="00B54108"/>
    <w:rsid w:val="00B549A4"/>
    <w:rsid w:val="00B57397"/>
    <w:rsid w:val="00B610F9"/>
    <w:rsid w:val="00B62C38"/>
    <w:rsid w:val="00B65B51"/>
    <w:rsid w:val="00B7063A"/>
    <w:rsid w:val="00B72AE1"/>
    <w:rsid w:val="00B736DF"/>
    <w:rsid w:val="00B74745"/>
    <w:rsid w:val="00B74FBD"/>
    <w:rsid w:val="00B75DB9"/>
    <w:rsid w:val="00B82586"/>
    <w:rsid w:val="00B86DB1"/>
    <w:rsid w:val="00B87062"/>
    <w:rsid w:val="00B87869"/>
    <w:rsid w:val="00B90467"/>
    <w:rsid w:val="00BA01AC"/>
    <w:rsid w:val="00BA20DC"/>
    <w:rsid w:val="00BA7E64"/>
    <w:rsid w:val="00BB0C81"/>
    <w:rsid w:val="00BB0F2B"/>
    <w:rsid w:val="00BB75F6"/>
    <w:rsid w:val="00BB76AD"/>
    <w:rsid w:val="00BD1E36"/>
    <w:rsid w:val="00BD7708"/>
    <w:rsid w:val="00BD79DD"/>
    <w:rsid w:val="00BE0936"/>
    <w:rsid w:val="00BE4043"/>
    <w:rsid w:val="00BE5D78"/>
    <w:rsid w:val="00BE6FA4"/>
    <w:rsid w:val="00BF1C6F"/>
    <w:rsid w:val="00BF217F"/>
    <w:rsid w:val="00BF2419"/>
    <w:rsid w:val="00BF50F7"/>
    <w:rsid w:val="00C02C99"/>
    <w:rsid w:val="00C02F29"/>
    <w:rsid w:val="00C053F7"/>
    <w:rsid w:val="00C0590F"/>
    <w:rsid w:val="00C05A69"/>
    <w:rsid w:val="00C05B02"/>
    <w:rsid w:val="00C11A1C"/>
    <w:rsid w:val="00C12FE4"/>
    <w:rsid w:val="00C17B6F"/>
    <w:rsid w:val="00C22A25"/>
    <w:rsid w:val="00C318AF"/>
    <w:rsid w:val="00C33616"/>
    <w:rsid w:val="00C33C6C"/>
    <w:rsid w:val="00C3439B"/>
    <w:rsid w:val="00C35660"/>
    <w:rsid w:val="00C35671"/>
    <w:rsid w:val="00C35B77"/>
    <w:rsid w:val="00C376EB"/>
    <w:rsid w:val="00C4321E"/>
    <w:rsid w:val="00C4545F"/>
    <w:rsid w:val="00C46EC1"/>
    <w:rsid w:val="00C53865"/>
    <w:rsid w:val="00C53E2C"/>
    <w:rsid w:val="00C550C8"/>
    <w:rsid w:val="00C606C3"/>
    <w:rsid w:val="00C61125"/>
    <w:rsid w:val="00C614A3"/>
    <w:rsid w:val="00C61513"/>
    <w:rsid w:val="00C63E68"/>
    <w:rsid w:val="00C6491F"/>
    <w:rsid w:val="00C71901"/>
    <w:rsid w:val="00C72848"/>
    <w:rsid w:val="00C76CB1"/>
    <w:rsid w:val="00C7736C"/>
    <w:rsid w:val="00C82D87"/>
    <w:rsid w:val="00C8484E"/>
    <w:rsid w:val="00C84FEC"/>
    <w:rsid w:val="00C8712A"/>
    <w:rsid w:val="00C92671"/>
    <w:rsid w:val="00C94729"/>
    <w:rsid w:val="00C963D3"/>
    <w:rsid w:val="00CA578E"/>
    <w:rsid w:val="00CA656A"/>
    <w:rsid w:val="00CB069B"/>
    <w:rsid w:val="00CB0B79"/>
    <w:rsid w:val="00CB2CBB"/>
    <w:rsid w:val="00CB3E1F"/>
    <w:rsid w:val="00CB626E"/>
    <w:rsid w:val="00CB7CAC"/>
    <w:rsid w:val="00CB7E72"/>
    <w:rsid w:val="00CC4689"/>
    <w:rsid w:val="00CC5335"/>
    <w:rsid w:val="00CC5BA4"/>
    <w:rsid w:val="00CD10A3"/>
    <w:rsid w:val="00CD24B8"/>
    <w:rsid w:val="00CD29ED"/>
    <w:rsid w:val="00CD4998"/>
    <w:rsid w:val="00CE1035"/>
    <w:rsid w:val="00CE12FF"/>
    <w:rsid w:val="00CE4BD5"/>
    <w:rsid w:val="00CE5C09"/>
    <w:rsid w:val="00CE6527"/>
    <w:rsid w:val="00CF2819"/>
    <w:rsid w:val="00CF4F9D"/>
    <w:rsid w:val="00CF70DC"/>
    <w:rsid w:val="00CF758D"/>
    <w:rsid w:val="00D0744D"/>
    <w:rsid w:val="00D104E4"/>
    <w:rsid w:val="00D108FE"/>
    <w:rsid w:val="00D11E60"/>
    <w:rsid w:val="00D12D56"/>
    <w:rsid w:val="00D148DC"/>
    <w:rsid w:val="00D14D77"/>
    <w:rsid w:val="00D17FDC"/>
    <w:rsid w:val="00D22400"/>
    <w:rsid w:val="00D279C5"/>
    <w:rsid w:val="00D42F97"/>
    <w:rsid w:val="00D43FD0"/>
    <w:rsid w:val="00D45959"/>
    <w:rsid w:val="00D46AA7"/>
    <w:rsid w:val="00D51C1F"/>
    <w:rsid w:val="00D53E5A"/>
    <w:rsid w:val="00D55F3C"/>
    <w:rsid w:val="00D609B9"/>
    <w:rsid w:val="00D619DB"/>
    <w:rsid w:val="00D63EFD"/>
    <w:rsid w:val="00D661F1"/>
    <w:rsid w:val="00D758F4"/>
    <w:rsid w:val="00D77FEF"/>
    <w:rsid w:val="00D808F6"/>
    <w:rsid w:val="00D817B5"/>
    <w:rsid w:val="00D83D31"/>
    <w:rsid w:val="00D84752"/>
    <w:rsid w:val="00D86B3B"/>
    <w:rsid w:val="00D8700D"/>
    <w:rsid w:val="00D8748A"/>
    <w:rsid w:val="00D93196"/>
    <w:rsid w:val="00D959E1"/>
    <w:rsid w:val="00DA18B1"/>
    <w:rsid w:val="00DA260C"/>
    <w:rsid w:val="00DA2DC9"/>
    <w:rsid w:val="00DA7A92"/>
    <w:rsid w:val="00DB0F33"/>
    <w:rsid w:val="00DB243C"/>
    <w:rsid w:val="00DB482A"/>
    <w:rsid w:val="00DB56F2"/>
    <w:rsid w:val="00DB6EF5"/>
    <w:rsid w:val="00DC0391"/>
    <w:rsid w:val="00DC1B4A"/>
    <w:rsid w:val="00DC2FAF"/>
    <w:rsid w:val="00DC3089"/>
    <w:rsid w:val="00DC4420"/>
    <w:rsid w:val="00DC5382"/>
    <w:rsid w:val="00DC5ECA"/>
    <w:rsid w:val="00DD0802"/>
    <w:rsid w:val="00DD2E11"/>
    <w:rsid w:val="00DD3C2C"/>
    <w:rsid w:val="00DD4597"/>
    <w:rsid w:val="00DD4616"/>
    <w:rsid w:val="00DD63D6"/>
    <w:rsid w:val="00DE03AF"/>
    <w:rsid w:val="00DE121C"/>
    <w:rsid w:val="00DE6633"/>
    <w:rsid w:val="00DF75F8"/>
    <w:rsid w:val="00DF7A3A"/>
    <w:rsid w:val="00E00C00"/>
    <w:rsid w:val="00E07C5A"/>
    <w:rsid w:val="00E15BA9"/>
    <w:rsid w:val="00E26A25"/>
    <w:rsid w:val="00E26E19"/>
    <w:rsid w:val="00E32414"/>
    <w:rsid w:val="00E328B5"/>
    <w:rsid w:val="00E334D7"/>
    <w:rsid w:val="00E41937"/>
    <w:rsid w:val="00E43E9C"/>
    <w:rsid w:val="00E450A4"/>
    <w:rsid w:val="00E506BE"/>
    <w:rsid w:val="00E50BC8"/>
    <w:rsid w:val="00E55547"/>
    <w:rsid w:val="00E5565A"/>
    <w:rsid w:val="00E6302B"/>
    <w:rsid w:val="00E6452F"/>
    <w:rsid w:val="00E64F45"/>
    <w:rsid w:val="00E6742D"/>
    <w:rsid w:val="00E71CB0"/>
    <w:rsid w:val="00E71D78"/>
    <w:rsid w:val="00E75678"/>
    <w:rsid w:val="00E77C3D"/>
    <w:rsid w:val="00E83741"/>
    <w:rsid w:val="00E83FC9"/>
    <w:rsid w:val="00E84762"/>
    <w:rsid w:val="00E909F0"/>
    <w:rsid w:val="00E93993"/>
    <w:rsid w:val="00EA0913"/>
    <w:rsid w:val="00EA6C42"/>
    <w:rsid w:val="00EA76D9"/>
    <w:rsid w:val="00EB01A4"/>
    <w:rsid w:val="00EB108C"/>
    <w:rsid w:val="00EB2AA1"/>
    <w:rsid w:val="00EB3A7A"/>
    <w:rsid w:val="00EB3F53"/>
    <w:rsid w:val="00EB45AC"/>
    <w:rsid w:val="00EC0049"/>
    <w:rsid w:val="00EC6D4E"/>
    <w:rsid w:val="00ED0BC4"/>
    <w:rsid w:val="00ED18A8"/>
    <w:rsid w:val="00ED317D"/>
    <w:rsid w:val="00EE4971"/>
    <w:rsid w:val="00EE744D"/>
    <w:rsid w:val="00EE7D7C"/>
    <w:rsid w:val="00EF090E"/>
    <w:rsid w:val="00EF4475"/>
    <w:rsid w:val="00EF67C3"/>
    <w:rsid w:val="00F018DC"/>
    <w:rsid w:val="00F02422"/>
    <w:rsid w:val="00F03230"/>
    <w:rsid w:val="00F033DA"/>
    <w:rsid w:val="00F03437"/>
    <w:rsid w:val="00F04A2E"/>
    <w:rsid w:val="00F057AA"/>
    <w:rsid w:val="00F06101"/>
    <w:rsid w:val="00F13B46"/>
    <w:rsid w:val="00F27C8B"/>
    <w:rsid w:val="00F27CD8"/>
    <w:rsid w:val="00F30351"/>
    <w:rsid w:val="00F30C2E"/>
    <w:rsid w:val="00F32B3F"/>
    <w:rsid w:val="00F3323E"/>
    <w:rsid w:val="00F33DD6"/>
    <w:rsid w:val="00F341F4"/>
    <w:rsid w:val="00F35B1F"/>
    <w:rsid w:val="00F35CCE"/>
    <w:rsid w:val="00F40A2A"/>
    <w:rsid w:val="00F40F88"/>
    <w:rsid w:val="00F433A5"/>
    <w:rsid w:val="00F44220"/>
    <w:rsid w:val="00F44DBC"/>
    <w:rsid w:val="00F470F6"/>
    <w:rsid w:val="00F505BD"/>
    <w:rsid w:val="00F545D9"/>
    <w:rsid w:val="00F5524B"/>
    <w:rsid w:val="00F579D4"/>
    <w:rsid w:val="00F61DD2"/>
    <w:rsid w:val="00F62E9D"/>
    <w:rsid w:val="00F66AFF"/>
    <w:rsid w:val="00F70DB8"/>
    <w:rsid w:val="00F713D7"/>
    <w:rsid w:val="00F71433"/>
    <w:rsid w:val="00F71A12"/>
    <w:rsid w:val="00F735B7"/>
    <w:rsid w:val="00F73C98"/>
    <w:rsid w:val="00F74E16"/>
    <w:rsid w:val="00F82F9B"/>
    <w:rsid w:val="00F86CD6"/>
    <w:rsid w:val="00F92A78"/>
    <w:rsid w:val="00F95FAB"/>
    <w:rsid w:val="00F97C5B"/>
    <w:rsid w:val="00FA132E"/>
    <w:rsid w:val="00FA2B17"/>
    <w:rsid w:val="00FA3D50"/>
    <w:rsid w:val="00FA3D5F"/>
    <w:rsid w:val="00FA515A"/>
    <w:rsid w:val="00FB0F0B"/>
    <w:rsid w:val="00FB377C"/>
    <w:rsid w:val="00FB552F"/>
    <w:rsid w:val="00FB55C0"/>
    <w:rsid w:val="00FC374A"/>
    <w:rsid w:val="00FC669A"/>
    <w:rsid w:val="00FC7B47"/>
    <w:rsid w:val="00FD02EA"/>
    <w:rsid w:val="00FD035C"/>
    <w:rsid w:val="00FD1A35"/>
    <w:rsid w:val="00FD2336"/>
    <w:rsid w:val="00FD36C5"/>
    <w:rsid w:val="00FD59E6"/>
    <w:rsid w:val="00FD6310"/>
    <w:rsid w:val="00FD7C7B"/>
    <w:rsid w:val="00FE0371"/>
    <w:rsid w:val="00FE1D12"/>
    <w:rsid w:val="00FE2122"/>
    <w:rsid w:val="00FE2A86"/>
    <w:rsid w:val="00FE42B0"/>
    <w:rsid w:val="00FE42F3"/>
    <w:rsid w:val="00FF296F"/>
    <w:rsid w:val="00FF4443"/>
    <w:rsid w:val="00FF4BE0"/>
    <w:rsid w:val="00FF4D2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FB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17</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Hudson</cp:lastModifiedBy>
  <cp:revision>495</cp:revision>
  <cp:lastPrinted>2019-09-04T15:45:00Z</cp:lastPrinted>
  <dcterms:created xsi:type="dcterms:W3CDTF">2022-10-15T04:26:00Z</dcterms:created>
  <dcterms:modified xsi:type="dcterms:W3CDTF">2022-10-15T21:49:00Z</dcterms:modified>
</cp:coreProperties>
</file>