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27D56">
        <w:rPr>
          <w:rFonts w:ascii="Avenir Next" w:hAnsi="Avenir Next" w:cs="Arial"/>
          <w:sz w:val="22"/>
          <w:szCs w:val="22"/>
          <w:lang w:val="en-GB"/>
        </w:rPr>
        <w:t>answer</w:t>
      </w:r>
      <w:proofErr w:type="gramEnd"/>
      <w:r w:rsidRPr="00827D56">
        <w:rPr>
          <w:rFonts w:ascii="Avenir Next" w:hAnsi="Avenir Next" w:cs="Arial"/>
          <w:sz w:val="22"/>
          <w:szCs w:val="22"/>
          <w:lang w:val="en-GB"/>
        </w:rPr>
        <w:t xml:space="preserve">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ED1450" w:rsidRDefault="00B736DF" w:rsidP="009E1027">
      <w:pPr>
        <w:pStyle w:val="ListParagraph"/>
        <w:numPr>
          <w:ilvl w:val="0"/>
          <w:numId w:val="12"/>
        </w:numPr>
        <w:ind w:left="426"/>
        <w:jc w:val="both"/>
        <w:rPr>
          <w:rFonts w:ascii="Avenir Next" w:hAnsi="Avenir Next" w:cs="Arial"/>
          <w:sz w:val="22"/>
          <w:szCs w:val="22"/>
          <w:highlight w:val="yellow"/>
          <w:lang w:val="en-GB"/>
        </w:rPr>
      </w:pPr>
      <w:r w:rsidRPr="00ED1450">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ED1450" w:rsidRDefault="00161F1B" w:rsidP="009E1027">
      <w:pPr>
        <w:pStyle w:val="ListParagraph"/>
        <w:numPr>
          <w:ilvl w:val="0"/>
          <w:numId w:val="13"/>
        </w:numPr>
        <w:ind w:left="426"/>
        <w:jc w:val="both"/>
        <w:rPr>
          <w:rFonts w:ascii="Avenir Next" w:hAnsi="Avenir Next" w:cs="Arial"/>
          <w:sz w:val="22"/>
          <w:szCs w:val="22"/>
          <w:highlight w:val="yellow"/>
          <w:lang w:val="en-GB"/>
        </w:rPr>
      </w:pPr>
      <w:r w:rsidRPr="00ED1450">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ED1450" w:rsidRDefault="009E2E27" w:rsidP="008031A7">
      <w:pPr>
        <w:pStyle w:val="ListParagraph"/>
        <w:numPr>
          <w:ilvl w:val="0"/>
          <w:numId w:val="14"/>
        </w:numPr>
        <w:ind w:left="426"/>
        <w:jc w:val="both"/>
        <w:rPr>
          <w:rFonts w:ascii="Avenir Next" w:hAnsi="Avenir Next" w:cs="Arial"/>
          <w:sz w:val="22"/>
          <w:szCs w:val="22"/>
          <w:highlight w:val="yellow"/>
          <w:lang w:val="en-GB"/>
        </w:rPr>
      </w:pPr>
      <w:r w:rsidRPr="00ED1450">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ED1450">
        <w:rPr>
          <w:rFonts w:ascii="Avenir Next" w:hAnsi="Avenir Next" w:cs="Arial"/>
          <w:sz w:val="22"/>
          <w:szCs w:val="22"/>
          <w:highlight w:val="yellow"/>
          <w:lang w:val="en-GB"/>
        </w:rPr>
        <w:t>This statement is untrue since there is still a need for both liquidation and rescue procedures in insolvency systems</w:t>
      </w:r>
      <w:r w:rsidRPr="00827D56">
        <w:rPr>
          <w:rFonts w:ascii="Avenir Next" w:hAnsi="Avenir Next" w:cs="Arial"/>
          <w:sz w:val="22"/>
          <w:szCs w:val="22"/>
          <w:lang w:val="en-GB"/>
        </w:rPr>
        <w:t>.</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The statement</w:t>
      </w:r>
      <w:r w:rsidR="0037465A" w:rsidRPr="00827D56">
        <w:rPr>
          <w:rFonts w:ascii="Avenir Next" w:hAnsi="Avenir Next" w:cs="Arial"/>
          <w:sz w:val="22"/>
          <w:szCs w:val="22"/>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ED1450" w:rsidRDefault="007074E9" w:rsidP="006D01C2">
      <w:pPr>
        <w:pStyle w:val="ListParagraph"/>
        <w:numPr>
          <w:ilvl w:val="0"/>
          <w:numId w:val="16"/>
        </w:numPr>
        <w:ind w:left="426"/>
        <w:jc w:val="both"/>
        <w:rPr>
          <w:rFonts w:ascii="Avenir Next" w:hAnsi="Avenir Next" w:cs="Arial"/>
          <w:sz w:val="22"/>
          <w:szCs w:val="22"/>
          <w:highlight w:val="yellow"/>
          <w:lang w:val="en-GB"/>
        </w:rPr>
      </w:pPr>
      <w:r w:rsidRPr="00ED1450">
        <w:rPr>
          <w:rFonts w:ascii="Avenir Next" w:hAnsi="Avenir Next" w:cs="Arial"/>
          <w:sz w:val="22"/>
          <w:szCs w:val="22"/>
          <w:highlight w:val="yellow"/>
          <w:lang w:val="en-GB"/>
        </w:rPr>
        <w:t>This statemen</w:t>
      </w:r>
      <w:r w:rsidR="0037465A" w:rsidRPr="00ED1450">
        <w:rPr>
          <w:rFonts w:ascii="Avenir Next" w:hAnsi="Avenir Next" w:cs="Arial"/>
          <w:sz w:val="22"/>
          <w:szCs w:val="22"/>
          <w:highlight w:val="yellow"/>
          <w:lang w:val="en-GB"/>
        </w:rPr>
        <w:t xml:space="preserve">t is untrue </w:t>
      </w:r>
      <w:r w:rsidR="00A235B7" w:rsidRPr="00ED1450">
        <w:rPr>
          <w:rFonts w:ascii="Avenir Next" w:hAnsi="Avenir Next" w:cs="Arial"/>
          <w:sz w:val="22"/>
          <w:szCs w:val="22"/>
          <w:highlight w:val="yellow"/>
          <w:lang w:val="en-GB"/>
        </w:rPr>
        <w:t>because the insolvency laws of the State where the original insolvency order is issued will apply to all the other States involved in the matter</w:t>
      </w:r>
      <w:r w:rsidRPr="00ED1450">
        <w:rPr>
          <w:rFonts w:ascii="Avenir Next" w:hAnsi="Avenir Next" w:cs="Arial"/>
          <w:sz w:val="22"/>
          <w:szCs w:val="22"/>
          <w:highlight w:val="yellow"/>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ED1450"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ED1450">
        <w:rPr>
          <w:rFonts w:ascii="Avenir Next" w:eastAsiaTheme="minorHAnsi" w:hAnsi="Avenir Next" w:cs="Arial"/>
          <w:sz w:val="22"/>
          <w:szCs w:val="22"/>
          <w:highlight w:val="yellow"/>
          <w:lang w:val="en-GB"/>
        </w:rPr>
        <w:t>Private International Law</w:t>
      </w:r>
      <w:r w:rsidR="00991428" w:rsidRPr="00ED1450">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ED1450" w:rsidRDefault="005A0CCA" w:rsidP="006D01C2">
      <w:pPr>
        <w:pStyle w:val="ListParagraph"/>
        <w:numPr>
          <w:ilvl w:val="0"/>
          <w:numId w:val="18"/>
        </w:numPr>
        <w:ind w:left="426"/>
        <w:jc w:val="both"/>
        <w:rPr>
          <w:rFonts w:ascii="Avenir Next" w:hAnsi="Avenir Next" w:cs="Arial"/>
          <w:sz w:val="22"/>
          <w:szCs w:val="22"/>
          <w:highlight w:val="yellow"/>
          <w:shd w:val="clear" w:color="auto" w:fill="FFFFFF"/>
          <w:lang w:val="en-GB"/>
        </w:rPr>
      </w:pPr>
      <w:r w:rsidRPr="00ED1450">
        <w:rPr>
          <w:rFonts w:ascii="Avenir Next" w:hAnsi="Avenir Next" w:cs="Arial"/>
          <w:sz w:val="22"/>
          <w:szCs w:val="22"/>
          <w:highlight w:val="yellow"/>
          <w:shd w:val="clear" w:color="auto" w:fill="FFFFFF"/>
          <w:lang w:val="en-GB"/>
        </w:rPr>
        <w:t>EU Cross-Border Insolvency Court-to-Court Communications Guidelines (201</w:t>
      </w:r>
      <w:r w:rsidR="00FE2A86" w:rsidRPr="00ED1450">
        <w:rPr>
          <w:rFonts w:ascii="Avenir Next" w:hAnsi="Avenir Next" w:cs="Arial"/>
          <w:sz w:val="22"/>
          <w:szCs w:val="22"/>
          <w:highlight w:val="yellow"/>
          <w:shd w:val="clear" w:color="auto" w:fill="FFFFFF"/>
          <w:lang w:val="en-GB"/>
        </w:rPr>
        <w:t>4</w:t>
      </w:r>
      <w:r w:rsidRPr="00ED1450">
        <w:rPr>
          <w:rFonts w:ascii="Avenir Next" w:hAnsi="Avenir Next" w:cs="Arial"/>
          <w:sz w:val="22"/>
          <w:szCs w:val="22"/>
          <w:highlight w:val="yellow"/>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ED1450"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ED1450">
        <w:rPr>
          <w:rFonts w:ascii="Avenir Next" w:hAnsi="Avenir Next" w:cs="Arial"/>
          <w:sz w:val="22"/>
          <w:szCs w:val="22"/>
          <w:highlight w:val="yellow"/>
          <w:lang w:val="en-GB"/>
        </w:rPr>
        <w:t>Havana Convention on Private International Law (1928)</w:t>
      </w:r>
      <w:r w:rsidRPr="00ED1450">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DB2032" w:rsidRDefault="0082483F" w:rsidP="006D01C2">
      <w:pPr>
        <w:pStyle w:val="ListParagraph"/>
        <w:numPr>
          <w:ilvl w:val="0"/>
          <w:numId w:val="20"/>
        </w:numPr>
        <w:ind w:left="426"/>
        <w:jc w:val="both"/>
        <w:rPr>
          <w:rFonts w:ascii="Avenir Next" w:hAnsi="Avenir Next" w:cs="Arial"/>
          <w:sz w:val="22"/>
          <w:szCs w:val="22"/>
          <w:highlight w:val="yellow"/>
          <w:lang w:val="en-GB"/>
        </w:rPr>
      </w:pPr>
      <w:r w:rsidRPr="00DB2032">
        <w:rPr>
          <w:rFonts w:ascii="Avenir Next" w:hAnsi="Avenir Next" w:cs="Arial"/>
          <w:sz w:val="22"/>
          <w:szCs w:val="22"/>
          <w:highlight w:val="yellow"/>
          <w:lang w:val="en-GB"/>
        </w:rPr>
        <w:t xml:space="preserve">A centralised insolvency </w:t>
      </w:r>
      <w:proofErr w:type="gramStart"/>
      <w:r w:rsidRPr="00DB2032">
        <w:rPr>
          <w:rFonts w:ascii="Avenir Next" w:hAnsi="Avenir Next" w:cs="Arial"/>
          <w:sz w:val="22"/>
          <w:szCs w:val="22"/>
          <w:highlight w:val="yellow"/>
          <w:lang w:val="en-GB"/>
        </w:rPr>
        <w:t>register</w:t>
      </w:r>
      <w:proofErr w:type="gramEnd"/>
      <w:r w:rsidRPr="00DB2032">
        <w:rPr>
          <w:rFonts w:ascii="Avenir Next" w:hAnsi="Avenir Next" w:cs="Arial"/>
          <w:sz w:val="22"/>
          <w:szCs w:val="22"/>
          <w:highlight w:val="yellow"/>
          <w:lang w:val="en-GB"/>
        </w:rPr>
        <w:t xml:space="preserve"> of insolvency proceedings opened in member states</w:t>
      </w:r>
      <w:r w:rsidR="003A2F8D" w:rsidRPr="00DB2032">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DB2032">
        <w:rPr>
          <w:rFonts w:ascii="Avenir Next" w:eastAsiaTheme="minorHAnsi" w:hAnsi="Avenir Next" w:cs="Arial"/>
          <w:sz w:val="22"/>
          <w:szCs w:val="22"/>
          <w:highlight w:val="yellow"/>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44535121" w:rsidR="00DE03AF" w:rsidRPr="00827D56" w:rsidRDefault="00DB2032" w:rsidP="00C053F7">
      <w:pPr>
        <w:jc w:val="both"/>
        <w:rPr>
          <w:rFonts w:ascii="Avenir Next" w:hAnsi="Avenir Next" w:cs="Arial"/>
          <w:sz w:val="22"/>
          <w:szCs w:val="22"/>
          <w:lang w:val="en-GB"/>
        </w:rPr>
      </w:pPr>
      <w:r w:rsidRPr="00DB2032">
        <w:rPr>
          <w:rFonts w:ascii="Avenir Next" w:hAnsi="Avenir Next" w:cs="Arial"/>
          <w:color w:val="7B7B7B" w:themeColor="accent3" w:themeShade="BF"/>
          <w:sz w:val="22"/>
          <w:szCs w:val="22"/>
          <w:lang w:val="en-GB"/>
        </w:rPr>
        <w:t>International insolvency law is a situation where insolvency occurs in circumstances that exceed the confines of a singular legal system in such a way that a single set of domestic laws cannot be applied without due regard to the issues raised by the foreign elements of the case.</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65B47BB2" w:rsidR="009B07AD" w:rsidRPr="00827D56" w:rsidRDefault="00DB2032" w:rsidP="00DB2032">
      <w:pPr>
        <w:jc w:val="both"/>
        <w:rPr>
          <w:rFonts w:ascii="Avenir Next" w:hAnsi="Avenir Next" w:cs="Arial"/>
          <w:sz w:val="22"/>
          <w:szCs w:val="22"/>
          <w:lang w:val="en-GB"/>
        </w:rPr>
      </w:pPr>
      <w:r w:rsidRPr="00DB2032">
        <w:rPr>
          <w:rFonts w:ascii="Avenir Next" w:hAnsi="Avenir Next" w:cs="Arial"/>
          <w:color w:val="7B7B7B" w:themeColor="accent3" w:themeShade="BF"/>
          <w:sz w:val="22"/>
          <w:szCs w:val="22"/>
          <w:lang w:val="en-GB"/>
        </w:rPr>
        <w:t>Universality under cross-border insolvency indicates that there should only be one setting for international insolvency cases. Ideally, only one forum should be present and have singular jurisdiction over all the case elements. Territoriality, on the other hand, indicates that insolvency proceedings should be opened in every single jurisdiction where the debtor has assets. Under territoriality, multiple insolvency proceedings would run concurrently with the same debtor. In this regard, universality and territoriality are diametrically opposed.</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1BC3087E" w14:textId="0C5E9769" w:rsidR="00DB2032" w:rsidRDefault="00DB2032" w:rsidP="00DB2032">
      <w:pPr>
        <w:jc w:val="both"/>
        <w:rPr>
          <w:rFonts w:ascii="Avenir Next" w:hAnsi="Avenir Next" w:cs="Arial"/>
          <w:color w:val="7B7B7B" w:themeColor="accent3" w:themeShade="BF"/>
          <w:sz w:val="22"/>
          <w:szCs w:val="22"/>
          <w:lang w:val="en-GB"/>
        </w:rPr>
      </w:pPr>
      <w:r w:rsidRPr="00DB2032">
        <w:rPr>
          <w:rFonts w:ascii="Avenir Next" w:hAnsi="Avenir Next" w:cs="Arial"/>
          <w:color w:val="7B7B7B" w:themeColor="accent3" w:themeShade="BF"/>
          <w:sz w:val="22"/>
          <w:szCs w:val="22"/>
          <w:lang w:val="en-GB"/>
        </w:rPr>
        <w:t xml:space="preserve">In the Middle East, the first-ever comparative study of insolvency systems across the Middle East and North Africa (MENA) occurred in 2009 in collaboration with the World Bank, OECD, INSOL, and the </w:t>
      </w:r>
      <w:proofErr w:type="spellStart"/>
      <w:r w:rsidRPr="00DB2032">
        <w:rPr>
          <w:rFonts w:ascii="Avenir Next" w:hAnsi="Avenir Next" w:cs="Arial"/>
          <w:color w:val="7B7B7B" w:themeColor="accent3" w:themeShade="BF"/>
          <w:sz w:val="22"/>
          <w:szCs w:val="22"/>
          <w:lang w:val="en-GB"/>
        </w:rPr>
        <w:t>Hawkama</w:t>
      </w:r>
      <w:proofErr w:type="spellEnd"/>
      <w:r w:rsidRPr="00DB2032">
        <w:rPr>
          <w:rFonts w:ascii="Avenir Next" w:hAnsi="Avenir Next" w:cs="Arial"/>
          <w:color w:val="7B7B7B" w:themeColor="accent3" w:themeShade="BF"/>
          <w:sz w:val="22"/>
          <w:szCs w:val="22"/>
          <w:lang w:val="en-GB"/>
        </w:rPr>
        <w:t xml:space="preserve"> Institute. </w:t>
      </w:r>
    </w:p>
    <w:p w14:paraId="23E35A82" w14:textId="77777777" w:rsidR="00DB2032" w:rsidRPr="00DB2032" w:rsidRDefault="00DB2032" w:rsidP="00DB2032">
      <w:pPr>
        <w:jc w:val="both"/>
        <w:rPr>
          <w:rFonts w:ascii="Avenir Next" w:hAnsi="Avenir Next" w:cs="Arial"/>
          <w:color w:val="7B7B7B" w:themeColor="accent3" w:themeShade="BF"/>
          <w:sz w:val="22"/>
          <w:szCs w:val="22"/>
          <w:lang w:val="en-GB"/>
        </w:rPr>
      </w:pPr>
    </w:p>
    <w:p w14:paraId="24298857" w14:textId="77777777" w:rsidR="00DB2032" w:rsidRPr="00DB2032" w:rsidRDefault="00DB2032" w:rsidP="00DB2032">
      <w:pPr>
        <w:jc w:val="both"/>
        <w:rPr>
          <w:rFonts w:ascii="Avenir Next" w:hAnsi="Avenir Next" w:cs="Arial"/>
          <w:color w:val="7B7B7B" w:themeColor="accent3" w:themeShade="BF"/>
          <w:sz w:val="22"/>
          <w:szCs w:val="22"/>
          <w:lang w:val="en-GB"/>
        </w:rPr>
      </w:pPr>
      <w:r w:rsidRPr="00DB2032">
        <w:rPr>
          <w:rFonts w:ascii="Avenir Next" w:hAnsi="Avenir Next" w:cs="Arial"/>
          <w:color w:val="7B7B7B" w:themeColor="accent3" w:themeShade="BF"/>
          <w:sz w:val="22"/>
          <w:szCs w:val="22"/>
          <w:lang w:val="en-GB"/>
        </w:rPr>
        <w:t xml:space="preserve">Recently, some Middle East countries have reformed their policies regarding insolvency systems. Specifically, the UAE in 2016 and 2019, Dubai in 2019, and Saudi Arabia in 2018. </w:t>
      </w:r>
    </w:p>
    <w:p w14:paraId="608DD0BD" w14:textId="7494D28E" w:rsidR="00286AE6" w:rsidRPr="00827D56" w:rsidRDefault="00DB2032" w:rsidP="00DB2032">
      <w:pPr>
        <w:jc w:val="both"/>
        <w:rPr>
          <w:rFonts w:ascii="Avenir Next" w:hAnsi="Avenir Next" w:cs="Arial"/>
          <w:b/>
          <w:sz w:val="22"/>
          <w:szCs w:val="22"/>
          <w:lang w:val="en-GB"/>
        </w:rPr>
      </w:pPr>
      <w:r w:rsidRPr="00DB2032">
        <w:rPr>
          <w:rFonts w:ascii="Avenir Next" w:hAnsi="Avenir Next" w:cs="Arial"/>
          <w:color w:val="7B7B7B" w:themeColor="accent3" w:themeShade="BF"/>
          <w:sz w:val="22"/>
          <w:szCs w:val="22"/>
          <w:lang w:val="en-GB"/>
        </w:rPr>
        <w:t xml:space="preserve">Further, in support of international insolvency law specifically, Bahrain adopted the Model Law on Cross Border Insolvency in 2018. The Dubai International Financial </w:t>
      </w:r>
      <w:proofErr w:type="spellStart"/>
      <w:r w:rsidRPr="00DB2032">
        <w:rPr>
          <w:rFonts w:ascii="Avenir Next" w:hAnsi="Avenir Next" w:cs="Arial"/>
          <w:color w:val="7B7B7B" w:themeColor="accent3" w:themeShade="BF"/>
          <w:sz w:val="22"/>
          <w:szCs w:val="22"/>
          <w:lang w:val="en-GB"/>
        </w:rPr>
        <w:t>Center</w:t>
      </w:r>
      <w:proofErr w:type="spellEnd"/>
      <w:r w:rsidRPr="00DB2032">
        <w:rPr>
          <w:rFonts w:ascii="Avenir Next" w:hAnsi="Avenir Next" w:cs="Arial"/>
          <w:color w:val="7B7B7B" w:themeColor="accent3" w:themeShade="BF"/>
          <w:sz w:val="22"/>
          <w:szCs w:val="22"/>
          <w:lang w:val="en-GB"/>
        </w:rPr>
        <w:t xml:space="preserve"> adopted the same in 2019.</w:t>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A637290" w14:textId="429F885B" w:rsidR="00544127" w:rsidRPr="00827D56" w:rsidRDefault="00DB2032" w:rsidP="00DB2032">
      <w:pPr>
        <w:tabs>
          <w:tab w:val="left" w:pos="180"/>
        </w:tabs>
        <w:jc w:val="both"/>
        <w:rPr>
          <w:rFonts w:ascii="Avenir Next" w:hAnsi="Avenir Next" w:cs="Arial"/>
          <w:sz w:val="22"/>
          <w:szCs w:val="22"/>
          <w:lang w:val="en-GB"/>
        </w:rPr>
      </w:pPr>
      <w:r w:rsidRPr="00DB2032">
        <w:rPr>
          <w:rFonts w:ascii="Avenir Next" w:hAnsi="Avenir Next" w:cs="Arial"/>
          <w:color w:val="7B7B7B" w:themeColor="accent3" w:themeShade="BF"/>
          <w:sz w:val="22"/>
          <w:szCs w:val="22"/>
          <w:lang w:val="en-GB"/>
        </w:rPr>
        <w:t xml:space="preserve">The objectives for insolvency for individuals </w:t>
      </w:r>
      <w:proofErr w:type="gramStart"/>
      <w:r w:rsidRPr="00DB2032">
        <w:rPr>
          <w:rFonts w:ascii="Avenir Next" w:hAnsi="Avenir Next" w:cs="Arial"/>
          <w:color w:val="7B7B7B" w:themeColor="accent3" w:themeShade="BF"/>
          <w:sz w:val="22"/>
          <w:szCs w:val="22"/>
          <w:lang w:val="en-GB"/>
        </w:rPr>
        <w:t>include:</w:t>
      </w:r>
      <w:proofErr w:type="gramEnd"/>
      <w:r w:rsidRPr="00DB2032">
        <w:rPr>
          <w:rFonts w:ascii="Avenir Next" w:hAnsi="Avenir Next" w:cs="Arial"/>
          <w:color w:val="7B7B7B" w:themeColor="accent3" w:themeShade="BF"/>
          <w:sz w:val="22"/>
          <w:szCs w:val="22"/>
          <w:lang w:val="en-GB"/>
        </w:rPr>
        <w:t xml:space="preserve"> protecting them from harassment from their creditors, offering the individual an opportunity to start over, especially in instances where the debtor is not blameworthy for their situation, and reducing the sense of indebtedness by allowing payments of the debt from the debtor's estate, past and future income while taking into account their circumstances. The objectives for insolvency for a corporation </w:t>
      </w:r>
      <w:proofErr w:type="gramStart"/>
      <w:r w:rsidRPr="00DB2032">
        <w:rPr>
          <w:rFonts w:ascii="Avenir Next" w:hAnsi="Avenir Next" w:cs="Arial"/>
          <w:color w:val="7B7B7B" w:themeColor="accent3" w:themeShade="BF"/>
          <w:sz w:val="22"/>
          <w:szCs w:val="22"/>
          <w:lang w:val="en-GB"/>
        </w:rPr>
        <w:t>include:</w:t>
      </w:r>
      <w:proofErr w:type="gramEnd"/>
      <w:r w:rsidRPr="00DB2032">
        <w:rPr>
          <w:rFonts w:ascii="Avenir Next" w:hAnsi="Avenir Next" w:cs="Arial"/>
          <w:color w:val="7B7B7B" w:themeColor="accent3" w:themeShade="BF"/>
          <w:sz w:val="22"/>
          <w:szCs w:val="22"/>
          <w:lang w:val="en-GB"/>
        </w:rPr>
        <w:t xml:space="preserve"> preserving the business or any viable components of the business and imposing personal liability on relevant persons where personal liability has been abused</w:t>
      </w: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DAA6780" w14:textId="014C520B" w:rsidR="00962045" w:rsidRPr="00827D56" w:rsidRDefault="00DB2032" w:rsidP="00C053F7">
      <w:pPr>
        <w:jc w:val="both"/>
        <w:rPr>
          <w:rFonts w:ascii="Avenir Next" w:hAnsi="Avenir Next" w:cs="Arial"/>
          <w:sz w:val="22"/>
          <w:szCs w:val="22"/>
          <w:shd w:val="clear" w:color="auto" w:fill="FFFFFF"/>
          <w:lang w:val="en-GB"/>
        </w:rPr>
      </w:pPr>
      <w:r w:rsidRPr="00DB2032">
        <w:rPr>
          <w:rFonts w:ascii="Avenir Next" w:hAnsi="Avenir Next" w:cs="Arial"/>
          <w:color w:val="7B7B7B" w:themeColor="accent3" w:themeShade="BF"/>
          <w:sz w:val="22"/>
          <w:szCs w:val="22"/>
          <w:lang w:val="en-GB"/>
        </w:rPr>
        <w:t>Some of the major difficulties that may be encountered when dealing with insolvency law in a cross-border context relating to pertinent differences in the relevant systems include: the standing or recognition of a foreign representative in the local jurisdiction, moratorium on creditor actions, creditor participation, executory nature of contracts, co-ordinated claims procedures, priorities and references, avoidance provisions powers, discharges, and conflict of law issues.</w:t>
      </w: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304E88B9" w14:textId="77777777" w:rsidR="00DB2032" w:rsidRPr="00DB2032" w:rsidRDefault="00DB2032" w:rsidP="00DB2032">
      <w:pPr>
        <w:jc w:val="both"/>
        <w:rPr>
          <w:rFonts w:ascii="Avenir Next" w:hAnsi="Avenir Next" w:cs="Arial"/>
          <w:color w:val="7B7B7B" w:themeColor="accent3" w:themeShade="BF"/>
          <w:sz w:val="22"/>
          <w:szCs w:val="22"/>
          <w:lang w:val="en-GB"/>
        </w:rPr>
      </w:pPr>
      <w:r w:rsidRPr="00DB2032">
        <w:rPr>
          <w:rFonts w:ascii="Avenir Next" w:hAnsi="Avenir Next" w:cs="Arial"/>
          <w:color w:val="7B7B7B" w:themeColor="accent3" w:themeShade="BF"/>
          <w:sz w:val="22"/>
          <w:szCs w:val="22"/>
          <w:lang w:val="en-GB"/>
        </w:rPr>
        <w:t xml:space="preserve">The UNICTRAL Model Law on Cross-Border Insolvency is an example of a multilateral step taken in the 21st century to promote the harmonization of domestic laws. It mandates cooperation and co-ordination of courts in an international insolvency setting. </w:t>
      </w:r>
    </w:p>
    <w:p w14:paraId="4FDFEB4F" w14:textId="77777777" w:rsidR="00DB2032" w:rsidRPr="00DB2032" w:rsidRDefault="00DB2032" w:rsidP="00DB2032">
      <w:pPr>
        <w:jc w:val="both"/>
        <w:rPr>
          <w:rFonts w:ascii="Avenir Next" w:hAnsi="Avenir Next" w:cs="Arial"/>
          <w:color w:val="7B7B7B" w:themeColor="accent3" w:themeShade="BF"/>
          <w:sz w:val="22"/>
          <w:szCs w:val="22"/>
          <w:lang w:val="en-GB"/>
        </w:rPr>
      </w:pPr>
      <w:r w:rsidRPr="00DB2032">
        <w:rPr>
          <w:rFonts w:ascii="Avenir Next" w:hAnsi="Avenir Next" w:cs="Arial"/>
          <w:color w:val="7B7B7B" w:themeColor="accent3" w:themeShade="BF"/>
          <w:sz w:val="22"/>
          <w:szCs w:val="22"/>
          <w:lang w:val="en-GB"/>
        </w:rPr>
        <w:t xml:space="preserve">The American Law Institute (ALI) adopted the NAFTA Transnational Insolvency Project to promote court-to-court communication in cross-border cases. The guidelines were set in 2001 and continue to guide local court approaches. </w:t>
      </w:r>
    </w:p>
    <w:p w14:paraId="0BC16C29" w14:textId="77777777" w:rsidR="00DB2032" w:rsidRDefault="00DB2032" w:rsidP="00DB2032">
      <w:pPr>
        <w:jc w:val="both"/>
        <w:rPr>
          <w:rFonts w:ascii="Avenir Next" w:hAnsi="Avenir Next" w:cs="Arial"/>
          <w:color w:val="7B7B7B" w:themeColor="accent3" w:themeShade="BF"/>
          <w:sz w:val="22"/>
          <w:szCs w:val="22"/>
          <w:lang w:val="en-GB"/>
        </w:rPr>
      </w:pPr>
    </w:p>
    <w:p w14:paraId="5C532830" w14:textId="27F8B841" w:rsidR="00DB2032" w:rsidRPr="00DB2032" w:rsidRDefault="00DB2032" w:rsidP="00DB2032">
      <w:pPr>
        <w:jc w:val="both"/>
        <w:rPr>
          <w:rFonts w:ascii="Avenir Next" w:hAnsi="Avenir Next" w:cs="Arial"/>
          <w:color w:val="7B7B7B" w:themeColor="accent3" w:themeShade="BF"/>
          <w:sz w:val="22"/>
          <w:szCs w:val="22"/>
          <w:lang w:val="en-GB"/>
        </w:rPr>
      </w:pPr>
      <w:r w:rsidRPr="00DB2032">
        <w:rPr>
          <w:rFonts w:ascii="Avenir Next" w:hAnsi="Avenir Next" w:cs="Arial"/>
          <w:color w:val="7B7B7B" w:themeColor="accent3" w:themeShade="BF"/>
          <w:sz w:val="22"/>
          <w:szCs w:val="22"/>
          <w:lang w:val="en-GB"/>
        </w:rPr>
        <w:t xml:space="preserve">The Judicial Insolvency Network comprises insolvency judges from across the globe who aim to provide leadership and guidance in the field of international insolvency laws. Their roles as guides of the principals of insolvency are vital in ensuring continuity in the field. </w:t>
      </w:r>
    </w:p>
    <w:p w14:paraId="4E83D7AF" w14:textId="6B853FF1" w:rsidR="00DF75F8" w:rsidRPr="00827D56" w:rsidRDefault="00DB2032" w:rsidP="00DB2032">
      <w:pPr>
        <w:jc w:val="both"/>
        <w:rPr>
          <w:rFonts w:ascii="Avenir Next" w:hAnsi="Avenir Next" w:cs="Arial"/>
          <w:sz w:val="22"/>
          <w:szCs w:val="22"/>
          <w:lang w:val="en-GB"/>
        </w:rPr>
      </w:pPr>
      <w:r w:rsidRPr="00DB2032">
        <w:rPr>
          <w:rFonts w:ascii="Avenir Next" w:hAnsi="Avenir Next" w:cs="Arial"/>
          <w:color w:val="7B7B7B" w:themeColor="accent3" w:themeShade="BF"/>
          <w:sz w:val="22"/>
          <w:szCs w:val="22"/>
          <w:lang w:val="en-GB"/>
        </w:rPr>
        <w:lastRenderedPageBreak/>
        <w:t>Other multilateral approaches include the UNICTRAL’s general colloquium Modernizing International Trade Law to Support Innovation and Sustainable Development, the International Institute for the Unification of Private Law, the International Lawyer Association, the International Bar Association, the International Insolvency Institute, and INSOL International</w:t>
      </w:r>
      <w:r>
        <w:rPr>
          <w:rFonts w:ascii="Avenir Next" w:hAnsi="Avenir Next" w:cs="Arial"/>
          <w:color w:val="7B7B7B" w:themeColor="accent3" w:themeShade="BF"/>
          <w:sz w:val="22"/>
          <w:szCs w:val="22"/>
          <w:lang w:val="en-GB"/>
        </w:rPr>
        <w:t>.</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3BD501D0" w14:textId="0BC7B500" w:rsidR="00827D56" w:rsidRPr="00827D56" w:rsidRDefault="00DB2032" w:rsidP="00C053F7">
      <w:pPr>
        <w:jc w:val="both"/>
        <w:rPr>
          <w:rFonts w:ascii="Avenir Next" w:hAnsi="Avenir Next" w:cs="Arial"/>
          <w:sz w:val="22"/>
          <w:szCs w:val="22"/>
          <w:lang w:val="en-GB"/>
        </w:rPr>
      </w:pPr>
      <w:r w:rsidRPr="00DB2032">
        <w:rPr>
          <w:rFonts w:ascii="Avenir Next" w:hAnsi="Avenir Next" w:cs="Arial"/>
          <w:color w:val="7B7B7B" w:themeColor="accent3" w:themeShade="BF"/>
          <w:sz w:val="22"/>
          <w:szCs w:val="22"/>
          <w:lang w:val="en-GB"/>
        </w:rPr>
        <w:t>Article 13 of the Act indicates that foreign creditors have the same rights to access proceedings as local creditors. The actions of foreign creditors are not to be ranked lower than those of local creditors. Therefore, the liquidator cannot stop Apex court action against Nadir in Utopia on this basis.</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1B5E2F08" w14:textId="210C3C7E" w:rsidR="002D3473" w:rsidRPr="00827D56" w:rsidRDefault="00DB2032" w:rsidP="00C053F7">
      <w:pPr>
        <w:autoSpaceDE w:val="0"/>
        <w:autoSpaceDN w:val="0"/>
        <w:adjustRightInd w:val="0"/>
        <w:spacing w:line="276" w:lineRule="auto"/>
        <w:jc w:val="both"/>
        <w:rPr>
          <w:rFonts w:ascii="Avenir Next" w:hAnsi="Avenir Next" w:cs="Arial"/>
          <w:sz w:val="22"/>
          <w:szCs w:val="22"/>
          <w:lang w:val="en-GB"/>
        </w:rPr>
      </w:pPr>
      <w:r w:rsidRPr="00DB2032">
        <w:rPr>
          <w:rFonts w:ascii="Avenir Next" w:hAnsi="Avenir Next" w:cs="Arial"/>
          <w:color w:val="7B7B7B" w:themeColor="accent3" w:themeShade="BF"/>
          <w:sz w:val="22"/>
          <w:szCs w:val="22"/>
          <w:lang w:val="en-GB"/>
        </w:rPr>
        <w:t>In scenario A, it would make a difference as the matter was not yet heard. In scenario B, the court order obtained would be effective in winding up as the proceedings take priority over the liquidation of the firm.</w:t>
      </w: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F701F34" w14:textId="77777777" w:rsidR="00DB2032" w:rsidRPr="00DB2032" w:rsidRDefault="00DB2032" w:rsidP="00DB2032">
      <w:pPr>
        <w:jc w:val="both"/>
        <w:rPr>
          <w:rFonts w:ascii="Avenir Next" w:hAnsi="Avenir Next" w:cs="Arial"/>
          <w:color w:val="7B7B7B" w:themeColor="accent3" w:themeShade="BF"/>
          <w:sz w:val="22"/>
          <w:szCs w:val="22"/>
          <w:lang w:val="en-GB"/>
        </w:rPr>
      </w:pPr>
      <w:r w:rsidRPr="00DB2032">
        <w:rPr>
          <w:rFonts w:ascii="Avenir Next" w:hAnsi="Avenir Next" w:cs="Arial"/>
          <w:color w:val="7B7B7B" w:themeColor="accent3" w:themeShade="BF"/>
          <w:sz w:val="22"/>
          <w:szCs w:val="22"/>
          <w:lang w:val="en-GB"/>
        </w:rPr>
        <w:t xml:space="preserve">The country selected is the United Kingdom. The four international insolvency issues facing the representative in this scenario include starting proceedings in a foreign state, the presence of assets in different states, the presence of creditors in different states, and the jurisdiction of a court to order insolvency proceedings in a different state. </w:t>
      </w:r>
    </w:p>
    <w:p w14:paraId="67385AD6" w14:textId="77777777" w:rsidR="00DB2032" w:rsidRDefault="00DB2032" w:rsidP="00DB2032">
      <w:pPr>
        <w:jc w:val="both"/>
        <w:rPr>
          <w:rFonts w:ascii="Avenir Next" w:hAnsi="Avenir Next" w:cs="Arial"/>
          <w:color w:val="7B7B7B" w:themeColor="accent3" w:themeShade="BF"/>
          <w:sz w:val="22"/>
          <w:szCs w:val="22"/>
          <w:lang w:val="en-GB"/>
        </w:rPr>
      </w:pPr>
    </w:p>
    <w:p w14:paraId="35D8F287" w14:textId="7E2186AB" w:rsidR="0077498C" w:rsidRPr="00827D56" w:rsidRDefault="00DB2032" w:rsidP="00DB2032">
      <w:pPr>
        <w:jc w:val="both"/>
        <w:rPr>
          <w:rFonts w:ascii="Avenir Next" w:hAnsi="Avenir Next" w:cs="Arial"/>
          <w:color w:val="000000" w:themeColor="text1"/>
          <w:sz w:val="22"/>
          <w:szCs w:val="22"/>
          <w:lang w:val="en-GB"/>
        </w:rPr>
      </w:pPr>
      <w:r w:rsidRPr="00DB2032">
        <w:rPr>
          <w:rFonts w:ascii="Avenir Next" w:hAnsi="Avenir Next" w:cs="Arial"/>
          <w:color w:val="7B7B7B" w:themeColor="accent3" w:themeShade="BF"/>
          <w:sz w:val="22"/>
          <w:szCs w:val="22"/>
          <w:lang w:val="en-GB"/>
        </w:rPr>
        <w:t>Regarding the jurisdiction of a foreign court to order proceedings in a different state, the EU Cross-Border Insolvency Court-to-Court Communications Guidelines (2014) is in place to ensure effective communication across the two jurisdictions. Regarding starting proceedings in a different state, the international instrument is the UNICTRAL Model Law on Cross-Border Insolvency. Regarding the presence of assets in different states, the Enterprise Act 2002 is in place to facilitate the same. Lastly, regarding the presence of creditors in different states, the UNICTRAL Model Law on Cross-Border Insolvency applies</w:t>
      </w: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FF28" w14:textId="77777777" w:rsidR="0070651F" w:rsidRDefault="0070651F" w:rsidP="00241B44">
      <w:r>
        <w:separator/>
      </w:r>
    </w:p>
  </w:endnote>
  <w:endnote w:type="continuationSeparator" w:id="0">
    <w:p w14:paraId="2F1260FE" w14:textId="77777777" w:rsidR="0070651F" w:rsidRDefault="0070651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78A5E58B" w:rsidR="00AD6A7D" w:rsidRPr="009634F4" w:rsidRDefault="00C15546" w:rsidP="00AD6A7D">
    <w:pPr>
      <w:pStyle w:val="Footer"/>
      <w:ind w:right="360"/>
      <w:rPr>
        <w:rFonts w:ascii="Avenir Next" w:hAnsi="Avenir Next" w:cs="Arial"/>
        <w:sz w:val="22"/>
        <w:szCs w:val="22"/>
      </w:rPr>
    </w:pPr>
    <w:r>
      <w:rPr>
        <w:rFonts w:ascii="Avenir Next" w:hAnsi="Avenir Next" w:cs="Arial"/>
        <w:sz w:val="22"/>
        <w:szCs w:val="22"/>
      </w:rPr>
      <w:t>623</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5A57" w14:textId="77777777" w:rsidR="0070651F" w:rsidRDefault="0070651F" w:rsidP="00241B44">
      <w:r>
        <w:separator/>
      </w:r>
    </w:p>
  </w:footnote>
  <w:footnote w:type="continuationSeparator" w:id="0">
    <w:p w14:paraId="227A814E" w14:textId="77777777" w:rsidR="0070651F" w:rsidRDefault="0070651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09668994">
    <w:abstractNumId w:val="17"/>
  </w:num>
  <w:num w:numId="2" w16cid:durableId="1024088673">
    <w:abstractNumId w:val="19"/>
  </w:num>
  <w:num w:numId="3" w16cid:durableId="1846018135">
    <w:abstractNumId w:val="5"/>
  </w:num>
  <w:num w:numId="4" w16cid:durableId="1810171532">
    <w:abstractNumId w:val="2"/>
  </w:num>
  <w:num w:numId="5" w16cid:durableId="1764646013">
    <w:abstractNumId w:val="8"/>
  </w:num>
  <w:num w:numId="6" w16cid:durableId="144245188">
    <w:abstractNumId w:val="14"/>
  </w:num>
  <w:num w:numId="7" w16cid:durableId="555315706">
    <w:abstractNumId w:val="20"/>
  </w:num>
  <w:num w:numId="8" w16cid:durableId="907223796">
    <w:abstractNumId w:val="13"/>
  </w:num>
  <w:num w:numId="9" w16cid:durableId="1440561255">
    <w:abstractNumId w:val="4"/>
  </w:num>
  <w:num w:numId="10" w16cid:durableId="1495147359">
    <w:abstractNumId w:val="7"/>
  </w:num>
  <w:num w:numId="11" w16cid:durableId="69814539">
    <w:abstractNumId w:val="6"/>
  </w:num>
  <w:num w:numId="12" w16cid:durableId="1395620361">
    <w:abstractNumId w:val="3"/>
  </w:num>
  <w:num w:numId="13" w16cid:durableId="715010944">
    <w:abstractNumId w:val="11"/>
  </w:num>
  <w:num w:numId="14" w16cid:durableId="333652426">
    <w:abstractNumId w:val="0"/>
  </w:num>
  <w:num w:numId="15" w16cid:durableId="791901023">
    <w:abstractNumId w:val="1"/>
  </w:num>
  <w:num w:numId="16" w16cid:durableId="1469206921">
    <w:abstractNumId w:val="12"/>
  </w:num>
  <w:num w:numId="17" w16cid:durableId="999691959">
    <w:abstractNumId w:val="10"/>
  </w:num>
  <w:num w:numId="18" w16cid:durableId="805053761">
    <w:abstractNumId w:val="18"/>
  </w:num>
  <w:num w:numId="19" w16cid:durableId="1287277905">
    <w:abstractNumId w:val="15"/>
  </w:num>
  <w:num w:numId="20" w16cid:durableId="303782710">
    <w:abstractNumId w:val="21"/>
  </w:num>
  <w:num w:numId="21" w16cid:durableId="1882329133">
    <w:abstractNumId w:val="16"/>
  </w:num>
  <w:num w:numId="22" w16cid:durableId="103692755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E481A"/>
    <w:rsid w:val="006E5298"/>
    <w:rsid w:val="006F734A"/>
    <w:rsid w:val="00700D83"/>
    <w:rsid w:val="0070651F"/>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15546"/>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032"/>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D1450"/>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Alice</cp:lastModifiedBy>
  <cp:revision>3</cp:revision>
  <cp:lastPrinted>2019-09-04T15:45:00Z</cp:lastPrinted>
  <dcterms:created xsi:type="dcterms:W3CDTF">2022-10-15T20:31:00Z</dcterms:created>
  <dcterms:modified xsi:type="dcterms:W3CDTF">2022-10-15T20:54:00Z</dcterms:modified>
</cp:coreProperties>
</file>