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25FD0D1F"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F75A15" w:rsidRDefault="00B736DF" w:rsidP="009E1027">
      <w:pPr>
        <w:pStyle w:val="ListParagraph"/>
        <w:numPr>
          <w:ilvl w:val="0"/>
          <w:numId w:val="12"/>
        </w:numPr>
        <w:ind w:left="426"/>
        <w:jc w:val="both"/>
        <w:rPr>
          <w:rFonts w:ascii="Avenir Next" w:hAnsi="Avenir Next" w:cs="Arial"/>
          <w:sz w:val="22"/>
          <w:szCs w:val="22"/>
          <w:highlight w:val="yellow"/>
          <w:lang w:val="en-GB"/>
        </w:rPr>
      </w:pPr>
      <w:r w:rsidRPr="00F75A15">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443677" w:rsidRDefault="00161F1B" w:rsidP="009E1027">
      <w:pPr>
        <w:pStyle w:val="ListParagraph"/>
        <w:numPr>
          <w:ilvl w:val="0"/>
          <w:numId w:val="13"/>
        </w:numPr>
        <w:ind w:left="426"/>
        <w:jc w:val="both"/>
        <w:rPr>
          <w:rFonts w:ascii="Avenir Next" w:hAnsi="Avenir Next" w:cs="Arial"/>
          <w:sz w:val="22"/>
          <w:szCs w:val="22"/>
          <w:highlight w:val="yellow"/>
          <w:lang w:val="en-GB"/>
        </w:rPr>
      </w:pPr>
      <w:r w:rsidRPr="00443677">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BF3D81" w:rsidRDefault="009E2E27" w:rsidP="008031A7">
      <w:pPr>
        <w:pStyle w:val="ListParagraph"/>
        <w:numPr>
          <w:ilvl w:val="0"/>
          <w:numId w:val="14"/>
        </w:numPr>
        <w:ind w:left="426"/>
        <w:jc w:val="both"/>
        <w:rPr>
          <w:rFonts w:ascii="Avenir Next" w:hAnsi="Avenir Next" w:cs="Arial"/>
          <w:sz w:val="22"/>
          <w:szCs w:val="22"/>
          <w:highlight w:val="yellow"/>
          <w:lang w:val="en-GB"/>
        </w:rPr>
      </w:pPr>
      <w:r w:rsidRPr="00BF3D81">
        <w:rPr>
          <w:rFonts w:ascii="Avenir Next" w:hAnsi="Avenir Next" w:cs="Arial"/>
          <w:sz w:val="22"/>
          <w:szCs w:val="22"/>
          <w:highlight w:val="yellow"/>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5C3656" w:rsidRDefault="009E2E27" w:rsidP="008031A7">
      <w:pPr>
        <w:pStyle w:val="ListParagraph"/>
        <w:numPr>
          <w:ilvl w:val="0"/>
          <w:numId w:val="15"/>
        </w:numPr>
        <w:ind w:left="426"/>
        <w:jc w:val="both"/>
        <w:rPr>
          <w:rFonts w:ascii="Avenir Next" w:hAnsi="Avenir Next" w:cs="Arial"/>
          <w:sz w:val="22"/>
          <w:szCs w:val="22"/>
          <w:highlight w:val="yellow"/>
          <w:lang w:val="en-GB"/>
        </w:rPr>
      </w:pPr>
      <w:r w:rsidRPr="005C3656">
        <w:rPr>
          <w:rFonts w:ascii="Avenir Next" w:hAnsi="Avenir Next" w:cs="Arial"/>
          <w:sz w:val="22"/>
          <w:szCs w:val="22"/>
          <w:highlight w:val="yellow"/>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926531" w:rsidRDefault="00A235B7" w:rsidP="006D01C2">
      <w:pPr>
        <w:pStyle w:val="ListParagraph"/>
        <w:numPr>
          <w:ilvl w:val="0"/>
          <w:numId w:val="16"/>
        </w:numPr>
        <w:ind w:left="426"/>
        <w:jc w:val="both"/>
        <w:rPr>
          <w:rFonts w:ascii="Avenir Next" w:hAnsi="Avenir Next" w:cs="Arial"/>
          <w:sz w:val="22"/>
          <w:szCs w:val="22"/>
          <w:highlight w:val="yellow"/>
          <w:lang w:val="en-GB"/>
        </w:rPr>
      </w:pPr>
      <w:r w:rsidRPr="00926531">
        <w:rPr>
          <w:rFonts w:ascii="Avenir Next" w:hAnsi="Avenir Next" w:cs="Arial"/>
          <w:sz w:val="22"/>
          <w:szCs w:val="22"/>
          <w:highlight w:val="yellow"/>
          <w:lang w:val="en-GB"/>
        </w:rPr>
        <w:t>The statement</w:t>
      </w:r>
      <w:r w:rsidR="0037465A" w:rsidRPr="00926531">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AF3FD8"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AF3FD8">
        <w:rPr>
          <w:rFonts w:ascii="Avenir Next" w:eastAsiaTheme="minorHAnsi" w:hAnsi="Avenir Next" w:cs="Arial"/>
          <w:sz w:val="22"/>
          <w:szCs w:val="22"/>
          <w:highlight w:val="yellow"/>
          <w:lang w:val="en-GB"/>
        </w:rPr>
        <w:t>Public International Law</w:t>
      </w:r>
      <w:r w:rsidR="00991428" w:rsidRPr="00AF3FD8">
        <w:rPr>
          <w:rFonts w:ascii="Avenir Next" w:eastAsiaTheme="minorHAnsi" w:hAnsi="Avenir Next" w:cs="Arial"/>
          <w:sz w:val="22"/>
          <w:szCs w:val="22"/>
          <w:highlight w:val="yellow"/>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Private International Law</w:t>
      </w:r>
      <w:r w:rsidR="00991428" w:rsidRPr="00827D56">
        <w:rPr>
          <w:rFonts w:ascii="Avenir Next" w:eastAsiaTheme="minorHAnsi" w:hAnsi="Avenir Next" w:cs="Arial"/>
          <w:sz w:val="22"/>
          <w:szCs w:val="22"/>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19026D" w:rsidRDefault="004D1A5A" w:rsidP="006D01C2">
      <w:pPr>
        <w:pStyle w:val="ListParagraph"/>
        <w:numPr>
          <w:ilvl w:val="0"/>
          <w:numId w:val="18"/>
        </w:numPr>
        <w:ind w:left="426"/>
        <w:jc w:val="both"/>
        <w:rPr>
          <w:rFonts w:ascii="Avenir Next" w:hAnsi="Avenir Next" w:cs="Arial"/>
          <w:sz w:val="22"/>
          <w:szCs w:val="22"/>
          <w:highlight w:val="yellow"/>
          <w:lang w:val="en-GB"/>
        </w:rPr>
      </w:pPr>
      <w:r w:rsidRPr="0019026D">
        <w:rPr>
          <w:rFonts w:ascii="Avenir Next" w:hAnsi="Avenir Next" w:cs="Arial"/>
          <w:sz w:val="22"/>
          <w:szCs w:val="22"/>
          <w:highlight w:val="yellow"/>
          <w:lang w:val="en-GB"/>
        </w:rPr>
        <w:t>UNCITRAL Model Law on Cross-border Insolvency (1997)</w:t>
      </w:r>
      <w:r w:rsidR="00912C79" w:rsidRPr="0019026D">
        <w:rPr>
          <w:rFonts w:ascii="Avenir Next" w:hAnsi="Avenir Next" w:cs="Arial"/>
          <w:sz w:val="22"/>
          <w:szCs w:val="22"/>
          <w:highlight w:val="yellow"/>
          <w:lang w:val="en-GB"/>
        </w:rPr>
        <w:t>.</w:t>
      </w:r>
      <w:r w:rsidRPr="0019026D">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3E6D64D4" w14:textId="13506B93" w:rsidR="00827D56" w:rsidRPr="00AC18DA" w:rsidRDefault="005A0CCA" w:rsidP="00AC18DA">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247C4D" w:rsidRDefault="001A7E9A" w:rsidP="006D01C2">
      <w:pPr>
        <w:pStyle w:val="ListParagraph"/>
        <w:numPr>
          <w:ilvl w:val="0"/>
          <w:numId w:val="19"/>
        </w:numPr>
        <w:ind w:left="426"/>
        <w:jc w:val="both"/>
        <w:rPr>
          <w:rFonts w:ascii="Avenir Next" w:hAnsi="Avenir Next" w:cs="Arial"/>
          <w:sz w:val="22"/>
          <w:szCs w:val="22"/>
          <w:lang w:val="en-GB"/>
        </w:rPr>
      </w:pPr>
      <w:r w:rsidRPr="00247C4D">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247C4D"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247C4D">
        <w:rPr>
          <w:rFonts w:ascii="Avenir Next" w:hAnsi="Avenir Next" w:cs="Arial"/>
          <w:sz w:val="22"/>
          <w:szCs w:val="22"/>
          <w:highlight w:val="yellow"/>
          <w:lang w:val="en-GB"/>
        </w:rPr>
        <w:t>Havana Convention on Private International Law (1928)</w:t>
      </w:r>
      <w:r w:rsidRPr="00247C4D">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EC0564" w:rsidRDefault="0082483F" w:rsidP="006D01C2">
      <w:pPr>
        <w:pStyle w:val="ListParagraph"/>
        <w:numPr>
          <w:ilvl w:val="0"/>
          <w:numId w:val="20"/>
        </w:numPr>
        <w:ind w:left="426"/>
        <w:jc w:val="both"/>
        <w:rPr>
          <w:rFonts w:ascii="Avenir Next" w:hAnsi="Avenir Next" w:cs="Arial"/>
          <w:sz w:val="22"/>
          <w:szCs w:val="22"/>
          <w:highlight w:val="yellow"/>
          <w:lang w:val="en-GB"/>
        </w:rPr>
      </w:pPr>
      <w:r w:rsidRPr="00EC0564">
        <w:rPr>
          <w:rFonts w:ascii="Avenir Next" w:hAnsi="Avenir Next" w:cs="Arial"/>
          <w:sz w:val="22"/>
          <w:szCs w:val="22"/>
          <w:highlight w:val="yellow"/>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A centralised insolvency register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307B8"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8307B8">
        <w:rPr>
          <w:rFonts w:ascii="Avenir Next" w:eastAsiaTheme="minorHAnsi" w:hAnsi="Avenir Next" w:cs="Arial"/>
          <w:sz w:val="22"/>
          <w:szCs w:val="22"/>
          <w:highlight w:val="yellow"/>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22C610C9" w14:textId="7066E698" w:rsidR="00DE03AF" w:rsidRPr="00827D56" w:rsidRDefault="00A877E4" w:rsidP="00AC18DA">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International </w:t>
      </w:r>
      <w:r w:rsidR="00D919C0">
        <w:rPr>
          <w:rFonts w:ascii="Avenir Next" w:hAnsi="Avenir Next" w:cs="Arial"/>
          <w:color w:val="7B7B7B" w:themeColor="accent3" w:themeShade="BF"/>
          <w:sz w:val="22"/>
          <w:szCs w:val="22"/>
          <w:lang w:val="en-GB"/>
        </w:rPr>
        <w:t>I</w:t>
      </w:r>
      <w:r>
        <w:rPr>
          <w:rFonts w:ascii="Avenir Next" w:hAnsi="Avenir Next" w:cs="Arial"/>
          <w:color w:val="7B7B7B" w:themeColor="accent3" w:themeShade="BF"/>
          <w:sz w:val="22"/>
          <w:szCs w:val="22"/>
          <w:lang w:val="en-GB"/>
        </w:rPr>
        <w:t xml:space="preserve">nsolvency </w:t>
      </w:r>
      <w:r w:rsidR="00D919C0">
        <w:rPr>
          <w:rFonts w:ascii="Avenir Next" w:hAnsi="Avenir Next" w:cs="Arial"/>
          <w:color w:val="7B7B7B" w:themeColor="accent3" w:themeShade="BF"/>
          <w:sz w:val="22"/>
          <w:szCs w:val="22"/>
          <w:lang w:val="en-GB"/>
        </w:rPr>
        <w:t>L</w:t>
      </w:r>
      <w:r>
        <w:rPr>
          <w:rFonts w:ascii="Avenir Next" w:hAnsi="Avenir Next" w:cs="Arial"/>
          <w:color w:val="7B7B7B" w:themeColor="accent3" w:themeShade="BF"/>
          <w:sz w:val="22"/>
          <w:szCs w:val="22"/>
          <w:lang w:val="en-GB"/>
        </w:rPr>
        <w:t>aw i</w:t>
      </w:r>
      <w:r w:rsidR="001B3C01">
        <w:rPr>
          <w:rFonts w:ascii="Avenir Next" w:hAnsi="Avenir Next" w:cs="Arial"/>
          <w:color w:val="7B7B7B" w:themeColor="accent3" w:themeShade="BF"/>
          <w:sz w:val="22"/>
          <w:szCs w:val="22"/>
          <w:lang w:val="en-GB"/>
        </w:rPr>
        <w:t xml:space="preserve">s </w:t>
      </w:r>
      <w:r w:rsidR="00C62B52">
        <w:rPr>
          <w:rFonts w:ascii="Avenir Next" w:hAnsi="Avenir Next" w:cs="Arial"/>
          <w:color w:val="7B7B7B" w:themeColor="accent3" w:themeShade="BF"/>
          <w:sz w:val="22"/>
          <w:szCs w:val="22"/>
          <w:lang w:val="en-GB"/>
        </w:rPr>
        <w:t xml:space="preserve">a </w:t>
      </w:r>
      <w:r w:rsidR="001B3C01">
        <w:rPr>
          <w:rFonts w:ascii="Avenir Next" w:hAnsi="Avenir Next" w:cs="Arial"/>
          <w:color w:val="7B7B7B" w:themeColor="accent3" w:themeShade="BF"/>
          <w:sz w:val="22"/>
          <w:szCs w:val="22"/>
          <w:lang w:val="en-GB"/>
        </w:rPr>
        <w:t>term</w:t>
      </w:r>
      <w:r w:rsidR="00C62B52">
        <w:rPr>
          <w:rFonts w:ascii="Avenir Next" w:hAnsi="Avenir Next" w:cs="Arial"/>
          <w:color w:val="7B7B7B" w:themeColor="accent3" w:themeShade="BF"/>
          <w:sz w:val="22"/>
          <w:szCs w:val="22"/>
          <w:lang w:val="en-GB"/>
        </w:rPr>
        <w:t xml:space="preserve"> </w:t>
      </w:r>
      <w:r w:rsidR="00C05AFA">
        <w:rPr>
          <w:rFonts w:ascii="Avenir Next" w:hAnsi="Avenir Next" w:cs="Arial"/>
          <w:color w:val="7B7B7B" w:themeColor="accent3" w:themeShade="BF"/>
          <w:sz w:val="22"/>
          <w:szCs w:val="22"/>
          <w:lang w:val="en-GB"/>
        </w:rPr>
        <w:t>that</w:t>
      </w:r>
      <w:r w:rsidR="00C62B52">
        <w:rPr>
          <w:rFonts w:ascii="Avenir Next" w:hAnsi="Avenir Next" w:cs="Arial"/>
          <w:color w:val="7B7B7B" w:themeColor="accent3" w:themeShade="BF"/>
          <w:sz w:val="22"/>
          <w:szCs w:val="22"/>
          <w:lang w:val="en-GB"/>
        </w:rPr>
        <w:t xml:space="preserve"> </w:t>
      </w:r>
      <w:r w:rsidR="004E77EB">
        <w:rPr>
          <w:rFonts w:ascii="Avenir Next" w:hAnsi="Avenir Next" w:cs="Arial"/>
          <w:color w:val="7B7B7B" w:themeColor="accent3" w:themeShade="BF"/>
          <w:sz w:val="22"/>
          <w:szCs w:val="22"/>
          <w:lang w:val="en-GB"/>
        </w:rPr>
        <w:t xml:space="preserve">encompasses the </w:t>
      </w:r>
      <w:r w:rsidR="00C05AFA">
        <w:rPr>
          <w:rFonts w:ascii="Avenir Next" w:hAnsi="Avenir Next" w:cs="Arial"/>
          <w:color w:val="7B7B7B" w:themeColor="accent3" w:themeShade="BF"/>
          <w:sz w:val="22"/>
          <w:szCs w:val="22"/>
          <w:lang w:val="en-GB"/>
        </w:rPr>
        <w:t>regulations by which</w:t>
      </w:r>
      <w:r w:rsidR="00D3587B">
        <w:rPr>
          <w:rFonts w:ascii="Avenir Next" w:hAnsi="Avenir Next" w:cs="Arial"/>
          <w:color w:val="7B7B7B" w:themeColor="accent3" w:themeShade="BF"/>
          <w:sz w:val="22"/>
          <w:szCs w:val="22"/>
          <w:lang w:val="en-GB"/>
        </w:rPr>
        <w:t xml:space="preserve"> differing</w:t>
      </w:r>
      <w:r w:rsidR="00F51B32">
        <w:rPr>
          <w:rFonts w:ascii="Avenir Next" w:hAnsi="Avenir Next" w:cs="Arial"/>
          <w:color w:val="7B7B7B" w:themeColor="accent3" w:themeShade="BF"/>
          <w:sz w:val="22"/>
          <w:szCs w:val="22"/>
          <w:lang w:val="en-GB"/>
        </w:rPr>
        <w:t xml:space="preserve"> jurisdictions</w:t>
      </w:r>
      <w:r w:rsidR="0076590F">
        <w:rPr>
          <w:rFonts w:ascii="Avenir Next" w:hAnsi="Avenir Next" w:cs="Arial"/>
          <w:color w:val="7B7B7B" w:themeColor="accent3" w:themeShade="BF"/>
          <w:sz w:val="22"/>
          <w:szCs w:val="22"/>
          <w:lang w:val="en-GB"/>
        </w:rPr>
        <w:t xml:space="preserve"> use to </w:t>
      </w:r>
      <w:r w:rsidR="00D20CAB">
        <w:rPr>
          <w:rFonts w:ascii="Avenir Next" w:hAnsi="Avenir Next" w:cs="Arial"/>
          <w:color w:val="7B7B7B" w:themeColor="accent3" w:themeShade="BF"/>
          <w:sz w:val="22"/>
          <w:szCs w:val="22"/>
          <w:lang w:val="en-GB"/>
        </w:rPr>
        <w:t xml:space="preserve">invoke </w:t>
      </w:r>
      <w:r w:rsidR="007154CE">
        <w:rPr>
          <w:rFonts w:ascii="Avenir Next" w:hAnsi="Avenir Next" w:cs="Arial"/>
          <w:color w:val="7B7B7B" w:themeColor="accent3" w:themeShade="BF"/>
          <w:sz w:val="22"/>
          <w:szCs w:val="22"/>
          <w:lang w:val="en-GB"/>
        </w:rPr>
        <w:t>insolvency proceedings</w:t>
      </w:r>
      <w:r w:rsidR="00D5520B">
        <w:rPr>
          <w:rFonts w:ascii="Avenir Next" w:hAnsi="Avenir Next" w:cs="Arial"/>
          <w:color w:val="7B7B7B" w:themeColor="accent3" w:themeShade="BF"/>
          <w:sz w:val="22"/>
          <w:szCs w:val="22"/>
          <w:lang w:val="en-GB"/>
        </w:rPr>
        <w:t>. The rules and regulations</w:t>
      </w:r>
      <w:r w:rsidR="0076590F">
        <w:rPr>
          <w:rFonts w:ascii="Avenir Next" w:hAnsi="Avenir Next" w:cs="Arial"/>
          <w:color w:val="7B7B7B" w:themeColor="accent3" w:themeShade="BF"/>
          <w:sz w:val="22"/>
          <w:szCs w:val="22"/>
          <w:lang w:val="en-GB"/>
        </w:rPr>
        <w:t xml:space="preserve"> that are</w:t>
      </w:r>
      <w:r w:rsidR="00236C65">
        <w:rPr>
          <w:rFonts w:ascii="Avenir Next" w:hAnsi="Avenir Next" w:cs="Arial"/>
          <w:color w:val="7B7B7B" w:themeColor="accent3" w:themeShade="BF"/>
          <w:sz w:val="22"/>
          <w:szCs w:val="22"/>
          <w:lang w:val="en-GB"/>
        </w:rPr>
        <w:t xml:space="preserve"> referenced when </w:t>
      </w:r>
      <w:r w:rsidR="000D237F">
        <w:rPr>
          <w:rFonts w:ascii="Avenir Next" w:hAnsi="Avenir Next" w:cs="Arial"/>
          <w:color w:val="7B7B7B" w:themeColor="accent3" w:themeShade="BF"/>
          <w:sz w:val="22"/>
          <w:szCs w:val="22"/>
          <w:lang w:val="en-GB"/>
        </w:rPr>
        <w:t xml:space="preserve">the </w:t>
      </w:r>
      <w:r w:rsidR="00236C65">
        <w:rPr>
          <w:rFonts w:ascii="Avenir Next" w:hAnsi="Avenir Next" w:cs="Arial"/>
          <w:color w:val="7B7B7B" w:themeColor="accent3" w:themeShade="BF"/>
          <w:sz w:val="22"/>
          <w:szCs w:val="22"/>
          <w:lang w:val="en-GB"/>
        </w:rPr>
        <w:t xml:space="preserve">term is used </w:t>
      </w:r>
      <w:r w:rsidR="009C51BD">
        <w:rPr>
          <w:rFonts w:ascii="Avenir Next" w:hAnsi="Avenir Next" w:cs="Arial"/>
          <w:color w:val="7B7B7B" w:themeColor="accent3" w:themeShade="BF"/>
          <w:sz w:val="22"/>
          <w:szCs w:val="22"/>
          <w:lang w:val="en-GB"/>
        </w:rPr>
        <w:t xml:space="preserve">must </w:t>
      </w:r>
      <w:r w:rsidR="00AE333A">
        <w:rPr>
          <w:rFonts w:ascii="Avenir Next" w:hAnsi="Avenir Next" w:cs="Arial"/>
          <w:color w:val="7B7B7B" w:themeColor="accent3" w:themeShade="BF"/>
          <w:sz w:val="22"/>
          <w:szCs w:val="22"/>
          <w:lang w:val="en-GB"/>
        </w:rPr>
        <w:t xml:space="preserve">consider those of </w:t>
      </w:r>
      <w:r w:rsidR="004339D9">
        <w:rPr>
          <w:rFonts w:ascii="Avenir Next" w:hAnsi="Avenir Next" w:cs="Arial"/>
          <w:color w:val="7B7B7B" w:themeColor="accent3" w:themeShade="BF"/>
          <w:sz w:val="22"/>
          <w:szCs w:val="22"/>
          <w:lang w:val="en-GB"/>
        </w:rPr>
        <w:t xml:space="preserve">the relevant </w:t>
      </w:r>
      <w:r w:rsidR="00AE333A">
        <w:rPr>
          <w:rFonts w:ascii="Avenir Next" w:hAnsi="Avenir Next" w:cs="Arial"/>
          <w:color w:val="7B7B7B" w:themeColor="accent3" w:themeShade="BF"/>
          <w:sz w:val="22"/>
          <w:szCs w:val="22"/>
          <w:lang w:val="en-GB"/>
        </w:rPr>
        <w:t xml:space="preserve">international </w:t>
      </w:r>
      <w:r w:rsidR="0063128C">
        <w:rPr>
          <w:rFonts w:ascii="Avenir Next" w:hAnsi="Avenir Next" w:cs="Arial"/>
          <w:color w:val="7B7B7B" w:themeColor="accent3" w:themeShade="BF"/>
          <w:sz w:val="22"/>
          <w:szCs w:val="22"/>
          <w:lang w:val="en-GB"/>
        </w:rPr>
        <w:t>jurisdiction</w:t>
      </w:r>
      <w:r w:rsidR="007A5697">
        <w:rPr>
          <w:rFonts w:ascii="Avenir Next" w:hAnsi="Avenir Next" w:cs="Arial"/>
          <w:color w:val="7B7B7B" w:themeColor="accent3" w:themeShade="BF"/>
          <w:sz w:val="22"/>
          <w:szCs w:val="22"/>
          <w:lang w:val="en-GB"/>
        </w:rPr>
        <w:t>(s)</w:t>
      </w:r>
      <w:r w:rsidR="0063128C">
        <w:rPr>
          <w:rFonts w:ascii="Avenir Next" w:hAnsi="Avenir Next" w:cs="Arial"/>
          <w:color w:val="7B7B7B" w:themeColor="accent3" w:themeShade="BF"/>
          <w:sz w:val="22"/>
          <w:szCs w:val="22"/>
          <w:lang w:val="en-GB"/>
        </w:rPr>
        <w:t xml:space="preserve"> </w:t>
      </w:r>
      <w:r w:rsidR="003461FF">
        <w:rPr>
          <w:rFonts w:ascii="Avenir Next" w:hAnsi="Avenir Next" w:cs="Arial"/>
          <w:color w:val="7B7B7B" w:themeColor="accent3" w:themeShade="BF"/>
          <w:sz w:val="22"/>
          <w:szCs w:val="22"/>
          <w:lang w:val="en-GB"/>
        </w:rPr>
        <w:t xml:space="preserve">prior to </w:t>
      </w:r>
      <w:r w:rsidR="001C1A15">
        <w:rPr>
          <w:rFonts w:ascii="Avenir Next" w:hAnsi="Avenir Next" w:cs="Arial"/>
          <w:color w:val="7B7B7B" w:themeColor="accent3" w:themeShade="BF"/>
          <w:sz w:val="22"/>
          <w:szCs w:val="22"/>
          <w:lang w:val="en-GB"/>
        </w:rPr>
        <w:t>determining what law</w:t>
      </w:r>
      <w:r w:rsidR="002E5E27">
        <w:rPr>
          <w:rFonts w:ascii="Avenir Next" w:hAnsi="Avenir Next" w:cs="Arial"/>
          <w:color w:val="7B7B7B" w:themeColor="accent3" w:themeShade="BF"/>
          <w:sz w:val="22"/>
          <w:szCs w:val="22"/>
          <w:lang w:val="en-GB"/>
        </w:rPr>
        <w:t>(s)</w:t>
      </w:r>
      <w:r w:rsidR="001C1A15">
        <w:rPr>
          <w:rFonts w:ascii="Avenir Next" w:hAnsi="Avenir Next" w:cs="Arial"/>
          <w:color w:val="7B7B7B" w:themeColor="accent3" w:themeShade="BF"/>
          <w:sz w:val="22"/>
          <w:szCs w:val="22"/>
          <w:lang w:val="en-GB"/>
        </w:rPr>
        <w:t xml:space="preserve"> is best to</w:t>
      </w:r>
      <w:r w:rsidR="007031E1">
        <w:rPr>
          <w:rFonts w:ascii="Avenir Next" w:hAnsi="Avenir Next" w:cs="Arial"/>
          <w:color w:val="7B7B7B" w:themeColor="accent3" w:themeShade="BF"/>
          <w:sz w:val="22"/>
          <w:szCs w:val="22"/>
          <w:lang w:val="en-GB"/>
        </w:rPr>
        <w:t xml:space="preserve"> </w:t>
      </w:r>
      <w:r w:rsidR="002E5E27">
        <w:rPr>
          <w:rFonts w:ascii="Avenir Next" w:hAnsi="Avenir Next" w:cs="Arial"/>
          <w:color w:val="7B7B7B" w:themeColor="accent3" w:themeShade="BF"/>
          <w:sz w:val="22"/>
          <w:szCs w:val="22"/>
          <w:lang w:val="en-GB"/>
        </w:rPr>
        <w:t>apply</w:t>
      </w:r>
      <w:r w:rsidR="00696876">
        <w:rPr>
          <w:rFonts w:ascii="Avenir Next" w:hAnsi="Avenir Next" w:cs="Arial"/>
          <w:color w:val="7B7B7B" w:themeColor="accent3" w:themeShade="BF"/>
          <w:sz w:val="22"/>
          <w:szCs w:val="22"/>
          <w:lang w:val="en-GB"/>
        </w:rPr>
        <w:t>.</w:t>
      </w:r>
    </w:p>
    <w:p w14:paraId="505ABC23" w14:textId="4EDE94FC" w:rsidR="00D17FDC" w:rsidRDefault="00D17FDC" w:rsidP="00C053F7">
      <w:pPr>
        <w:jc w:val="both"/>
        <w:rPr>
          <w:rFonts w:ascii="Avenir Next" w:hAnsi="Avenir Next" w:cs="Arial"/>
          <w:sz w:val="22"/>
          <w:szCs w:val="22"/>
          <w:lang w:val="en-GB"/>
        </w:rPr>
      </w:pPr>
    </w:p>
    <w:p w14:paraId="4C0679AA" w14:textId="77777777" w:rsidR="00AC18DA" w:rsidRPr="00827D56" w:rsidRDefault="00AC18DA"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2AE7BCF7" w14:textId="7AC41971" w:rsidR="003D02F6" w:rsidRPr="00CE0333" w:rsidRDefault="00696876" w:rsidP="00CE0333">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Universality is</w:t>
      </w:r>
      <w:r w:rsidR="00E5766E">
        <w:rPr>
          <w:rFonts w:ascii="Avenir Next" w:hAnsi="Avenir Next" w:cs="Arial"/>
          <w:color w:val="7B7B7B" w:themeColor="accent3" w:themeShade="BF"/>
          <w:sz w:val="22"/>
          <w:szCs w:val="22"/>
          <w:lang w:val="en-GB"/>
        </w:rPr>
        <w:t xml:space="preserve"> the concept </w:t>
      </w:r>
      <w:r w:rsidR="00F77683">
        <w:rPr>
          <w:rFonts w:ascii="Avenir Next" w:hAnsi="Avenir Next" w:cs="Arial"/>
          <w:color w:val="7B7B7B" w:themeColor="accent3" w:themeShade="BF"/>
          <w:sz w:val="22"/>
          <w:szCs w:val="22"/>
          <w:lang w:val="en-GB"/>
        </w:rPr>
        <w:t>which</w:t>
      </w:r>
      <w:r w:rsidR="00531C7D">
        <w:rPr>
          <w:rFonts w:ascii="Avenir Next" w:hAnsi="Avenir Next" w:cs="Arial"/>
          <w:color w:val="7B7B7B" w:themeColor="accent3" w:themeShade="BF"/>
          <w:sz w:val="22"/>
          <w:szCs w:val="22"/>
          <w:lang w:val="en-GB"/>
        </w:rPr>
        <w:t xml:space="preserve"> maintains that there should </w:t>
      </w:r>
      <w:r w:rsidR="00D428B8">
        <w:rPr>
          <w:rFonts w:ascii="Avenir Next" w:hAnsi="Avenir Next" w:cs="Arial"/>
          <w:color w:val="7B7B7B" w:themeColor="accent3" w:themeShade="BF"/>
          <w:sz w:val="22"/>
          <w:szCs w:val="22"/>
          <w:lang w:val="en-GB"/>
        </w:rPr>
        <w:t xml:space="preserve">be one </w:t>
      </w:r>
      <w:r w:rsidR="00115B61">
        <w:rPr>
          <w:rFonts w:ascii="Avenir Next" w:hAnsi="Avenir Next" w:cs="Arial"/>
          <w:color w:val="7B7B7B" w:themeColor="accent3" w:themeShade="BF"/>
          <w:sz w:val="22"/>
          <w:szCs w:val="22"/>
          <w:lang w:val="en-GB"/>
        </w:rPr>
        <w:t xml:space="preserve">sole </w:t>
      </w:r>
      <w:r w:rsidR="00D428B8">
        <w:rPr>
          <w:rFonts w:ascii="Avenir Next" w:hAnsi="Avenir Next" w:cs="Arial"/>
          <w:color w:val="7B7B7B" w:themeColor="accent3" w:themeShade="BF"/>
          <w:sz w:val="22"/>
          <w:szCs w:val="22"/>
          <w:lang w:val="en-GB"/>
        </w:rPr>
        <w:t xml:space="preserve">insolvency proceeding that </w:t>
      </w:r>
      <w:r w:rsidR="00A426A2">
        <w:rPr>
          <w:rFonts w:ascii="Avenir Next" w:hAnsi="Avenir Next" w:cs="Arial"/>
          <w:color w:val="7B7B7B" w:themeColor="accent3" w:themeShade="BF"/>
          <w:sz w:val="22"/>
          <w:szCs w:val="22"/>
          <w:lang w:val="en-GB"/>
        </w:rPr>
        <w:t xml:space="preserve">provides all pertinent creditors a </w:t>
      </w:r>
      <w:r w:rsidR="007B5382">
        <w:rPr>
          <w:rFonts w:ascii="Avenir Next" w:hAnsi="Avenir Next" w:cs="Arial"/>
          <w:color w:val="7B7B7B" w:themeColor="accent3" w:themeShade="BF"/>
          <w:sz w:val="22"/>
          <w:szCs w:val="22"/>
          <w:lang w:val="en-GB"/>
        </w:rPr>
        <w:t xml:space="preserve">pari passu </w:t>
      </w:r>
      <w:r w:rsidR="009F3D21">
        <w:rPr>
          <w:rFonts w:ascii="Avenir Next" w:hAnsi="Avenir Next" w:cs="Arial"/>
          <w:color w:val="7B7B7B" w:themeColor="accent3" w:themeShade="BF"/>
          <w:sz w:val="22"/>
          <w:szCs w:val="22"/>
          <w:lang w:val="en-GB"/>
        </w:rPr>
        <w:t xml:space="preserve">claim to the debtor’s </w:t>
      </w:r>
      <w:r w:rsidR="00254E80">
        <w:rPr>
          <w:rFonts w:ascii="Avenir Next" w:hAnsi="Avenir Next" w:cs="Arial"/>
          <w:color w:val="7B7B7B" w:themeColor="accent3" w:themeShade="BF"/>
          <w:sz w:val="22"/>
          <w:szCs w:val="22"/>
          <w:lang w:val="en-GB"/>
        </w:rPr>
        <w:t>insolvency estate</w:t>
      </w:r>
      <w:r w:rsidR="003111C6">
        <w:rPr>
          <w:rFonts w:ascii="Avenir Next" w:hAnsi="Avenir Next" w:cs="Arial"/>
          <w:color w:val="7B7B7B" w:themeColor="accent3" w:themeShade="BF"/>
          <w:sz w:val="22"/>
          <w:szCs w:val="22"/>
          <w:lang w:val="en-GB"/>
        </w:rPr>
        <w:t>.</w:t>
      </w:r>
      <w:r w:rsidR="00526490">
        <w:rPr>
          <w:rFonts w:ascii="Avenir Next" w:hAnsi="Avenir Next" w:cs="Arial"/>
          <w:color w:val="7B7B7B" w:themeColor="accent3" w:themeShade="BF"/>
          <w:sz w:val="22"/>
          <w:szCs w:val="22"/>
          <w:lang w:val="en-GB"/>
        </w:rPr>
        <w:t xml:space="preserve"> </w:t>
      </w:r>
      <w:r w:rsidR="008D4892">
        <w:rPr>
          <w:rFonts w:ascii="Avenir Next" w:hAnsi="Avenir Next" w:cs="Arial"/>
          <w:color w:val="7B7B7B" w:themeColor="accent3" w:themeShade="BF"/>
          <w:sz w:val="22"/>
          <w:szCs w:val="22"/>
          <w:lang w:val="en-GB"/>
        </w:rPr>
        <w:t xml:space="preserve">Universalism’s success </w:t>
      </w:r>
      <w:r w:rsidR="00F43911">
        <w:rPr>
          <w:rFonts w:ascii="Avenir Next" w:hAnsi="Avenir Next" w:cs="Arial"/>
          <w:color w:val="7B7B7B" w:themeColor="accent3" w:themeShade="BF"/>
          <w:sz w:val="22"/>
          <w:szCs w:val="22"/>
          <w:lang w:val="en-GB"/>
        </w:rPr>
        <w:t>depends</w:t>
      </w:r>
      <w:r w:rsidR="000E2D7E">
        <w:rPr>
          <w:rFonts w:ascii="Avenir Next" w:hAnsi="Avenir Next" w:cs="Arial"/>
          <w:color w:val="7B7B7B" w:themeColor="accent3" w:themeShade="BF"/>
          <w:sz w:val="22"/>
          <w:szCs w:val="22"/>
          <w:lang w:val="en-GB"/>
        </w:rPr>
        <w:t xml:space="preserve"> heavily</w:t>
      </w:r>
      <w:r w:rsidR="00F43911">
        <w:rPr>
          <w:rFonts w:ascii="Avenir Next" w:hAnsi="Avenir Next" w:cs="Arial"/>
          <w:color w:val="7B7B7B" w:themeColor="accent3" w:themeShade="BF"/>
          <w:sz w:val="22"/>
          <w:szCs w:val="22"/>
          <w:lang w:val="en-GB"/>
        </w:rPr>
        <w:t xml:space="preserve"> on the</w:t>
      </w:r>
      <w:r w:rsidR="00933C2E">
        <w:rPr>
          <w:rFonts w:ascii="Avenir Next" w:hAnsi="Avenir Next" w:cs="Arial"/>
          <w:color w:val="7B7B7B" w:themeColor="accent3" w:themeShade="BF"/>
          <w:sz w:val="22"/>
          <w:szCs w:val="22"/>
          <w:lang w:val="en-GB"/>
        </w:rPr>
        <w:t xml:space="preserve"> co</w:t>
      </w:r>
      <w:r w:rsidR="003136ED">
        <w:rPr>
          <w:rFonts w:ascii="Avenir Next" w:hAnsi="Avenir Next" w:cs="Arial"/>
          <w:color w:val="7B7B7B" w:themeColor="accent3" w:themeShade="BF"/>
          <w:sz w:val="22"/>
          <w:szCs w:val="22"/>
          <w:lang w:val="en-GB"/>
        </w:rPr>
        <w:t>-</w:t>
      </w:r>
      <w:r w:rsidR="00933C2E">
        <w:rPr>
          <w:rFonts w:ascii="Avenir Next" w:hAnsi="Avenir Next" w:cs="Arial"/>
          <w:color w:val="7B7B7B" w:themeColor="accent3" w:themeShade="BF"/>
          <w:sz w:val="22"/>
          <w:szCs w:val="22"/>
          <w:lang w:val="en-GB"/>
        </w:rPr>
        <w:t>operation between foreign legal systems</w:t>
      </w:r>
      <w:r w:rsidR="00D15DE6">
        <w:rPr>
          <w:rFonts w:ascii="Avenir Next" w:hAnsi="Avenir Next" w:cs="Arial"/>
          <w:color w:val="7B7B7B" w:themeColor="accent3" w:themeShade="BF"/>
          <w:sz w:val="22"/>
          <w:szCs w:val="22"/>
          <w:lang w:val="en-GB"/>
        </w:rPr>
        <w:t>, for example,</w:t>
      </w:r>
      <w:r w:rsidR="000E2D7E">
        <w:rPr>
          <w:rFonts w:ascii="Avenir Next" w:hAnsi="Avenir Next" w:cs="Arial"/>
          <w:color w:val="7B7B7B" w:themeColor="accent3" w:themeShade="BF"/>
          <w:sz w:val="22"/>
          <w:szCs w:val="22"/>
          <w:lang w:val="en-GB"/>
        </w:rPr>
        <w:t xml:space="preserve"> </w:t>
      </w:r>
      <w:r w:rsidR="0088371F">
        <w:rPr>
          <w:rFonts w:ascii="Avenir Next" w:hAnsi="Avenir Next" w:cs="Arial"/>
          <w:color w:val="7B7B7B" w:themeColor="accent3" w:themeShade="BF"/>
          <w:sz w:val="22"/>
          <w:szCs w:val="22"/>
          <w:lang w:val="en-GB"/>
        </w:rPr>
        <w:t>the</w:t>
      </w:r>
      <w:r w:rsidR="00117CE0">
        <w:rPr>
          <w:rFonts w:ascii="Avenir Next" w:hAnsi="Avenir Next" w:cs="Arial"/>
          <w:color w:val="7B7B7B" w:themeColor="accent3" w:themeShade="BF"/>
          <w:sz w:val="22"/>
          <w:szCs w:val="22"/>
          <w:lang w:val="en-GB"/>
        </w:rPr>
        <w:t xml:space="preserve"> powers of an insolvency representative</w:t>
      </w:r>
      <w:r w:rsidR="004A0C81">
        <w:rPr>
          <w:rFonts w:ascii="Avenir Next" w:hAnsi="Avenir Next" w:cs="Arial"/>
          <w:color w:val="7B7B7B" w:themeColor="accent3" w:themeShade="BF"/>
          <w:sz w:val="22"/>
          <w:szCs w:val="22"/>
          <w:lang w:val="en-GB"/>
        </w:rPr>
        <w:t xml:space="preserve"> would need to be </w:t>
      </w:r>
      <w:r w:rsidR="0088371F">
        <w:rPr>
          <w:rFonts w:ascii="Avenir Next" w:hAnsi="Avenir Next" w:cs="Arial"/>
          <w:color w:val="7B7B7B" w:themeColor="accent3" w:themeShade="BF"/>
          <w:sz w:val="22"/>
          <w:szCs w:val="22"/>
          <w:lang w:val="en-GB"/>
        </w:rPr>
        <w:t>globally accepted</w:t>
      </w:r>
      <w:r w:rsidR="003E68B5">
        <w:rPr>
          <w:rFonts w:ascii="Avenir Next" w:hAnsi="Avenir Next" w:cs="Arial"/>
          <w:color w:val="7B7B7B" w:themeColor="accent3" w:themeShade="BF"/>
          <w:sz w:val="22"/>
          <w:szCs w:val="22"/>
          <w:lang w:val="en-GB"/>
        </w:rPr>
        <w:t>.</w:t>
      </w:r>
      <w:r w:rsidR="003111C6">
        <w:rPr>
          <w:rFonts w:ascii="Avenir Next" w:hAnsi="Avenir Next" w:cs="Arial"/>
          <w:color w:val="7B7B7B" w:themeColor="accent3" w:themeShade="BF"/>
          <w:sz w:val="22"/>
          <w:szCs w:val="22"/>
          <w:lang w:val="en-GB"/>
        </w:rPr>
        <w:t xml:space="preserve"> In contrast, territoriality</w:t>
      </w:r>
      <w:r w:rsidR="00732EEA">
        <w:rPr>
          <w:rFonts w:ascii="Avenir Next" w:hAnsi="Avenir Next" w:cs="Arial"/>
          <w:color w:val="7B7B7B" w:themeColor="accent3" w:themeShade="BF"/>
          <w:sz w:val="22"/>
          <w:szCs w:val="22"/>
          <w:lang w:val="en-GB"/>
        </w:rPr>
        <w:t xml:space="preserve"> </w:t>
      </w:r>
      <w:r w:rsidR="001A2690">
        <w:rPr>
          <w:rFonts w:ascii="Avenir Next" w:hAnsi="Avenir Next" w:cs="Arial"/>
          <w:color w:val="7B7B7B" w:themeColor="accent3" w:themeShade="BF"/>
          <w:sz w:val="22"/>
          <w:szCs w:val="22"/>
          <w:lang w:val="en-GB"/>
        </w:rPr>
        <w:t>emphasizes</w:t>
      </w:r>
      <w:r w:rsidR="000D1E3F">
        <w:rPr>
          <w:rFonts w:ascii="Avenir Next" w:hAnsi="Avenir Next" w:cs="Arial"/>
          <w:color w:val="7B7B7B" w:themeColor="accent3" w:themeShade="BF"/>
          <w:sz w:val="22"/>
          <w:szCs w:val="22"/>
          <w:lang w:val="en-GB"/>
        </w:rPr>
        <w:t xml:space="preserve"> the</w:t>
      </w:r>
      <w:r w:rsidR="00BD45AF">
        <w:rPr>
          <w:rFonts w:ascii="Avenir Next" w:hAnsi="Avenir Next" w:cs="Arial"/>
          <w:color w:val="7B7B7B" w:themeColor="accent3" w:themeShade="BF"/>
          <w:sz w:val="22"/>
          <w:szCs w:val="22"/>
          <w:lang w:val="en-GB"/>
        </w:rPr>
        <w:t xml:space="preserve"> assertion</w:t>
      </w:r>
      <w:r w:rsidR="00974768">
        <w:rPr>
          <w:rFonts w:ascii="Avenir Next" w:hAnsi="Avenir Next" w:cs="Arial"/>
          <w:color w:val="7B7B7B" w:themeColor="accent3" w:themeShade="BF"/>
          <w:sz w:val="22"/>
          <w:szCs w:val="22"/>
          <w:lang w:val="en-GB"/>
        </w:rPr>
        <w:t xml:space="preserve"> that</w:t>
      </w:r>
      <w:r w:rsidR="002D51E0">
        <w:rPr>
          <w:rFonts w:ascii="Avenir Next" w:hAnsi="Avenir Next" w:cs="Arial"/>
          <w:color w:val="7B7B7B" w:themeColor="accent3" w:themeShade="BF"/>
          <w:sz w:val="22"/>
          <w:szCs w:val="22"/>
          <w:lang w:val="en-GB"/>
        </w:rPr>
        <w:t xml:space="preserve"> </w:t>
      </w:r>
      <w:r w:rsidR="00892A15">
        <w:rPr>
          <w:rFonts w:ascii="Avenir Next" w:hAnsi="Avenir Next" w:cs="Arial"/>
          <w:color w:val="7B7B7B" w:themeColor="accent3" w:themeShade="BF"/>
          <w:sz w:val="22"/>
          <w:szCs w:val="22"/>
          <w:lang w:val="en-GB"/>
        </w:rPr>
        <w:t xml:space="preserve">there should be an insolvency proceeding in all </w:t>
      </w:r>
      <w:r w:rsidR="00EA3EDF">
        <w:rPr>
          <w:rFonts w:ascii="Avenir Next" w:hAnsi="Avenir Next" w:cs="Arial"/>
          <w:color w:val="7B7B7B" w:themeColor="accent3" w:themeShade="BF"/>
          <w:sz w:val="22"/>
          <w:szCs w:val="22"/>
          <w:lang w:val="en-GB"/>
        </w:rPr>
        <w:t>jurisdictions where the debtor</w:t>
      </w:r>
      <w:r w:rsidR="004D665B">
        <w:rPr>
          <w:rFonts w:ascii="Avenir Next" w:hAnsi="Avenir Next" w:cs="Arial"/>
          <w:color w:val="7B7B7B" w:themeColor="accent3" w:themeShade="BF"/>
          <w:sz w:val="22"/>
          <w:szCs w:val="22"/>
          <w:lang w:val="en-GB"/>
        </w:rPr>
        <w:t xml:space="preserve"> has assets</w:t>
      </w:r>
      <w:r w:rsidR="00CE0333">
        <w:rPr>
          <w:rFonts w:ascii="Avenir Next" w:hAnsi="Avenir Next" w:cs="Arial"/>
          <w:color w:val="7B7B7B" w:themeColor="accent3" w:themeShade="BF"/>
          <w:sz w:val="22"/>
          <w:szCs w:val="22"/>
          <w:lang w:val="en-GB"/>
        </w:rPr>
        <w:t xml:space="preserve">. </w:t>
      </w:r>
      <w:r w:rsidR="001A21BB">
        <w:rPr>
          <w:rFonts w:ascii="Avenir Next" w:hAnsi="Avenir Next" w:cs="Arial"/>
          <w:color w:val="7B7B7B" w:themeColor="accent3" w:themeShade="BF"/>
          <w:sz w:val="22"/>
          <w:szCs w:val="22"/>
          <w:lang w:val="en-GB"/>
        </w:rPr>
        <w:t>Furthermore</w:t>
      </w:r>
      <w:r w:rsidR="004D665B">
        <w:rPr>
          <w:rFonts w:ascii="Avenir Next" w:hAnsi="Avenir Next" w:cs="Arial"/>
          <w:color w:val="7B7B7B" w:themeColor="accent3" w:themeShade="BF"/>
          <w:sz w:val="22"/>
          <w:szCs w:val="22"/>
          <w:lang w:val="en-GB"/>
        </w:rPr>
        <w:t xml:space="preserve">, </w:t>
      </w:r>
      <w:r w:rsidR="007B29C5">
        <w:rPr>
          <w:rFonts w:ascii="Avenir Next" w:hAnsi="Avenir Next" w:cs="Arial"/>
          <w:color w:val="7B7B7B" w:themeColor="accent3" w:themeShade="BF"/>
          <w:sz w:val="22"/>
          <w:szCs w:val="22"/>
          <w:lang w:val="en-GB"/>
        </w:rPr>
        <w:t xml:space="preserve">while </w:t>
      </w:r>
      <w:r w:rsidR="004D665B">
        <w:rPr>
          <w:rFonts w:ascii="Avenir Next" w:hAnsi="Avenir Next" w:cs="Arial"/>
          <w:color w:val="7B7B7B" w:themeColor="accent3" w:themeShade="BF"/>
          <w:sz w:val="22"/>
          <w:szCs w:val="22"/>
          <w:lang w:val="en-GB"/>
        </w:rPr>
        <w:t>u</w:t>
      </w:r>
      <w:r w:rsidR="001041F5" w:rsidRPr="00CE0333">
        <w:rPr>
          <w:rFonts w:ascii="Avenir Next" w:hAnsi="Avenir Next" w:cs="Arial"/>
          <w:color w:val="7B7B7B" w:themeColor="accent3" w:themeShade="BF"/>
          <w:sz w:val="22"/>
          <w:szCs w:val="22"/>
          <w:lang w:val="en-GB"/>
        </w:rPr>
        <w:t xml:space="preserve">niversality provides all creditors equal claim </w:t>
      </w:r>
      <w:r w:rsidR="004D665B" w:rsidRPr="00CE0333">
        <w:rPr>
          <w:rFonts w:ascii="Avenir Next" w:hAnsi="Avenir Next" w:cs="Arial"/>
          <w:color w:val="7B7B7B" w:themeColor="accent3" w:themeShade="BF"/>
          <w:sz w:val="22"/>
          <w:szCs w:val="22"/>
          <w:lang w:val="en-GB"/>
        </w:rPr>
        <w:t>to the</w:t>
      </w:r>
      <w:r w:rsidR="00B76C9D" w:rsidRPr="00CE0333">
        <w:rPr>
          <w:rFonts w:ascii="Avenir Next" w:hAnsi="Avenir Next" w:cs="Arial"/>
          <w:color w:val="7B7B7B" w:themeColor="accent3" w:themeShade="BF"/>
          <w:sz w:val="22"/>
          <w:szCs w:val="22"/>
          <w:lang w:val="en-GB"/>
        </w:rPr>
        <w:t xml:space="preserve"> debtor’s assets and debts, </w:t>
      </w:r>
      <w:r w:rsidR="00546ACE" w:rsidRPr="00CE0333">
        <w:rPr>
          <w:rFonts w:ascii="Avenir Next" w:hAnsi="Avenir Next" w:cs="Arial"/>
          <w:color w:val="7B7B7B" w:themeColor="accent3" w:themeShade="BF"/>
          <w:sz w:val="22"/>
          <w:szCs w:val="22"/>
          <w:lang w:val="en-GB"/>
        </w:rPr>
        <w:t xml:space="preserve">territoriality restricts </w:t>
      </w:r>
      <w:r w:rsidR="00DF68B7" w:rsidRPr="00CE0333">
        <w:rPr>
          <w:rFonts w:ascii="Avenir Next" w:hAnsi="Avenir Next" w:cs="Arial"/>
          <w:color w:val="7B7B7B" w:themeColor="accent3" w:themeShade="BF"/>
          <w:sz w:val="22"/>
          <w:szCs w:val="22"/>
          <w:lang w:val="en-GB"/>
        </w:rPr>
        <w:t>creditors’</w:t>
      </w:r>
      <w:r w:rsidR="00546ACE" w:rsidRPr="00CE0333">
        <w:rPr>
          <w:rFonts w:ascii="Avenir Next" w:hAnsi="Avenir Next" w:cs="Arial"/>
          <w:color w:val="7B7B7B" w:themeColor="accent3" w:themeShade="BF"/>
          <w:sz w:val="22"/>
          <w:szCs w:val="22"/>
          <w:lang w:val="en-GB"/>
        </w:rPr>
        <w:t xml:space="preserve"> </w:t>
      </w:r>
      <w:r w:rsidR="00DF68B7" w:rsidRPr="00CE0333">
        <w:rPr>
          <w:rFonts w:ascii="Avenir Next" w:hAnsi="Avenir Next" w:cs="Arial"/>
          <w:color w:val="7B7B7B" w:themeColor="accent3" w:themeShade="BF"/>
          <w:sz w:val="22"/>
          <w:szCs w:val="22"/>
          <w:lang w:val="en-GB"/>
        </w:rPr>
        <w:t xml:space="preserve">claims </w:t>
      </w:r>
      <w:r w:rsidR="00546ACE" w:rsidRPr="00CE0333">
        <w:rPr>
          <w:rFonts w:ascii="Avenir Next" w:hAnsi="Avenir Next" w:cs="Arial"/>
          <w:color w:val="7B7B7B" w:themeColor="accent3" w:themeShade="BF"/>
          <w:sz w:val="22"/>
          <w:szCs w:val="22"/>
          <w:lang w:val="en-GB"/>
        </w:rPr>
        <w:t>outside o</w:t>
      </w:r>
      <w:r w:rsidR="00DF68B7" w:rsidRPr="00CE0333">
        <w:rPr>
          <w:rFonts w:ascii="Avenir Next" w:hAnsi="Avenir Next" w:cs="Arial"/>
          <w:color w:val="7B7B7B" w:themeColor="accent3" w:themeShade="BF"/>
          <w:sz w:val="22"/>
          <w:szCs w:val="22"/>
          <w:lang w:val="en-GB"/>
        </w:rPr>
        <w:t xml:space="preserve">f </w:t>
      </w:r>
      <w:r w:rsidR="003E4DD0" w:rsidRPr="00CE0333">
        <w:rPr>
          <w:rFonts w:ascii="Avenir Next" w:hAnsi="Avenir Next" w:cs="Arial"/>
          <w:color w:val="7B7B7B" w:themeColor="accent3" w:themeShade="BF"/>
          <w:sz w:val="22"/>
          <w:szCs w:val="22"/>
          <w:lang w:val="en-GB"/>
        </w:rPr>
        <w:t>each jurisdiction that the</w:t>
      </w:r>
      <w:r w:rsidR="00CE0333" w:rsidRPr="00CE0333">
        <w:rPr>
          <w:rFonts w:ascii="Avenir Next" w:hAnsi="Avenir Next" w:cs="Arial"/>
          <w:color w:val="7B7B7B" w:themeColor="accent3" w:themeShade="BF"/>
          <w:sz w:val="22"/>
          <w:szCs w:val="22"/>
          <w:lang w:val="en-GB"/>
        </w:rPr>
        <w:t xml:space="preserve"> separate</w:t>
      </w:r>
      <w:r w:rsidR="003E4DD0" w:rsidRPr="00CE0333">
        <w:rPr>
          <w:rFonts w:ascii="Avenir Next" w:hAnsi="Avenir Next" w:cs="Arial"/>
          <w:color w:val="7B7B7B" w:themeColor="accent3" w:themeShade="BF"/>
          <w:sz w:val="22"/>
          <w:szCs w:val="22"/>
          <w:lang w:val="en-GB"/>
        </w:rPr>
        <w:t xml:space="preserve"> </w:t>
      </w:r>
      <w:r w:rsidR="00CE0333" w:rsidRPr="00CE0333">
        <w:rPr>
          <w:rFonts w:ascii="Avenir Next" w:hAnsi="Avenir Next" w:cs="Arial"/>
          <w:color w:val="7B7B7B" w:themeColor="accent3" w:themeShade="BF"/>
          <w:sz w:val="22"/>
          <w:szCs w:val="22"/>
          <w:lang w:val="en-GB"/>
        </w:rPr>
        <w:t>insolvency proceeding has commenced.</w:t>
      </w: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78DB9FD8" w14:textId="4B8F6AAA" w:rsidR="00C72848" w:rsidRPr="00827D56" w:rsidRDefault="00B00BC3" w:rsidP="00C053F7">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The World Bank </w:t>
      </w:r>
      <w:r w:rsidR="00481771">
        <w:rPr>
          <w:rFonts w:ascii="Avenir Next" w:hAnsi="Avenir Next" w:cs="Arial"/>
          <w:color w:val="7B7B7B" w:themeColor="accent3" w:themeShade="BF"/>
          <w:sz w:val="22"/>
          <w:szCs w:val="22"/>
          <w:lang w:val="en-GB"/>
        </w:rPr>
        <w:t xml:space="preserve">has </w:t>
      </w:r>
      <w:r w:rsidR="00EA037D">
        <w:rPr>
          <w:rFonts w:ascii="Avenir Next" w:hAnsi="Avenir Next" w:cs="Arial"/>
          <w:color w:val="7B7B7B" w:themeColor="accent3" w:themeShade="BF"/>
          <w:sz w:val="22"/>
          <w:szCs w:val="22"/>
          <w:lang w:val="en-GB"/>
        </w:rPr>
        <w:t>advised</w:t>
      </w:r>
      <w:r w:rsidR="00902606">
        <w:rPr>
          <w:rFonts w:ascii="Avenir Next" w:hAnsi="Avenir Next" w:cs="Arial"/>
          <w:color w:val="7B7B7B" w:themeColor="accent3" w:themeShade="BF"/>
          <w:sz w:val="22"/>
          <w:szCs w:val="22"/>
          <w:lang w:val="en-GB"/>
        </w:rPr>
        <w:t xml:space="preserve"> </w:t>
      </w:r>
      <w:r w:rsidR="00DE1A2E">
        <w:rPr>
          <w:rFonts w:ascii="Avenir Next" w:hAnsi="Avenir Next" w:cs="Arial"/>
          <w:color w:val="7B7B7B" w:themeColor="accent3" w:themeShade="BF"/>
          <w:sz w:val="22"/>
          <w:szCs w:val="22"/>
          <w:lang w:val="en-GB"/>
        </w:rPr>
        <w:t xml:space="preserve">several </w:t>
      </w:r>
      <w:r w:rsidR="009862EC">
        <w:rPr>
          <w:rFonts w:ascii="Avenir Next" w:hAnsi="Avenir Next" w:cs="Arial"/>
          <w:color w:val="7B7B7B" w:themeColor="accent3" w:themeShade="BF"/>
          <w:sz w:val="22"/>
          <w:szCs w:val="22"/>
          <w:lang w:val="en-GB"/>
        </w:rPr>
        <w:t xml:space="preserve">Middle Eastern countries </w:t>
      </w:r>
      <w:r w:rsidR="00007DB7">
        <w:rPr>
          <w:rFonts w:ascii="Avenir Next" w:hAnsi="Avenir Next" w:cs="Arial"/>
          <w:color w:val="7B7B7B" w:themeColor="accent3" w:themeShade="BF"/>
          <w:sz w:val="22"/>
          <w:szCs w:val="22"/>
          <w:lang w:val="en-GB"/>
        </w:rPr>
        <w:t xml:space="preserve">on their cross-border insolvency regulatory standing </w:t>
      </w:r>
      <w:r w:rsidR="00902606">
        <w:rPr>
          <w:rFonts w:ascii="Avenir Next" w:hAnsi="Avenir Next" w:cs="Arial"/>
          <w:color w:val="7B7B7B" w:themeColor="accent3" w:themeShade="BF"/>
          <w:sz w:val="22"/>
          <w:szCs w:val="22"/>
          <w:lang w:val="en-GB"/>
        </w:rPr>
        <w:t>for a number of years</w:t>
      </w:r>
      <w:r w:rsidR="009862EC">
        <w:rPr>
          <w:rFonts w:ascii="Avenir Next" w:hAnsi="Avenir Next" w:cs="Arial"/>
          <w:color w:val="7B7B7B" w:themeColor="accent3" w:themeShade="BF"/>
          <w:sz w:val="22"/>
          <w:szCs w:val="22"/>
          <w:lang w:val="en-GB"/>
        </w:rPr>
        <w:t xml:space="preserve">. </w:t>
      </w:r>
      <w:r w:rsidR="000F4B31">
        <w:rPr>
          <w:rFonts w:ascii="Avenir Next" w:hAnsi="Avenir Next" w:cs="Arial"/>
          <w:color w:val="7B7B7B" w:themeColor="accent3" w:themeShade="BF"/>
          <w:sz w:val="22"/>
          <w:szCs w:val="22"/>
          <w:lang w:val="en-GB"/>
        </w:rPr>
        <w:t>Through the collaborative effort of</w:t>
      </w:r>
      <w:r w:rsidR="009862EC">
        <w:rPr>
          <w:rFonts w:ascii="Avenir Next" w:hAnsi="Avenir Next" w:cs="Arial"/>
          <w:color w:val="7B7B7B" w:themeColor="accent3" w:themeShade="BF"/>
          <w:sz w:val="22"/>
          <w:szCs w:val="22"/>
          <w:lang w:val="en-GB"/>
        </w:rPr>
        <w:t xml:space="preserve"> the World Bank and</w:t>
      </w:r>
      <w:r w:rsidR="00C3074F">
        <w:rPr>
          <w:rFonts w:ascii="Avenir Next" w:hAnsi="Avenir Next" w:cs="Arial"/>
          <w:color w:val="7B7B7B" w:themeColor="accent3" w:themeShade="BF"/>
          <w:sz w:val="22"/>
          <w:szCs w:val="22"/>
          <w:lang w:val="en-GB"/>
        </w:rPr>
        <w:t xml:space="preserve"> </w:t>
      </w:r>
      <w:r w:rsidR="00DE1A2E">
        <w:rPr>
          <w:rFonts w:ascii="Avenir Next" w:hAnsi="Avenir Next" w:cs="Arial"/>
          <w:color w:val="7B7B7B" w:themeColor="accent3" w:themeShade="BF"/>
          <w:sz w:val="22"/>
          <w:szCs w:val="22"/>
          <w:lang w:val="en-GB"/>
        </w:rPr>
        <w:t xml:space="preserve">various </w:t>
      </w:r>
      <w:r w:rsidR="003801F7">
        <w:rPr>
          <w:rFonts w:ascii="Avenir Next" w:hAnsi="Avenir Next" w:cs="Arial"/>
          <w:color w:val="7B7B7B" w:themeColor="accent3" w:themeShade="BF"/>
          <w:sz w:val="22"/>
          <w:szCs w:val="22"/>
          <w:lang w:val="en-GB"/>
        </w:rPr>
        <w:t xml:space="preserve">international </w:t>
      </w:r>
      <w:r w:rsidR="000A456F">
        <w:rPr>
          <w:rFonts w:ascii="Avenir Next" w:hAnsi="Avenir Next" w:cs="Arial"/>
          <w:color w:val="7B7B7B" w:themeColor="accent3" w:themeShade="BF"/>
          <w:sz w:val="22"/>
          <w:szCs w:val="22"/>
          <w:lang w:val="en-GB"/>
        </w:rPr>
        <w:t>organisations</w:t>
      </w:r>
      <w:r w:rsidR="003801F7">
        <w:rPr>
          <w:rFonts w:ascii="Avenir Next" w:hAnsi="Avenir Next" w:cs="Arial"/>
          <w:color w:val="7B7B7B" w:themeColor="accent3" w:themeShade="BF"/>
          <w:sz w:val="22"/>
          <w:szCs w:val="22"/>
          <w:lang w:val="en-GB"/>
        </w:rPr>
        <w:t>,</w:t>
      </w:r>
      <w:r w:rsidR="000F4B31">
        <w:rPr>
          <w:rFonts w:ascii="Avenir Next" w:hAnsi="Avenir Next" w:cs="Arial"/>
          <w:color w:val="7B7B7B" w:themeColor="accent3" w:themeShade="BF"/>
          <w:sz w:val="22"/>
          <w:szCs w:val="22"/>
          <w:lang w:val="en-GB"/>
        </w:rPr>
        <w:t xml:space="preserve"> a</w:t>
      </w:r>
      <w:r w:rsidR="00CA1F7A">
        <w:rPr>
          <w:rFonts w:ascii="Avenir Next" w:hAnsi="Avenir Next" w:cs="Arial"/>
          <w:color w:val="7B7B7B" w:themeColor="accent3" w:themeShade="BF"/>
          <w:sz w:val="22"/>
          <w:szCs w:val="22"/>
          <w:lang w:val="en-GB"/>
        </w:rPr>
        <w:t xml:space="preserve"> </w:t>
      </w:r>
      <w:r w:rsidR="00DF2706">
        <w:rPr>
          <w:rFonts w:ascii="Avenir Next" w:hAnsi="Avenir Next" w:cs="Arial"/>
          <w:color w:val="7B7B7B" w:themeColor="accent3" w:themeShade="BF"/>
          <w:sz w:val="22"/>
          <w:szCs w:val="22"/>
          <w:lang w:val="en-GB"/>
        </w:rPr>
        <w:t xml:space="preserve">2009 </w:t>
      </w:r>
      <w:r w:rsidR="00CA1F7A">
        <w:rPr>
          <w:rFonts w:ascii="Avenir Next" w:hAnsi="Avenir Next" w:cs="Arial"/>
          <w:color w:val="7B7B7B" w:themeColor="accent3" w:themeShade="BF"/>
          <w:sz w:val="22"/>
          <w:szCs w:val="22"/>
          <w:lang w:val="en-GB"/>
        </w:rPr>
        <w:t>survey</w:t>
      </w:r>
      <w:r w:rsidR="004B1A1A">
        <w:rPr>
          <w:rFonts w:ascii="Avenir Next" w:hAnsi="Avenir Next" w:cs="Arial"/>
          <w:color w:val="7B7B7B" w:themeColor="accent3" w:themeShade="BF"/>
          <w:sz w:val="22"/>
          <w:szCs w:val="22"/>
          <w:lang w:val="en-GB"/>
        </w:rPr>
        <w:t xml:space="preserve"> comparing the insolvency systems</w:t>
      </w:r>
      <w:r w:rsidR="00766E9F">
        <w:rPr>
          <w:rFonts w:ascii="Avenir Next" w:hAnsi="Avenir Next" w:cs="Arial"/>
          <w:color w:val="7B7B7B" w:themeColor="accent3" w:themeShade="BF"/>
          <w:sz w:val="22"/>
          <w:szCs w:val="22"/>
          <w:lang w:val="en-GB"/>
        </w:rPr>
        <w:t xml:space="preserve"> in the Middle East and North A</w:t>
      </w:r>
      <w:r w:rsidR="00DF2706">
        <w:rPr>
          <w:rFonts w:ascii="Avenir Next" w:hAnsi="Avenir Next" w:cs="Arial"/>
          <w:color w:val="7B7B7B" w:themeColor="accent3" w:themeShade="BF"/>
          <w:sz w:val="22"/>
          <w:szCs w:val="22"/>
          <w:lang w:val="en-GB"/>
        </w:rPr>
        <w:t xml:space="preserve">frica was </w:t>
      </w:r>
      <w:r w:rsidR="00CC0420">
        <w:rPr>
          <w:rFonts w:ascii="Avenir Next" w:hAnsi="Avenir Next" w:cs="Arial"/>
          <w:color w:val="7B7B7B" w:themeColor="accent3" w:themeShade="BF"/>
          <w:sz w:val="22"/>
          <w:szCs w:val="22"/>
          <w:lang w:val="en-GB"/>
        </w:rPr>
        <w:t xml:space="preserve">completed </w:t>
      </w:r>
      <w:r w:rsidR="000F4B31">
        <w:rPr>
          <w:rFonts w:ascii="Avenir Next" w:hAnsi="Avenir Next" w:cs="Arial"/>
          <w:color w:val="7B7B7B" w:themeColor="accent3" w:themeShade="BF"/>
          <w:sz w:val="22"/>
          <w:szCs w:val="22"/>
          <w:lang w:val="en-GB"/>
        </w:rPr>
        <w:t>to</w:t>
      </w:r>
      <w:r w:rsidR="00FC73C1">
        <w:rPr>
          <w:rFonts w:ascii="Avenir Next" w:hAnsi="Avenir Next" w:cs="Arial"/>
          <w:color w:val="7B7B7B" w:themeColor="accent3" w:themeShade="BF"/>
          <w:sz w:val="22"/>
          <w:szCs w:val="22"/>
          <w:lang w:val="en-GB"/>
        </w:rPr>
        <w:t xml:space="preserve"> </w:t>
      </w:r>
      <w:r w:rsidR="00A04760">
        <w:rPr>
          <w:rFonts w:ascii="Avenir Next" w:hAnsi="Avenir Next" w:cs="Arial"/>
          <w:color w:val="7B7B7B" w:themeColor="accent3" w:themeShade="BF"/>
          <w:sz w:val="22"/>
          <w:szCs w:val="22"/>
          <w:lang w:val="en-GB"/>
        </w:rPr>
        <w:t xml:space="preserve">better </w:t>
      </w:r>
      <w:r w:rsidR="00FC73C1">
        <w:rPr>
          <w:rFonts w:ascii="Avenir Next" w:hAnsi="Avenir Next" w:cs="Arial"/>
          <w:color w:val="7B7B7B" w:themeColor="accent3" w:themeShade="BF"/>
          <w:sz w:val="22"/>
          <w:szCs w:val="22"/>
          <w:lang w:val="en-GB"/>
        </w:rPr>
        <w:t xml:space="preserve">adapt to </w:t>
      </w:r>
      <w:r w:rsidR="00B20888">
        <w:rPr>
          <w:rFonts w:ascii="Avenir Next" w:hAnsi="Avenir Next" w:cs="Arial"/>
          <w:color w:val="7B7B7B" w:themeColor="accent3" w:themeShade="BF"/>
          <w:sz w:val="22"/>
          <w:szCs w:val="22"/>
          <w:lang w:val="en-GB"/>
        </w:rPr>
        <w:t xml:space="preserve">ever changing </w:t>
      </w:r>
      <w:r w:rsidR="00FC73C1">
        <w:rPr>
          <w:rFonts w:ascii="Avenir Next" w:hAnsi="Avenir Next" w:cs="Arial"/>
          <w:color w:val="7B7B7B" w:themeColor="accent3" w:themeShade="BF"/>
          <w:sz w:val="22"/>
          <w:szCs w:val="22"/>
          <w:lang w:val="en-GB"/>
        </w:rPr>
        <w:t>insolvency</w:t>
      </w:r>
      <w:r w:rsidR="0016098C">
        <w:rPr>
          <w:rFonts w:ascii="Avenir Next" w:hAnsi="Avenir Next" w:cs="Arial"/>
          <w:color w:val="7B7B7B" w:themeColor="accent3" w:themeShade="BF"/>
          <w:sz w:val="22"/>
          <w:szCs w:val="22"/>
          <w:lang w:val="en-GB"/>
        </w:rPr>
        <w:t xml:space="preserve"> laws </w:t>
      </w:r>
      <w:r w:rsidR="00880209">
        <w:rPr>
          <w:rFonts w:ascii="Avenir Next" w:hAnsi="Avenir Next" w:cs="Arial"/>
          <w:color w:val="7B7B7B" w:themeColor="accent3" w:themeShade="BF"/>
          <w:sz w:val="22"/>
          <w:szCs w:val="22"/>
          <w:lang w:val="en-GB"/>
        </w:rPr>
        <w:t>of</w:t>
      </w:r>
      <w:r w:rsidR="0016098C">
        <w:rPr>
          <w:rFonts w:ascii="Avenir Next" w:hAnsi="Avenir Next" w:cs="Arial"/>
          <w:color w:val="7B7B7B" w:themeColor="accent3" w:themeShade="BF"/>
          <w:sz w:val="22"/>
          <w:szCs w:val="22"/>
          <w:lang w:val="en-GB"/>
        </w:rPr>
        <w:t xml:space="preserve"> foreign legal system</w:t>
      </w:r>
      <w:r w:rsidR="00880209">
        <w:rPr>
          <w:rFonts w:ascii="Avenir Next" w:hAnsi="Avenir Next" w:cs="Arial"/>
          <w:color w:val="7B7B7B" w:themeColor="accent3" w:themeShade="BF"/>
          <w:sz w:val="22"/>
          <w:szCs w:val="22"/>
          <w:lang w:val="en-GB"/>
        </w:rPr>
        <w:t xml:space="preserve">s. </w:t>
      </w:r>
      <w:r w:rsidR="00634D4E">
        <w:rPr>
          <w:rFonts w:ascii="Avenir Next" w:hAnsi="Avenir Next" w:cs="Arial"/>
          <w:color w:val="7B7B7B" w:themeColor="accent3" w:themeShade="BF"/>
          <w:sz w:val="22"/>
          <w:szCs w:val="22"/>
          <w:lang w:val="en-GB"/>
        </w:rPr>
        <w:t>Further to the aforementioned survey,</w:t>
      </w:r>
      <w:r w:rsidR="008053C1">
        <w:rPr>
          <w:rFonts w:ascii="Avenir Next" w:hAnsi="Avenir Next" w:cs="Arial"/>
          <w:color w:val="7B7B7B" w:themeColor="accent3" w:themeShade="BF"/>
          <w:sz w:val="22"/>
          <w:szCs w:val="22"/>
          <w:lang w:val="en-GB"/>
        </w:rPr>
        <w:t xml:space="preserve"> the UAE, Saudi Arabia, and Dubai</w:t>
      </w:r>
      <w:r w:rsidR="00B15A26">
        <w:rPr>
          <w:rFonts w:ascii="Avenir Next" w:hAnsi="Avenir Next" w:cs="Arial"/>
          <w:color w:val="7B7B7B" w:themeColor="accent3" w:themeShade="BF"/>
          <w:sz w:val="22"/>
          <w:szCs w:val="22"/>
          <w:lang w:val="en-GB"/>
        </w:rPr>
        <w:t xml:space="preserve"> came together </w:t>
      </w:r>
      <w:r w:rsidR="00B20888">
        <w:rPr>
          <w:rFonts w:ascii="Avenir Next" w:hAnsi="Avenir Next" w:cs="Arial"/>
          <w:color w:val="7B7B7B" w:themeColor="accent3" w:themeShade="BF"/>
          <w:sz w:val="22"/>
          <w:szCs w:val="22"/>
          <w:lang w:val="en-GB"/>
        </w:rPr>
        <w:t>to</w:t>
      </w:r>
      <w:r w:rsidR="00B15A26">
        <w:rPr>
          <w:rFonts w:ascii="Avenir Next" w:hAnsi="Avenir Next" w:cs="Arial"/>
          <w:color w:val="7B7B7B" w:themeColor="accent3" w:themeShade="BF"/>
          <w:sz w:val="22"/>
          <w:szCs w:val="22"/>
          <w:lang w:val="en-GB"/>
        </w:rPr>
        <w:t xml:space="preserve"> reform</w:t>
      </w:r>
      <w:r w:rsidR="00B20888">
        <w:rPr>
          <w:rFonts w:ascii="Avenir Next" w:hAnsi="Avenir Next" w:cs="Arial"/>
          <w:color w:val="7B7B7B" w:themeColor="accent3" w:themeShade="BF"/>
          <w:sz w:val="22"/>
          <w:szCs w:val="22"/>
          <w:lang w:val="en-GB"/>
        </w:rPr>
        <w:t xml:space="preserve"> their</w:t>
      </w:r>
      <w:r w:rsidR="00B15A26">
        <w:rPr>
          <w:rFonts w:ascii="Avenir Next" w:hAnsi="Avenir Next" w:cs="Arial"/>
          <w:color w:val="7B7B7B" w:themeColor="accent3" w:themeShade="BF"/>
          <w:sz w:val="22"/>
          <w:szCs w:val="22"/>
          <w:lang w:val="en-GB"/>
        </w:rPr>
        <w:t xml:space="preserve"> domestic insolvency laws</w:t>
      </w:r>
      <w:r w:rsidR="00867F74">
        <w:rPr>
          <w:rFonts w:ascii="Avenir Next" w:hAnsi="Avenir Next" w:cs="Arial"/>
          <w:color w:val="7B7B7B" w:themeColor="accent3" w:themeShade="BF"/>
          <w:sz w:val="22"/>
          <w:szCs w:val="22"/>
          <w:lang w:val="en-GB"/>
        </w:rPr>
        <w:t xml:space="preserve">, in turn </w:t>
      </w:r>
      <w:r w:rsidR="009D53A8">
        <w:rPr>
          <w:rFonts w:ascii="Avenir Next" w:hAnsi="Avenir Next" w:cs="Arial"/>
          <w:color w:val="7B7B7B" w:themeColor="accent3" w:themeShade="BF"/>
          <w:sz w:val="22"/>
          <w:szCs w:val="22"/>
          <w:lang w:val="en-GB"/>
        </w:rPr>
        <w:t xml:space="preserve">Bahrain </w:t>
      </w:r>
      <w:r w:rsidR="00986B1A">
        <w:rPr>
          <w:rFonts w:ascii="Avenir Next" w:hAnsi="Avenir Next" w:cs="Arial"/>
          <w:color w:val="7B7B7B" w:themeColor="accent3" w:themeShade="BF"/>
          <w:sz w:val="22"/>
          <w:szCs w:val="22"/>
          <w:lang w:val="en-GB"/>
        </w:rPr>
        <w:t xml:space="preserve">adopted the Model Law on Cross-Border Insolvency in 2018 </w:t>
      </w:r>
      <w:r w:rsidR="00AA0D39">
        <w:rPr>
          <w:rFonts w:ascii="Avenir Next" w:hAnsi="Avenir Next" w:cs="Arial"/>
          <w:color w:val="7B7B7B" w:themeColor="accent3" w:themeShade="BF"/>
          <w:sz w:val="22"/>
          <w:szCs w:val="22"/>
          <w:lang w:val="en-GB"/>
        </w:rPr>
        <w:t>and</w:t>
      </w:r>
      <w:r w:rsidR="00845F3D">
        <w:rPr>
          <w:rFonts w:ascii="Avenir Next" w:hAnsi="Avenir Next" w:cs="Arial"/>
          <w:color w:val="7B7B7B" w:themeColor="accent3" w:themeShade="BF"/>
          <w:sz w:val="22"/>
          <w:szCs w:val="22"/>
          <w:lang w:val="en-GB"/>
        </w:rPr>
        <w:t xml:space="preserve"> several federal laws were implemented throughout</w:t>
      </w:r>
      <w:r w:rsidR="00830C57">
        <w:rPr>
          <w:rFonts w:ascii="Avenir Next" w:hAnsi="Avenir Next" w:cs="Arial"/>
          <w:color w:val="7B7B7B" w:themeColor="accent3" w:themeShade="BF"/>
          <w:sz w:val="22"/>
          <w:szCs w:val="22"/>
          <w:lang w:val="en-GB"/>
        </w:rPr>
        <w:t xml:space="preserve"> </w:t>
      </w:r>
      <w:r w:rsidR="009862EC">
        <w:rPr>
          <w:rFonts w:ascii="Avenir Next" w:hAnsi="Avenir Next" w:cs="Arial"/>
          <w:color w:val="7B7B7B" w:themeColor="accent3" w:themeShade="BF"/>
          <w:sz w:val="22"/>
          <w:szCs w:val="22"/>
          <w:lang w:val="en-GB"/>
        </w:rPr>
        <w:t>the more recent years</w:t>
      </w:r>
      <w:r w:rsidR="009D53A8">
        <w:rPr>
          <w:rFonts w:ascii="Avenir Next" w:hAnsi="Avenir Next" w:cs="Arial"/>
          <w:color w:val="7B7B7B" w:themeColor="accent3" w:themeShade="BF"/>
          <w:sz w:val="22"/>
          <w:szCs w:val="22"/>
          <w:lang w:val="en-GB"/>
        </w:rPr>
        <w:t xml:space="preserve"> </w:t>
      </w:r>
      <w:r w:rsidR="00845F3D">
        <w:rPr>
          <w:rFonts w:ascii="Avenir Next" w:hAnsi="Avenir Next" w:cs="Arial"/>
          <w:color w:val="7B7B7B" w:themeColor="accent3" w:themeShade="BF"/>
          <w:sz w:val="22"/>
          <w:szCs w:val="22"/>
          <w:lang w:val="en-GB"/>
        </w:rPr>
        <w:t>in the States mentioned.</w:t>
      </w:r>
    </w:p>
    <w:p w14:paraId="572227E7" w14:textId="10041403" w:rsidR="0045683E" w:rsidRPr="00827D56" w:rsidRDefault="0045683E" w:rsidP="00C053F7">
      <w:pPr>
        <w:jc w:val="both"/>
        <w:rPr>
          <w:rFonts w:ascii="Avenir Next" w:hAnsi="Avenir Next" w:cs="Arial"/>
          <w:sz w:val="22"/>
          <w:szCs w:val="22"/>
          <w:lang w:val="en-GB"/>
        </w:rPr>
      </w:pPr>
    </w:p>
    <w:p w14:paraId="383B5930" w14:textId="77777777" w:rsidR="00C550C8" w:rsidRPr="00827D56" w:rsidRDefault="00C550C8" w:rsidP="00C053F7">
      <w:pPr>
        <w:jc w:val="both"/>
        <w:rPr>
          <w:rFonts w:ascii="Avenir Next" w:hAnsi="Avenir Next" w:cs="Arial"/>
          <w:sz w:val="22"/>
          <w:szCs w:val="22"/>
          <w:lang w:val="en-GB"/>
        </w:rPr>
      </w:pPr>
    </w:p>
    <w:p w14:paraId="170A9E71" w14:textId="288A5321" w:rsidR="00962045" w:rsidRPr="004D3AF4" w:rsidRDefault="00DF75F8" w:rsidP="004D3AF4">
      <w:pPr>
        <w:rPr>
          <w:rFonts w:ascii="Avenir Next" w:hAnsi="Avenir Next" w:cs="Arial"/>
          <w:b/>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024A332" w14:textId="0523E6AF" w:rsidR="00544127" w:rsidRPr="00827D56" w:rsidRDefault="00EC301E"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While there ar</w:t>
      </w:r>
      <w:r w:rsidR="00681F9C">
        <w:rPr>
          <w:rFonts w:ascii="Avenir Next" w:hAnsi="Avenir Next" w:cs="Arial"/>
          <w:color w:val="7B7B7B" w:themeColor="accent3" w:themeShade="BF"/>
          <w:sz w:val="22"/>
          <w:szCs w:val="22"/>
          <w:lang w:val="en-GB"/>
        </w:rPr>
        <w:t xml:space="preserve">e </w:t>
      </w:r>
      <w:r>
        <w:rPr>
          <w:rFonts w:ascii="Avenir Next" w:hAnsi="Avenir Next" w:cs="Arial"/>
          <w:color w:val="7B7B7B" w:themeColor="accent3" w:themeShade="BF"/>
          <w:sz w:val="22"/>
          <w:szCs w:val="22"/>
          <w:lang w:val="en-GB"/>
        </w:rPr>
        <w:t xml:space="preserve">similarities between the principles of </w:t>
      </w:r>
      <w:r w:rsidR="00681F9C">
        <w:rPr>
          <w:rFonts w:ascii="Avenir Next" w:hAnsi="Avenir Next" w:cs="Arial"/>
          <w:color w:val="7B7B7B" w:themeColor="accent3" w:themeShade="BF"/>
          <w:sz w:val="22"/>
          <w:szCs w:val="22"/>
          <w:lang w:val="en-GB"/>
        </w:rPr>
        <w:t>p</w:t>
      </w:r>
      <w:r w:rsidR="00B12A94">
        <w:rPr>
          <w:rFonts w:ascii="Avenir Next" w:hAnsi="Avenir Next" w:cs="Arial"/>
          <w:color w:val="7B7B7B" w:themeColor="accent3" w:themeShade="BF"/>
          <w:sz w:val="22"/>
          <w:szCs w:val="22"/>
          <w:lang w:val="en-GB"/>
        </w:rPr>
        <w:t xml:space="preserve">ersonal </w:t>
      </w:r>
      <w:r w:rsidR="0040168B">
        <w:rPr>
          <w:rFonts w:ascii="Avenir Next" w:hAnsi="Avenir Next" w:cs="Arial"/>
          <w:color w:val="7B7B7B" w:themeColor="accent3" w:themeShade="BF"/>
          <w:sz w:val="22"/>
          <w:szCs w:val="22"/>
          <w:lang w:val="en-GB"/>
        </w:rPr>
        <w:t xml:space="preserve">insolvency </w:t>
      </w:r>
      <w:r w:rsidR="00C83844">
        <w:rPr>
          <w:rFonts w:ascii="Avenir Next" w:hAnsi="Avenir Next" w:cs="Arial"/>
          <w:color w:val="7B7B7B" w:themeColor="accent3" w:themeShade="BF"/>
          <w:sz w:val="22"/>
          <w:szCs w:val="22"/>
          <w:lang w:val="en-GB"/>
        </w:rPr>
        <w:t xml:space="preserve">and </w:t>
      </w:r>
      <w:r w:rsidR="00681F9C">
        <w:rPr>
          <w:rFonts w:ascii="Avenir Next" w:hAnsi="Avenir Next" w:cs="Arial"/>
          <w:color w:val="7B7B7B" w:themeColor="accent3" w:themeShade="BF"/>
          <w:sz w:val="22"/>
          <w:szCs w:val="22"/>
          <w:lang w:val="en-GB"/>
        </w:rPr>
        <w:t>corporate</w:t>
      </w:r>
      <w:r w:rsidR="00B12A94">
        <w:rPr>
          <w:rFonts w:ascii="Avenir Next" w:hAnsi="Avenir Next" w:cs="Arial"/>
          <w:color w:val="7B7B7B" w:themeColor="accent3" w:themeShade="BF"/>
          <w:sz w:val="22"/>
          <w:szCs w:val="22"/>
          <w:lang w:val="en-GB"/>
        </w:rPr>
        <w:t xml:space="preserve"> insolvency</w:t>
      </w:r>
      <w:r w:rsidR="002B4231">
        <w:rPr>
          <w:rFonts w:ascii="Avenir Next" w:hAnsi="Avenir Next" w:cs="Arial"/>
          <w:color w:val="7B7B7B" w:themeColor="accent3" w:themeShade="BF"/>
          <w:sz w:val="22"/>
          <w:szCs w:val="22"/>
          <w:lang w:val="en-GB"/>
        </w:rPr>
        <w:t xml:space="preserve">, the differences </w:t>
      </w:r>
      <w:r w:rsidR="001C1F71">
        <w:rPr>
          <w:rFonts w:ascii="Avenir Next" w:hAnsi="Avenir Next" w:cs="Arial"/>
          <w:color w:val="7B7B7B" w:themeColor="accent3" w:themeShade="BF"/>
          <w:sz w:val="22"/>
          <w:szCs w:val="22"/>
          <w:lang w:val="en-GB"/>
        </w:rPr>
        <w:t>understandably</w:t>
      </w:r>
      <w:r w:rsidR="00F769F2">
        <w:rPr>
          <w:rFonts w:ascii="Avenir Next" w:hAnsi="Avenir Next" w:cs="Arial"/>
          <w:color w:val="7B7B7B" w:themeColor="accent3" w:themeShade="BF"/>
          <w:sz w:val="22"/>
          <w:szCs w:val="22"/>
          <w:lang w:val="en-GB"/>
        </w:rPr>
        <w:t xml:space="preserve"> o</w:t>
      </w:r>
      <w:r w:rsidR="00EF3743">
        <w:rPr>
          <w:rFonts w:ascii="Avenir Next" w:hAnsi="Avenir Next" w:cs="Arial"/>
          <w:color w:val="7B7B7B" w:themeColor="accent3" w:themeShade="BF"/>
          <w:sz w:val="22"/>
          <w:szCs w:val="22"/>
          <w:lang w:val="en-GB"/>
        </w:rPr>
        <w:t>vershadow th</w:t>
      </w:r>
      <w:r w:rsidR="00396565">
        <w:rPr>
          <w:rFonts w:ascii="Avenir Next" w:hAnsi="Avenir Next" w:cs="Arial"/>
          <w:color w:val="7B7B7B" w:themeColor="accent3" w:themeShade="BF"/>
          <w:sz w:val="22"/>
          <w:szCs w:val="22"/>
          <w:lang w:val="en-GB"/>
        </w:rPr>
        <w:t xml:space="preserve">ose </w:t>
      </w:r>
      <w:r w:rsidR="002C095D">
        <w:rPr>
          <w:rFonts w:ascii="Avenir Next" w:hAnsi="Avenir Next" w:cs="Arial"/>
          <w:color w:val="7B7B7B" w:themeColor="accent3" w:themeShade="BF"/>
          <w:sz w:val="22"/>
          <w:szCs w:val="22"/>
          <w:lang w:val="en-GB"/>
        </w:rPr>
        <w:t>parallels. Personal insolvency</w:t>
      </w:r>
      <w:r w:rsidR="00933307">
        <w:rPr>
          <w:rFonts w:ascii="Avenir Next" w:hAnsi="Avenir Next" w:cs="Arial"/>
          <w:color w:val="7B7B7B" w:themeColor="accent3" w:themeShade="BF"/>
          <w:sz w:val="22"/>
          <w:szCs w:val="22"/>
          <w:lang w:val="en-GB"/>
        </w:rPr>
        <w:t xml:space="preserve">, in many </w:t>
      </w:r>
      <w:r w:rsidR="00FA74DC">
        <w:rPr>
          <w:rFonts w:ascii="Avenir Next" w:hAnsi="Avenir Next" w:cs="Arial"/>
          <w:color w:val="7B7B7B" w:themeColor="accent3" w:themeShade="BF"/>
          <w:sz w:val="22"/>
          <w:szCs w:val="22"/>
          <w:lang w:val="en-GB"/>
        </w:rPr>
        <w:t>States known as bankruptcy,</w:t>
      </w:r>
      <w:r w:rsidR="00A90946">
        <w:rPr>
          <w:rFonts w:ascii="Avenir Next" w:hAnsi="Avenir Next" w:cs="Arial"/>
          <w:color w:val="7B7B7B" w:themeColor="accent3" w:themeShade="BF"/>
          <w:sz w:val="22"/>
          <w:szCs w:val="22"/>
          <w:lang w:val="en-GB"/>
        </w:rPr>
        <w:t xml:space="preserve"> </w:t>
      </w:r>
      <w:r w:rsidR="002C095D">
        <w:rPr>
          <w:rFonts w:ascii="Avenir Next" w:hAnsi="Avenir Next" w:cs="Arial"/>
          <w:color w:val="7B7B7B" w:themeColor="accent3" w:themeShade="BF"/>
          <w:sz w:val="22"/>
          <w:szCs w:val="22"/>
          <w:lang w:val="en-GB"/>
        </w:rPr>
        <w:t xml:space="preserve">focuses on the individual </w:t>
      </w:r>
      <w:r w:rsidR="0079508B">
        <w:rPr>
          <w:rFonts w:ascii="Avenir Next" w:hAnsi="Avenir Next" w:cs="Arial"/>
          <w:color w:val="7B7B7B" w:themeColor="accent3" w:themeShade="BF"/>
          <w:sz w:val="22"/>
          <w:szCs w:val="22"/>
          <w:lang w:val="en-GB"/>
        </w:rPr>
        <w:t xml:space="preserve">and corporate insolvency focuses on </w:t>
      </w:r>
      <w:r w:rsidR="00181C26">
        <w:rPr>
          <w:rFonts w:ascii="Avenir Next" w:hAnsi="Avenir Next" w:cs="Arial"/>
          <w:color w:val="7B7B7B" w:themeColor="accent3" w:themeShade="BF"/>
          <w:sz w:val="22"/>
          <w:szCs w:val="22"/>
          <w:lang w:val="en-GB"/>
        </w:rPr>
        <w:t>corporations or compan</w:t>
      </w:r>
      <w:r w:rsidR="00FC15CA">
        <w:rPr>
          <w:rFonts w:ascii="Avenir Next" w:hAnsi="Avenir Next" w:cs="Arial"/>
          <w:color w:val="7B7B7B" w:themeColor="accent3" w:themeShade="BF"/>
          <w:sz w:val="22"/>
          <w:szCs w:val="22"/>
          <w:lang w:val="en-GB"/>
        </w:rPr>
        <w:t xml:space="preserve">ies. A </w:t>
      </w:r>
      <w:r w:rsidR="00CA4326">
        <w:rPr>
          <w:rFonts w:ascii="Avenir Next" w:hAnsi="Avenir Next" w:cs="Arial"/>
          <w:color w:val="7B7B7B" w:themeColor="accent3" w:themeShade="BF"/>
          <w:sz w:val="22"/>
          <w:szCs w:val="22"/>
          <w:lang w:val="en-GB"/>
        </w:rPr>
        <w:t>crucial</w:t>
      </w:r>
      <w:r w:rsidR="00FC15CA">
        <w:rPr>
          <w:rFonts w:ascii="Avenir Next" w:hAnsi="Avenir Next" w:cs="Arial"/>
          <w:color w:val="7B7B7B" w:themeColor="accent3" w:themeShade="BF"/>
          <w:sz w:val="22"/>
          <w:szCs w:val="22"/>
          <w:lang w:val="en-GB"/>
        </w:rPr>
        <w:t xml:space="preserve"> </w:t>
      </w:r>
      <w:r w:rsidR="006542B2">
        <w:rPr>
          <w:rFonts w:ascii="Avenir Next" w:hAnsi="Avenir Next" w:cs="Arial"/>
          <w:color w:val="7B7B7B" w:themeColor="accent3" w:themeShade="BF"/>
          <w:sz w:val="22"/>
          <w:szCs w:val="22"/>
          <w:lang w:val="en-GB"/>
        </w:rPr>
        <w:t xml:space="preserve">distinction between the two is that </w:t>
      </w:r>
      <w:r w:rsidR="00E341B3">
        <w:rPr>
          <w:rFonts w:ascii="Avenir Next" w:hAnsi="Avenir Next" w:cs="Arial"/>
          <w:color w:val="7B7B7B" w:themeColor="accent3" w:themeShade="BF"/>
          <w:sz w:val="22"/>
          <w:szCs w:val="22"/>
          <w:lang w:val="en-GB"/>
        </w:rPr>
        <w:t xml:space="preserve">in </w:t>
      </w:r>
      <w:r w:rsidR="006542B2">
        <w:rPr>
          <w:rFonts w:ascii="Avenir Next" w:hAnsi="Avenir Next" w:cs="Arial"/>
          <w:color w:val="7B7B7B" w:themeColor="accent3" w:themeShade="BF"/>
          <w:sz w:val="22"/>
          <w:szCs w:val="22"/>
          <w:lang w:val="en-GB"/>
        </w:rPr>
        <w:t>personal insolvency</w:t>
      </w:r>
      <w:r w:rsidR="00E53348">
        <w:rPr>
          <w:rFonts w:ascii="Avenir Next" w:hAnsi="Avenir Next" w:cs="Arial"/>
          <w:color w:val="7B7B7B" w:themeColor="accent3" w:themeShade="BF"/>
          <w:sz w:val="22"/>
          <w:szCs w:val="22"/>
          <w:lang w:val="en-GB"/>
        </w:rPr>
        <w:t xml:space="preserve"> </w:t>
      </w:r>
      <w:r w:rsidR="00E341B3">
        <w:rPr>
          <w:rFonts w:ascii="Avenir Next" w:hAnsi="Avenir Next" w:cs="Arial"/>
          <w:color w:val="7B7B7B" w:themeColor="accent3" w:themeShade="BF"/>
          <w:sz w:val="22"/>
          <w:szCs w:val="22"/>
          <w:lang w:val="en-GB"/>
        </w:rPr>
        <w:t xml:space="preserve">the individual </w:t>
      </w:r>
      <w:r w:rsidR="006A7858">
        <w:rPr>
          <w:rFonts w:ascii="Avenir Next" w:hAnsi="Avenir Next" w:cs="Arial"/>
          <w:color w:val="7B7B7B" w:themeColor="accent3" w:themeShade="BF"/>
          <w:sz w:val="22"/>
          <w:szCs w:val="22"/>
          <w:lang w:val="en-GB"/>
        </w:rPr>
        <w:t>is not wound up but rather their assets</w:t>
      </w:r>
      <w:r w:rsidR="009F62BD">
        <w:rPr>
          <w:rFonts w:ascii="Avenir Next" w:hAnsi="Avenir Next" w:cs="Arial"/>
          <w:color w:val="7B7B7B" w:themeColor="accent3" w:themeShade="BF"/>
          <w:sz w:val="22"/>
          <w:szCs w:val="22"/>
          <w:lang w:val="en-GB"/>
        </w:rPr>
        <w:t xml:space="preserve"> are,</w:t>
      </w:r>
      <w:r w:rsidR="006A7858">
        <w:rPr>
          <w:rFonts w:ascii="Avenir Next" w:hAnsi="Avenir Next" w:cs="Arial"/>
          <w:color w:val="7B7B7B" w:themeColor="accent3" w:themeShade="BF"/>
          <w:sz w:val="22"/>
          <w:szCs w:val="22"/>
          <w:lang w:val="en-GB"/>
        </w:rPr>
        <w:t xml:space="preserve"> </w:t>
      </w:r>
      <w:r w:rsidR="005C33CD">
        <w:rPr>
          <w:rFonts w:ascii="Avenir Next" w:hAnsi="Avenir Next" w:cs="Arial"/>
          <w:color w:val="7B7B7B" w:themeColor="accent3" w:themeShade="BF"/>
          <w:sz w:val="22"/>
          <w:szCs w:val="22"/>
          <w:lang w:val="en-GB"/>
        </w:rPr>
        <w:t>yet in corporate insolvency the company(s) involved</w:t>
      </w:r>
      <w:r w:rsidR="000E16A2">
        <w:rPr>
          <w:rFonts w:ascii="Avenir Next" w:hAnsi="Avenir Next" w:cs="Arial"/>
          <w:color w:val="7B7B7B" w:themeColor="accent3" w:themeShade="BF"/>
          <w:sz w:val="22"/>
          <w:szCs w:val="22"/>
          <w:lang w:val="en-GB"/>
        </w:rPr>
        <w:t xml:space="preserve"> can be wound up or dissolved.</w:t>
      </w:r>
      <w:r w:rsidR="00802084">
        <w:rPr>
          <w:rFonts w:ascii="Avenir Next" w:hAnsi="Avenir Next" w:cs="Arial"/>
          <w:color w:val="7B7B7B" w:themeColor="accent3" w:themeShade="BF"/>
          <w:sz w:val="22"/>
          <w:szCs w:val="22"/>
          <w:lang w:val="en-GB"/>
        </w:rPr>
        <w:t xml:space="preserve"> </w:t>
      </w:r>
      <w:r w:rsidR="00611F08">
        <w:rPr>
          <w:rFonts w:ascii="Avenir Next" w:hAnsi="Avenir Next" w:cs="Arial"/>
          <w:color w:val="7B7B7B" w:themeColor="accent3" w:themeShade="BF"/>
          <w:sz w:val="22"/>
          <w:szCs w:val="22"/>
          <w:lang w:val="en-GB"/>
        </w:rPr>
        <w:t>P</w:t>
      </w:r>
      <w:r w:rsidR="00DC64A1">
        <w:rPr>
          <w:rFonts w:ascii="Avenir Next" w:hAnsi="Avenir Next" w:cs="Arial"/>
          <w:color w:val="7B7B7B" w:themeColor="accent3" w:themeShade="BF"/>
          <w:sz w:val="22"/>
          <w:szCs w:val="22"/>
          <w:lang w:val="en-GB"/>
        </w:rPr>
        <w:t xml:space="preserve">ersonal insolvency proceedings </w:t>
      </w:r>
      <w:r w:rsidR="00EA4C56">
        <w:rPr>
          <w:rFonts w:ascii="Avenir Next" w:hAnsi="Avenir Next" w:cs="Arial"/>
          <w:color w:val="7B7B7B" w:themeColor="accent3" w:themeShade="BF"/>
          <w:sz w:val="22"/>
          <w:szCs w:val="22"/>
          <w:lang w:val="en-GB"/>
        </w:rPr>
        <w:t xml:space="preserve">allow the individual certain </w:t>
      </w:r>
      <w:r w:rsidR="000833C6">
        <w:rPr>
          <w:rFonts w:ascii="Avenir Next" w:hAnsi="Avenir Next" w:cs="Arial"/>
          <w:color w:val="7B7B7B" w:themeColor="accent3" w:themeShade="BF"/>
          <w:sz w:val="22"/>
          <w:szCs w:val="22"/>
          <w:lang w:val="en-GB"/>
        </w:rPr>
        <w:t xml:space="preserve">conveniences that companies do not have; </w:t>
      </w:r>
      <w:r w:rsidR="00340B8A">
        <w:rPr>
          <w:rFonts w:ascii="Avenir Next" w:hAnsi="Avenir Next" w:cs="Arial"/>
          <w:color w:val="7B7B7B" w:themeColor="accent3" w:themeShade="BF"/>
          <w:sz w:val="22"/>
          <w:szCs w:val="22"/>
          <w:lang w:val="en-GB"/>
        </w:rPr>
        <w:t>an individual in a personal insolvency proceeding</w:t>
      </w:r>
      <w:r w:rsidR="006428BA">
        <w:rPr>
          <w:rFonts w:ascii="Avenir Next" w:hAnsi="Avenir Next" w:cs="Arial"/>
          <w:color w:val="7B7B7B" w:themeColor="accent3" w:themeShade="BF"/>
          <w:sz w:val="22"/>
          <w:szCs w:val="22"/>
          <w:lang w:val="en-GB"/>
        </w:rPr>
        <w:t xml:space="preserve"> </w:t>
      </w:r>
      <w:r w:rsidR="00B95551">
        <w:rPr>
          <w:rFonts w:ascii="Avenir Next" w:hAnsi="Avenir Next" w:cs="Arial"/>
          <w:color w:val="7B7B7B" w:themeColor="accent3" w:themeShade="BF"/>
          <w:sz w:val="22"/>
          <w:szCs w:val="22"/>
          <w:lang w:val="en-GB"/>
        </w:rPr>
        <w:t>is able to maintain certain assets to survive</w:t>
      </w:r>
      <w:r w:rsidR="00014A62">
        <w:rPr>
          <w:rFonts w:ascii="Avenir Next" w:hAnsi="Avenir Next" w:cs="Arial"/>
          <w:color w:val="7B7B7B" w:themeColor="accent3" w:themeShade="BF"/>
          <w:sz w:val="22"/>
          <w:szCs w:val="22"/>
          <w:lang w:val="en-GB"/>
        </w:rPr>
        <w:t xml:space="preserve">, whereas companies that </w:t>
      </w:r>
      <w:r w:rsidR="00611F08">
        <w:rPr>
          <w:rFonts w:ascii="Avenir Next" w:hAnsi="Avenir Next" w:cs="Arial"/>
          <w:color w:val="7B7B7B" w:themeColor="accent3" w:themeShade="BF"/>
          <w:sz w:val="22"/>
          <w:szCs w:val="22"/>
          <w:lang w:val="en-GB"/>
        </w:rPr>
        <w:t>enter</w:t>
      </w:r>
      <w:r w:rsidR="00014A62">
        <w:rPr>
          <w:rFonts w:ascii="Avenir Next" w:hAnsi="Avenir Next" w:cs="Arial"/>
          <w:color w:val="7B7B7B" w:themeColor="accent3" w:themeShade="BF"/>
          <w:sz w:val="22"/>
          <w:szCs w:val="22"/>
          <w:lang w:val="en-GB"/>
        </w:rPr>
        <w:t xml:space="preserve"> </w:t>
      </w:r>
      <w:r w:rsidR="00C544C8">
        <w:rPr>
          <w:rFonts w:ascii="Avenir Next" w:hAnsi="Avenir Next" w:cs="Arial"/>
          <w:color w:val="7B7B7B" w:themeColor="accent3" w:themeShade="BF"/>
          <w:sz w:val="22"/>
          <w:szCs w:val="22"/>
          <w:lang w:val="en-GB"/>
        </w:rPr>
        <w:t>liquidation proceedings</w:t>
      </w:r>
      <w:r w:rsidR="00F10B88">
        <w:rPr>
          <w:rFonts w:ascii="Avenir Next" w:hAnsi="Avenir Next" w:cs="Arial"/>
          <w:color w:val="7B7B7B" w:themeColor="accent3" w:themeShade="BF"/>
          <w:sz w:val="22"/>
          <w:szCs w:val="22"/>
          <w:lang w:val="en-GB"/>
        </w:rPr>
        <w:t xml:space="preserve"> must</w:t>
      </w:r>
      <w:r w:rsidR="002E5E89">
        <w:rPr>
          <w:rFonts w:ascii="Avenir Next" w:hAnsi="Avenir Next" w:cs="Arial"/>
          <w:color w:val="7B7B7B" w:themeColor="accent3" w:themeShade="BF"/>
          <w:sz w:val="22"/>
          <w:szCs w:val="22"/>
          <w:lang w:val="en-GB"/>
        </w:rPr>
        <w:t xml:space="preserve"> liquidate all assets where applicable</w:t>
      </w:r>
      <w:r w:rsidR="00E04425">
        <w:rPr>
          <w:rFonts w:ascii="Avenir Next" w:hAnsi="Avenir Next" w:cs="Arial"/>
          <w:color w:val="7B7B7B" w:themeColor="accent3" w:themeShade="BF"/>
          <w:sz w:val="22"/>
          <w:szCs w:val="22"/>
          <w:lang w:val="en-GB"/>
        </w:rPr>
        <w:t xml:space="preserve"> and are thereafter dissolved.</w:t>
      </w:r>
      <w:r w:rsidR="00DB0DB3">
        <w:rPr>
          <w:rFonts w:ascii="Avenir Next" w:hAnsi="Avenir Next" w:cs="Arial"/>
          <w:color w:val="7B7B7B" w:themeColor="accent3" w:themeShade="BF"/>
          <w:sz w:val="22"/>
          <w:szCs w:val="22"/>
          <w:lang w:val="en-GB"/>
        </w:rPr>
        <w:t xml:space="preserve"> </w:t>
      </w:r>
      <w:r w:rsidR="00611F08">
        <w:rPr>
          <w:rFonts w:ascii="Avenir Next" w:hAnsi="Avenir Next" w:cs="Arial"/>
          <w:color w:val="7B7B7B" w:themeColor="accent3" w:themeShade="BF"/>
          <w:sz w:val="22"/>
          <w:szCs w:val="22"/>
          <w:lang w:val="en-GB"/>
        </w:rPr>
        <w:t xml:space="preserve">Furthermore, </w:t>
      </w:r>
      <w:r w:rsidR="001471AF">
        <w:rPr>
          <w:rFonts w:ascii="Avenir Next" w:hAnsi="Avenir Next" w:cs="Arial"/>
          <w:color w:val="7B7B7B" w:themeColor="accent3" w:themeShade="BF"/>
          <w:sz w:val="22"/>
          <w:szCs w:val="22"/>
          <w:lang w:val="en-GB"/>
        </w:rPr>
        <w:t xml:space="preserve">in simple terms, </w:t>
      </w:r>
      <w:r w:rsidR="00611F08">
        <w:rPr>
          <w:rFonts w:ascii="Avenir Next" w:hAnsi="Avenir Next" w:cs="Arial"/>
          <w:color w:val="7B7B7B" w:themeColor="accent3" w:themeShade="BF"/>
          <w:sz w:val="22"/>
          <w:szCs w:val="22"/>
          <w:lang w:val="en-GB"/>
        </w:rPr>
        <w:t xml:space="preserve">corporate insolvency </w:t>
      </w:r>
      <w:r w:rsidR="005A7C06">
        <w:rPr>
          <w:rFonts w:ascii="Avenir Next" w:hAnsi="Avenir Next" w:cs="Arial"/>
          <w:color w:val="7B7B7B" w:themeColor="accent3" w:themeShade="BF"/>
          <w:sz w:val="22"/>
          <w:szCs w:val="22"/>
          <w:lang w:val="en-GB"/>
        </w:rPr>
        <w:t xml:space="preserve">laws </w:t>
      </w:r>
      <w:r w:rsidR="002E29C7">
        <w:rPr>
          <w:rFonts w:ascii="Avenir Next" w:hAnsi="Avenir Next" w:cs="Arial"/>
          <w:color w:val="7B7B7B" w:themeColor="accent3" w:themeShade="BF"/>
          <w:sz w:val="22"/>
          <w:szCs w:val="22"/>
          <w:lang w:val="en-GB"/>
        </w:rPr>
        <w:t xml:space="preserve">in certain jurisdictions </w:t>
      </w:r>
      <w:r w:rsidR="005A7C06">
        <w:rPr>
          <w:rFonts w:ascii="Avenir Next" w:hAnsi="Avenir Next" w:cs="Arial"/>
          <w:color w:val="7B7B7B" w:themeColor="accent3" w:themeShade="BF"/>
          <w:sz w:val="22"/>
          <w:szCs w:val="22"/>
          <w:lang w:val="en-GB"/>
        </w:rPr>
        <w:t>allow</w:t>
      </w:r>
      <w:r w:rsidR="009264BF">
        <w:rPr>
          <w:rFonts w:ascii="Avenir Next" w:hAnsi="Avenir Next" w:cs="Arial"/>
          <w:color w:val="7B7B7B" w:themeColor="accent3" w:themeShade="BF"/>
          <w:sz w:val="22"/>
          <w:szCs w:val="22"/>
          <w:lang w:val="en-GB"/>
        </w:rPr>
        <w:t xml:space="preserve"> for</w:t>
      </w:r>
      <w:r w:rsidR="00FA2116">
        <w:rPr>
          <w:rFonts w:ascii="Avenir Next" w:hAnsi="Avenir Next" w:cs="Arial"/>
          <w:color w:val="7B7B7B" w:themeColor="accent3" w:themeShade="BF"/>
          <w:sz w:val="22"/>
          <w:szCs w:val="22"/>
          <w:lang w:val="en-GB"/>
        </w:rPr>
        <w:t xml:space="preserve"> the</w:t>
      </w:r>
      <w:r w:rsidR="009264BF">
        <w:rPr>
          <w:rFonts w:ascii="Avenir Next" w:hAnsi="Avenir Next" w:cs="Arial"/>
          <w:color w:val="7B7B7B" w:themeColor="accent3" w:themeShade="BF"/>
          <w:sz w:val="22"/>
          <w:szCs w:val="22"/>
          <w:lang w:val="en-GB"/>
        </w:rPr>
        <w:t xml:space="preserve"> implementation of reorganisation</w:t>
      </w:r>
      <w:r w:rsidR="001471AF">
        <w:rPr>
          <w:rFonts w:ascii="Avenir Next" w:hAnsi="Avenir Next" w:cs="Arial"/>
          <w:color w:val="7B7B7B" w:themeColor="accent3" w:themeShade="BF"/>
          <w:sz w:val="22"/>
          <w:szCs w:val="22"/>
          <w:lang w:val="en-GB"/>
        </w:rPr>
        <w:t xml:space="preserve"> or liquidation </w:t>
      </w:r>
      <w:r w:rsidR="00EF64E3">
        <w:rPr>
          <w:rFonts w:ascii="Avenir Next" w:hAnsi="Avenir Next" w:cs="Arial"/>
          <w:color w:val="7B7B7B" w:themeColor="accent3" w:themeShade="BF"/>
          <w:sz w:val="22"/>
          <w:szCs w:val="22"/>
          <w:lang w:val="en-GB"/>
        </w:rPr>
        <w:t>though</w:t>
      </w:r>
      <w:r w:rsidR="00FA2116">
        <w:rPr>
          <w:rFonts w:ascii="Avenir Next" w:hAnsi="Avenir Next" w:cs="Arial"/>
          <w:color w:val="7B7B7B" w:themeColor="accent3" w:themeShade="BF"/>
          <w:sz w:val="22"/>
          <w:szCs w:val="22"/>
          <w:lang w:val="en-GB"/>
        </w:rPr>
        <w:t xml:space="preserve"> personal insolvency does not provide those same distinctions. </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827D56" w:rsidRDefault="00DF75F8" w:rsidP="00C053F7">
      <w:pPr>
        <w:jc w:val="both"/>
        <w:rPr>
          <w:rFonts w:ascii="Avenir Next" w:hAnsi="Avenir Next" w:cs="Arial"/>
          <w:sz w:val="22"/>
          <w:szCs w:val="22"/>
          <w:lang w:val="en-GB"/>
        </w:rPr>
      </w:pPr>
    </w:p>
    <w:p w14:paraId="7940D274" w14:textId="3576F987" w:rsidR="00DF75F8" w:rsidRPr="00827D56" w:rsidRDefault="00DF75F8" w:rsidP="00C053F7">
      <w:pPr>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[Type your answer here]</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E83D7AF" w14:textId="304F7C8C" w:rsidR="00DF75F8" w:rsidRPr="00827D56" w:rsidRDefault="00DF75F8" w:rsidP="00C053F7">
      <w:pPr>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[Type your answer here]</w:t>
      </w:r>
    </w:p>
    <w:p w14:paraId="4AE7EA78" w14:textId="24C76947" w:rsidR="007D7C92" w:rsidRPr="00827D56" w:rsidRDefault="007D7C92" w:rsidP="00C053F7">
      <w:pPr>
        <w:ind w:left="720" w:hanging="720"/>
        <w:jc w:val="both"/>
        <w:rPr>
          <w:rFonts w:ascii="Avenir Next" w:hAnsi="Avenir Next" w:cs="Arial"/>
          <w:sz w:val="22"/>
          <w:szCs w:val="22"/>
          <w:lang w:val="en-GB"/>
        </w:rPr>
      </w:pP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Erewhon before moving its registration and head office to Utopia one month ago.  Apex Pty Ltd (Apex) is incorporated and has its head office in Erewhon.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6EA2156C" w14:textId="5B1CBA1B" w:rsidR="00827D56" w:rsidRDefault="00827D56" w:rsidP="00C053F7">
      <w:pPr>
        <w:autoSpaceDE w:val="0"/>
        <w:autoSpaceDN w:val="0"/>
        <w:adjustRightInd w:val="0"/>
        <w:jc w:val="both"/>
        <w:rPr>
          <w:rFonts w:ascii="Avenir Next" w:hAnsi="Avenir Next" w:cs="Arial"/>
          <w:sz w:val="22"/>
          <w:szCs w:val="22"/>
          <w:lang w:val="en-GB"/>
        </w:rPr>
      </w:pPr>
    </w:p>
    <w:p w14:paraId="781C90F8" w14:textId="77777777"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0D37BBBB" w14:textId="2E29B1ED" w:rsidR="002F75A3" w:rsidRPr="00827D56" w:rsidRDefault="002F75A3" w:rsidP="00C053F7">
      <w:pPr>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[Type your answer here]</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Erewhon winding-up order. </w:t>
      </w:r>
    </w:p>
    <w:p w14:paraId="67BB985E" w14:textId="6662414A" w:rsidR="009B0723" w:rsidRPr="00827D56" w:rsidRDefault="009B0723" w:rsidP="00C053F7">
      <w:pPr>
        <w:autoSpaceDE w:val="0"/>
        <w:autoSpaceDN w:val="0"/>
        <w:adjustRightInd w:val="0"/>
        <w:spacing w:line="276" w:lineRule="auto"/>
        <w:jc w:val="both"/>
        <w:rPr>
          <w:rFonts w:ascii="Avenir Next" w:hAnsi="Avenir Next" w:cs="Arial"/>
          <w:sz w:val="22"/>
          <w:szCs w:val="22"/>
          <w:lang w:val="en-GB"/>
        </w:rPr>
      </w:pPr>
    </w:p>
    <w:p w14:paraId="626FA5C6" w14:textId="073F1975"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color w:val="7B7B7B" w:themeColor="accent3" w:themeShade="BF"/>
          <w:sz w:val="22"/>
          <w:szCs w:val="22"/>
          <w:lang w:val="en-GB"/>
        </w:rPr>
        <w:t>[Type your answer here]</w:t>
      </w: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lastRenderedPageBreak/>
        <w:t xml:space="preserve">  </w:t>
      </w:r>
    </w:p>
    <w:p w14:paraId="7938A593" w14:textId="45DF0C92" w:rsidR="002D0021" w:rsidRPr="00827D56"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44D8DC8E" w14:textId="77777777" w:rsidR="002D0021" w:rsidRPr="00827D56" w:rsidRDefault="002D0021" w:rsidP="00C053F7">
      <w:pPr>
        <w:jc w:val="both"/>
        <w:rPr>
          <w:rFonts w:ascii="Avenir Next" w:hAnsi="Avenir Next" w:cs="Arial"/>
          <w:sz w:val="22"/>
          <w:szCs w:val="22"/>
          <w:lang w:val="en-GB"/>
        </w:rPr>
      </w:pPr>
    </w:p>
    <w:p w14:paraId="77CE8695" w14:textId="77777777" w:rsidR="0077498C" w:rsidRPr="00827D56" w:rsidRDefault="0033768C" w:rsidP="00C053F7">
      <w:pPr>
        <w:jc w:val="both"/>
        <w:rPr>
          <w:rFonts w:ascii="Avenir Next" w:hAnsi="Avenir Next" w:cs="Arial"/>
          <w:color w:val="000000" w:themeColor="text1"/>
          <w:sz w:val="22"/>
          <w:szCs w:val="22"/>
          <w:lang w:val="en-GB"/>
        </w:rPr>
      </w:pPr>
      <w:r w:rsidRPr="00827D56">
        <w:rPr>
          <w:rFonts w:ascii="Avenir Next" w:hAnsi="Avenir Next" w:cs="Arial"/>
          <w:color w:val="7B7B7B" w:themeColor="accent3" w:themeShade="BF"/>
          <w:sz w:val="22"/>
          <w:szCs w:val="22"/>
          <w:lang w:val="en-GB"/>
        </w:rPr>
        <w:t>[Type your answer here]</w:t>
      </w: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7944D" w14:textId="77777777" w:rsidR="00220C79" w:rsidRDefault="00220C79" w:rsidP="00241B44">
      <w:r>
        <w:separator/>
      </w:r>
    </w:p>
  </w:endnote>
  <w:endnote w:type="continuationSeparator" w:id="0">
    <w:p w14:paraId="7D446546" w14:textId="77777777" w:rsidR="00220C79" w:rsidRDefault="00220C79"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4090D044" w:rsidR="00AD6A7D" w:rsidRPr="009634F4" w:rsidRDefault="00DA0C53" w:rsidP="00AD6A7D">
    <w:pPr>
      <w:pStyle w:val="Footer"/>
      <w:ind w:right="360"/>
      <w:rPr>
        <w:rFonts w:ascii="Avenir Next" w:hAnsi="Avenir Next" w:cs="Arial"/>
        <w:sz w:val="22"/>
        <w:szCs w:val="22"/>
      </w:rPr>
    </w:pPr>
    <w:r>
      <w:rPr>
        <w:rFonts w:ascii="Avenir Next" w:hAnsi="Avenir Next" w:cs="Arial"/>
        <w:sz w:val="22"/>
        <w:szCs w:val="22"/>
      </w:rPr>
      <w:t>202223-999</w:t>
    </w:r>
    <w:r w:rsidR="00AD6A7D" w:rsidRPr="009634F4">
      <w:rPr>
        <w:rFonts w:ascii="Avenir Next" w:hAnsi="Avenir Next" w:cs="Arial"/>
        <w:sz w:val="22"/>
        <w:szCs w:val="22"/>
      </w:rPr>
      <w:t>.assessment1formative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2301" w14:textId="77777777" w:rsidR="00220C79" w:rsidRDefault="00220C79" w:rsidP="00241B44">
      <w:r>
        <w:separator/>
      </w:r>
    </w:p>
  </w:footnote>
  <w:footnote w:type="continuationSeparator" w:id="0">
    <w:p w14:paraId="0A62D31D" w14:textId="77777777" w:rsidR="00220C79" w:rsidRDefault="00220C79"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3502B1C"/>
    <w:multiLevelType w:val="hybridMultilevel"/>
    <w:tmpl w:val="9766A710"/>
    <w:lvl w:ilvl="0" w:tplc="4E6024DC">
      <w:numFmt w:val="bullet"/>
      <w:lvlText w:val="-"/>
      <w:lvlJc w:val="left"/>
      <w:pPr>
        <w:ind w:left="720" w:hanging="360"/>
      </w:pPr>
      <w:rPr>
        <w:rFonts w:ascii="Avenir Next" w:eastAsia="Times New Roman" w:hAnsi="Avenir N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2851D1"/>
    <w:multiLevelType w:val="hybridMultilevel"/>
    <w:tmpl w:val="DC30ADF2"/>
    <w:lvl w:ilvl="0" w:tplc="11E2698E">
      <w:numFmt w:val="bullet"/>
      <w:lvlText w:val="-"/>
      <w:lvlJc w:val="left"/>
      <w:pPr>
        <w:ind w:left="720" w:hanging="360"/>
      </w:pPr>
      <w:rPr>
        <w:rFonts w:ascii="Avenir Next" w:eastAsia="Times New Roman" w:hAnsi="Avenir Next" w:cs="Arial" w:hint="default"/>
        <w:color w:val="7B7B7B"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8"/>
  </w:num>
  <w:num w:numId="2">
    <w:abstractNumId w:val="20"/>
  </w:num>
  <w:num w:numId="3">
    <w:abstractNumId w:val="6"/>
  </w:num>
  <w:num w:numId="4">
    <w:abstractNumId w:val="3"/>
  </w:num>
  <w:num w:numId="5">
    <w:abstractNumId w:val="9"/>
  </w:num>
  <w:num w:numId="6">
    <w:abstractNumId w:val="15"/>
  </w:num>
  <w:num w:numId="7">
    <w:abstractNumId w:val="22"/>
  </w:num>
  <w:num w:numId="8">
    <w:abstractNumId w:val="14"/>
  </w:num>
  <w:num w:numId="9">
    <w:abstractNumId w:val="5"/>
  </w:num>
  <w:num w:numId="10">
    <w:abstractNumId w:val="8"/>
  </w:num>
  <w:num w:numId="11">
    <w:abstractNumId w:val="7"/>
  </w:num>
  <w:num w:numId="12">
    <w:abstractNumId w:val="4"/>
  </w:num>
  <w:num w:numId="13">
    <w:abstractNumId w:val="12"/>
  </w:num>
  <w:num w:numId="14">
    <w:abstractNumId w:val="0"/>
  </w:num>
  <w:num w:numId="15">
    <w:abstractNumId w:val="2"/>
  </w:num>
  <w:num w:numId="16">
    <w:abstractNumId w:val="13"/>
  </w:num>
  <w:num w:numId="17">
    <w:abstractNumId w:val="11"/>
  </w:num>
  <w:num w:numId="18">
    <w:abstractNumId w:val="19"/>
  </w:num>
  <w:num w:numId="19">
    <w:abstractNumId w:val="16"/>
  </w:num>
  <w:num w:numId="20">
    <w:abstractNumId w:val="23"/>
  </w:num>
  <w:num w:numId="21">
    <w:abstractNumId w:val="17"/>
  </w:num>
  <w:num w:numId="22">
    <w:abstractNumId w:val="10"/>
  </w:num>
  <w:num w:numId="23">
    <w:abstractNumId w:val="21"/>
  </w:num>
  <w:num w:numId="2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DB7"/>
    <w:rsid w:val="00010BA0"/>
    <w:rsid w:val="00014A62"/>
    <w:rsid w:val="000250C7"/>
    <w:rsid w:val="00037621"/>
    <w:rsid w:val="00044D46"/>
    <w:rsid w:val="00045088"/>
    <w:rsid w:val="00045904"/>
    <w:rsid w:val="00055893"/>
    <w:rsid w:val="00065166"/>
    <w:rsid w:val="00082609"/>
    <w:rsid w:val="000833C6"/>
    <w:rsid w:val="00083FD3"/>
    <w:rsid w:val="000851CC"/>
    <w:rsid w:val="00093BE8"/>
    <w:rsid w:val="000A456F"/>
    <w:rsid w:val="000A68ED"/>
    <w:rsid w:val="000B5FF1"/>
    <w:rsid w:val="000B609F"/>
    <w:rsid w:val="000D1E3F"/>
    <w:rsid w:val="000D237F"/>
    <w:rsid w:val="000D55A8"/>
    <w:rsid w:val="000E16A2"/>
    <w:rsid w:val="000E2D7E"/>
    <w:rsid w:val="000E329C"/>
    <w:rsid w:val="000E4841"/>
    <w:rsid w:val="000F1677"/>
    <w:rsid w:val="000F3D6C"/>
    <w:rsid w:val="000F4B31"/>
    <w:rsid w:val="00101707"/>
    <w:rsid w:val="001041F5"/>
    <w:rsid w:val="00110DA3"/>
    <w:rsid w:val="0011473D"/>
    <w:rsid w:val="00115B61"/>
    <w:rsid w:val="00115C85"/>
    <w:rsid w:val="00117CE0"/>
    <w:rsid w:val="00123661"/>
    <w:rsid w:val="00123855"/>
    <w:rsid w:val="00126A4D"/>
    <w:rsid w:val="00137103"/>
    <w:rsid w:val="0014622C"/>
    <w:rsid w:val="001471AF"/>
    <w:rsid w:val="00152348"/>
    <w:rsid w:val="0015456D"/>
    <w:rsid w:val="0016098C"/>
    <w:rsid w:val="00161F1B"/>
    <w:rsid w:val="00162829"/>
    <w:rsid w:val="00180548"/>
    <w:rsid w:val="00180CCE"/>
    <w:rsid w:val="00181C26"/>
    <w:rsid w:val="0018267A"/>
    <w:rsid w:val="00182779"/>
    <w:rsid w:val="001830DF"/>
    <w:rsid w:val="0019026D"/>
    <w:rsid w:val="001966D9"/>
    <w:rsid w:val="001A21BB"/>
    <w:rsid w:val="001A2690"/>
    <w:rsid w:val="001A7E9A"/>
    <w:rsid w:val="001B323B"/>
    <w:rsid w:val="001B3C01"/>
    <w:rsid w:val="001B5016"/>
    <w:rsid w:val="001C1A15"/>
    <w:rsid w:val="001C1F71"/>
    <w:rsid w:val="001C45FC"/>
    <w:rsid w:val="001D4862"/>
    <w:rsid w:val="001E25B9"/>
    <w:rsid w:val="001E49E0"/>
    <w:rsid w:val="001E7B5A"/>
    <w:rsid w:val="001F7412"/>
    <w:rsid w:val="0020725B"/>
    <w:rsid w:val="00220C79"/>
    <w:rsid w:val="00236C65"/>
    <w:rsid w:val="00241B44"/>
    <w:rsid w:val="00245EFB"/>
    <w:rsid w:val="00247C4D"/>
    <w:rsid w:val="00254E80"/>
    <w:rsid w:val="0026515D"/>
    <w:rsid w:val="002668D3"/>
    <w:rsid w:val="0027299F"/>
    <w:rsid w:val="00284EBE"/>
    <w:rsid w:val="00286AE6"/>
    <w:rsid w:val="0029433F"/>
    <w:rsid w:val="00294829"/>
    <w:rsid w:val="0029690F"/>
    <w:rsid w:val="002A2A60"/>
    <w:rsid w:val="002B1C45"/>
    <w:rsid w:val="002B4231"/>
    <w:rsid w:val="002B7F11"/>
    <w:rsid w:val="002C095D"/>
    <w:rsid w:val="002C13C8"/>
    <w:rsid w:val="002C1671"/>
    <w:rsid w:val="002C3547"/>
    <w:rsid w:val="002C686D"/>
    <w:rsid w:val="002D0021"/>
    <w:rsid w:val="002D31CD"/>
    <w:rsid w:val="002D3473"/>
    <w:rsid w:val="002D51E0"/>
    <w:rsid w:val="002E29C7"/>
    <w:rsid w:val="002E5E27"/>
    <w:rsid w:val="002E5E89"/>
    <w:rsid w:val="002F1956"/>
    <w:rsid w:val="002F3440"/>
    <w:rsid w:val="002F75A3"/>
    <w:rsid w:val="00303C2F"/>
    <w:rsid w:val="003111C6"/>
    <w:rsid w:val="003136ED"/>
    <w:rsid w:val="003144EF"/>
    <w:rsid w:val="00317823"/>
    <w:rsid w:val="00320CEF"/>
    <w:rsid w:val="00330937"/>
    <w:rsid w:val="00330F31"/>
    <w:rsid w:val="00334648"/>
    <w:rsid w:val="0033768C"/>
    <w:rsid w:val="00337938"/>
    <w:rsid w:val="00340769"/>
    <w:rsid w:val="00340B8A"/>
    <w:rsid w:val="00341AA6"/>
    <w:rsid w:val="003461FF"/>
    <w:rsid w:val="00361A0A"/>
    <w:rsid w:val="0036565C"/>
    <w:rsid w:val="0036625E"/>
    <w:rsid w:val="0037465A"/>
    <w:rsid w:val="00374696"/>
    <w:rsid w:val="003801F7"/>
    <w:rsid w:val="00382C98"/>
    <w:rsid w:val="0038533C"/>
    <w:rsid w:val="003948D5"/>
    <w:rsid w:val="00396565"/>
    <w:rsid w:val="00396821"/>
    <w:rsid w:val="00397D3A"/>
    <w:rsid w:val="003A051E"/>
    <w:rsid w:val="003A2F8D"/>
    <w:rsid w:val="003B170F"/>
    <w:rsid w:val="003B7824"/>
    <w:rsid w:val="003C4471"/>
    <w:rsid w:val="003D02F6"/>
    <w:rsid w:val="003D0A6D"/>
    <w:rsid w:val="003D1618"/>
    <w:rsid w:val="003D2DA8"/>
    <w:rsid w:val="003E0B16"/>
    <w:rsid w:val="003E4DD0"/>
    <w:rsid w:val="003E67D1"/>
    <w:rsid w:val="003E68B5"/>
    <w:rsid w:val="003F5758"/>
    <w:rsid w:val="0040168B"/>
    <w:rsid w:val="00405DC1"/>
    <w:rsid w:val="00411B48"/>
    <w:rsid w:val="00415F1F"/>
    <w:rsid w:val="0042108F"/>
    <w:rsid w:val="00430FED"/>
    <w:rsid w:val="004339D9"/>
    <w:rsid w:val="0043427C"/>
    <w:rsid w:val="00434A8C"/>
    <w:rsid w:val="00443677"/>
    <w:rsid w:val="00444284"/>
    <w:rsid w:val="00445CE6"/>
    <w:rsid w:val="004534C2"/>
    <w:rsid w:val="0045683E"/>
    <w:rsid w:val="00481771"/>
    <w:rsid w:val="00491675"/>
    <w:rsid w:val="00493855"/>
    <w:rsid w:val="004A0C81"/>
    <w:rsid w:val="004A16A3"/>
    <w:rsid w:val="004A57DD"/>
    <w:rsid w:val="004A7B51"/>
    <w:rsid w:val="004A7D71"/>
    <w:rsid w:val="004A7EF3"/>
    <w:rsid w:val="004B11FD"/>
    <w:rsid w:val="004B1A1A"/>
    <w:rsid w:val="004B23A2"/>
    <w:rsid w:val="004C1306"/>
    <w:rsid w:val="004D1A5A"/>
    <w:rsid w:val="004D3721"/>
    <w:rsid w:val="004D3AF4"/>
    <w:rsid w:val="004D64F9"/>
    <w:rsid w:val="004D665B"/>
    <w:rsid w:val="004E14A8"/>
    <w:rsid w:val="004E77EB"/>
    <w:rsid w:val="004F5FDF"/>
    <w:rsid w:val="005042B9"/>
    <w:rsid w:val="005177FE"/>
    <w:rsid w:val="0052263B"/>
    <w:rsid w:val="00524728"/>
    <w:rsid w:val="00526490"/>
    <w:rsid w:val="00531C7D"/>
    <w:rsid w:val="005331CA"/>
    <w:rsid w:val="00537970"/>
    <w:rsid w:val="00544127"/>
    <w:rsid w:val="00546ACE"/>
    <w:rsid w:val="00553EB2"/>
    <w:rsid w:val="00560534"/>
    <w:rsid w:val="0056391B"/>
    <w:rsid w:val="005650E2"/>
    <w:rsid w:val="00567075"/>
    <w:rsid w:val="00575B2D"/>
    <w:rsid w:val="005833D0"/>
    <w:rsid w:val="005846F3"/>
    <w:rsid w:val="0058622F"/>
    <w:rsid w:val="00592F82"/>
    <w:rsid w:val="005A0CCA"/>
    <w:rsid w:val="005A726D"/>
    <w:rsid w:val="005A7C06"/>
    <w:rsid w:val="005B468C"/>
    <w:rsid w:val="005B67AC"/>
    <w:rsid w:val="005C33CD"/>
    <w:rsid w:val="005C3656"/>
    <w:rsid w:val="005D43E0"/>
    <w:rsid w:val="005D58A3"/>
    <w:rsid w:val="005E1B79"/>
    <w:rsid w:val="005F026D"/>
    <w:rsid w:val="005F2D0B"/>
    <w:rsid w:val="005F4B31"/>
    <w:rsid w:val="005F6250"/>
    <w:rsid w:val="00610388"/>
    <w:rsid w:val="00611F08"/>
    <w:rsid w:val="00612CA5"/>
    <w:rsid w:val="006153EC"/>
    <w:rsid w:val="00621A17"/>
    <w:rsid w:val="00627CC9"/>
    <w:rsid w:val="00627E7B"/>
    <w:rsid w:val="00630542"/>
    <w:rsid w:val="0063128C"/>
    <w:rsid w:val="00632E44"/>
    <w:rsid w:val="006342AF"/>
    <w:rsid w:val="00634622"/>
    <w:rsid w:val="00634D4E"/>
    <w:rsid w:val="00636110"/>
    <w:rsid w:val="00636808"/>
    <w:rsid w:val="00641515"/>
    <w:rsid w:val="006428BA"/>
    <w:rsid w:val="006542B2"/>
    <w:rsid w:val="00654C2F"/>
    <w:rsid w:val="00657087"/>
    <w:rsid w:val="00677AEB"/>
    <w:rsid w:val="00681F9C"/>
    <w:rsid w:val="00687A1D"/>
    <w:rsid w:val="00696876"/>
    <w:rsid w:val="00697EA1"/>
    <w:rsid w:val="006A2646"/>
    <w:rsid w:val="006A6530"/>
    <w:rsid w:val="006A7858"/>
    <w:rsid w:val="006B1CA2"/>
    <w:rsid w:val="006B435A"/>
    <w:rsid w:val="006B4C64"/>
    <w:rsid w:val="006D01C2"/>
    <w:rsid w:val="006E481A"/>
    <w:rsid w:val="006E5298"/>
    <w:rsid w:val="006F734A"/>
    <w:rsid w:val="00700D83"/>
    <w:rsid w:val="007031E1"/>
    <w:rsid w:val="007074E9"/>
    <w:rsid w:val="00713DA4"/>
    <w:rsid w:val="00714BF1"/>
    <w:rsid w:val="007154CE"/>
    <w:rsid w:val="00721383"/>
    <w:rsid w:val="00732EEA"/>
    <w:rsid w:val="007333CC"/>
    <w:rsid w:val="0073399A"/>
    <w:rsid w:val="0073459E"/>
    <w:rsid w:val="007603F5"/>
    <w:rsid w:val="00764DB0"/>
    <w:rsid w:val="0076590F"/>
    <w:rsid w:val="00766E9F"/>
    <w:rsid w:val="0076764D"/>
    <w:rsid w:val="0077498C"/>
    <w:rsid w:val="00784128"/>
    <w:rsid w:val="00793173"/>
    <w:rsid w:val="0079508B"/>
    <w:rsid w:val="007A5697"/>
    <w:rsid w:val="007A77EB"/>
    <w:rsid w:val="007B29C5"/>
    <w:rsid w:val="007B44FD"/>
    <w:rsid w:val="007B5382"/>
    <w:rsid w:val="007C1459"/>
    <w:rsid w:val="007C1FCC"/>
    <w:rsid w:val="007C6201"/>
    <w:rsid w:val="007D7C92"/>
    <w:rsid w:val="007E1154"/>
    <w:rsid w:val="007F41F8"/>
    <w:rsid w:val="007F45F1"/>
    <w:rsid w:val="00802084"/>
    <w:rsid w:val="008031A7"/>
    <w:rsid w:val="0080454E"/>
    <w:rsid w:val="00804C32"/>
    <w:rsid w:val="008053C1"/>
    <w:rsid w:val="00806302"/>
    <w:rsid w:val="00807119"/>
    <w:rsid w:val="0082483F"/>
    <w:rsid w:val="008279C0"/>
    <w:rsid w:val="00827D56"/>
    <w:rsid w:val="008307B8"/>
    <w:rsid w:val="00830C57"/>
    <w:rsid w:val="00845F3D"/>
    <w:rsid w:val="00855636"/>
    <w:rsid w:val="00867F74"/>
    <w:rsid w:val="008723F3"/>
    <w:rsid w:val="00875FCA"/>
    <w:rsid w:val="00880209"/>
    <w:rsid w:val="00881DE6"/>
    <w:rsid w:val="0088371F"/>
    <w:rsid w:val="008837A6"/>
    <w:rsid w:val="0089145D"/>
    <w:rsid w:val="00892A15"/>
    <w:rsid w:val="008A6CFE"/>
    <w:rsid w:val="008B5333"/>
    <w:rsid w:val="008B6223"/>
    <w:rsid w:val="008C66E0"/>
    <w:rsid w:val="008D4892"/>
    <w:rsid w:val="008E3339"/>
    <w:rsid w:val="008F20FC"/>
    <w:rsid w:val="008F6301"/>
    <w:rsid w:val="00902606"/>
    <w:rsid w:val="00905A43"/>
    <w:rsid w:val="00912C79"/>
    <w:rsid w:val="009264BF"/>
    <w:rsid w:val="00926531"/>
    <w:rsid w:val="00933307"/>
    <w:rsid w:val="00933C2E"/>
    <w:rsid w:val="00942123"/>
    <w:rsid w:val="0095207B"/>
    <w:rsid w:val="00955AF1"/>
    <w:rsid w:val="00962045"/>
    <w:rsid w:val="009634F4"/>
    <w:rsid w:val="00974768"/>
    <w:rsid w:val="009862EC"/>
    <w:rsid w:val="00986B1A"/>
    <w:rsid w:val="00991428"/>
    <w:rsid w:val="00992676"/>
    <w:rsid w:val="009A0F1B"/>
    <w:rsid w:val="009B0723"/>
    <w:rsid w:val="009B07AD"/>
    <w:rsid w:val="009B0883"/>
    <w:rsid w:val="009B15E2"/>
    <w:rsid w:val="009C0B8E"/>
    <w:rsid w:val="009C1BC8"/>
    <w:rsid w:val="009C2442"/>
    <w:rsid w:val="009C51BD"/>
    <w:rsid w:val="009D0811"/>
    <w:rsid w:val="009D0EE1"/>
    <w:rsid w:val="009D53A8"/>
    <w:rsid w:val="009E1027"/>
    <w:rsid w:val="009E2AEB"/>
    <w:rsid w:val="009E2E27"/>
    <w:rsid w:val="009E4DE3"/>
    <w:rsid w:val="009F3D21"/>
    <w:rsid w:val="009F62BD"/>
    <w:rsid w:val="00A005FC"/>
    <w:rsid w:val="00A04760"/>
    <w:rsid w:val="00A047EE"/>
    <w:rsid w:val="00A2274A"/>
    <w:rsid w:val="00A235B7"/>
    <w:rsid w:val="00A26233"/>
    <w:rsid w:val="00A407EF"/>
    <w:rsid w:val="00A426A2"/>
    <w:rsid w:val="00A458BE"/>
    <w:rsid w:val="00A46B4C"/>
    <w:rsid w:val="00A5117B"/>
    <w:rsid w:val="00A54909"/>
    <w:rsid w:val="00A60074"/>
    <w:rsid w:val="00A6627C"/>
    <w:rsid w:val="00A71019"/>
    <w:rsid w:val="00A81029"/>
    <w:rsid w:val="00A83A2F"/>
    <w:rsid w:val="00A877E4"/>
    <w:rsid w:val="00A90946"/>
    <w:rsid w:val="00A926BE"/>
    <w:rsid w:val="00A96489"/>
    <w:rsid w:val="00A9660C"/>
    <w:rsid w:val="00A97725"/>
    <w:rsid w:val="00AA0D39"/>
    <w:rsid w:val="00AB685C"/>
    <w:rsid w:val="00AB6C2D"/>
    <w:rsid w:val="00AC18DA"/>
    <w:rsid w:val="00AC3839"/>
    <w:rsid w:val="00AC4B5D"/>
    <w:rsid w:val="00AC7082"/>
    <w:rsid w:val="00AD6A7D"/>
    <w:rsid w:val="00AE333A"/>
    <w:rsid w:val="00AF228E"/>
    <w:rsid w:val="00AF3FD8"/>
    <w:rsid w:val="00B00BC3"/>
    <w:rsid w:val="00B12A94"/>
    <w:rsid w:val="00B14819"/>
    <w:rsid w:val="00B15A26"/>
    <w:rsid w:val="00B17AA9"/>
    <w:rsid w:val="00B20888"/>
    <w:rsid w:val="00B72AE1"/>
    <w:rsid w:val="00B736DF"/>
    <w:rsid w:val="00B74FBD"/>
    <w:rsid w:val="00B76C9D"/>
    <w:rsid w:val="00B82586"/>
    <w:rsid w:val="00B86DB1"/>
    <w:rsid w:val="00B87869"/>
    <w:rsid w:val="00B95551"/>
    <w:rsid w:val="00BB0F2B"/>
    <w:rsid w:val="00BC531C"/>
    <w:rsid w:val="00BD45AF"/>
    <w:rsid w:val="00BF1C6F"/>
    <w:rsid w:val="00BF3D81"/>
    <w:rsid w:val="00BF50F7"/>
    <w:rsid w:val="00C02F29"/>
    <w:rsid w:val="00C053F7"/>
    <w:rsid w:val="00C05AFA"/>
    <w:rsid w:val="00C22A25"/>
    <w:rsid w:val="00C3074F"/>
    <w:rsid w:val="00C33C6C"/>
    <w:rsid w:val="00C35671"/>
    <w:rsid w:val="00C35B77"/>
    <w:rsid w:val="00C376EB"/>
    <w:rsid w:val="00C46EC1"/>
    <w:rsid w:val="00C53E2C"/>
    <w:rsid w:val="00C544C8"/>
    <w:rsid w:val="00C550C8"/>
    <w:rsid w:val="00C606C3"/>
    <w:rsid w:val="00C62B52"/>
    <w:rsid w:val="00C72848"/>
    <w:rsid w:val="00C7736C"/>
    <w:rsid w:val="00C82D87"/>
    <w:rsid w:val="00C83844"/>
    <w:rsid w:val="00C8712A"/>
    <w:rsid w:val="00C91A13"/>
    <w:rsid w:val="00C963D3"/>
    <w:rsid w:val="00CA1F7A"/>
    <w:rsid w:val="00CA4326"/>
    <w:rsid w:val="00CB2CBB"/>
    <w:rsid w:val="00CB3E1F"/>
    <w:rsid w:val="00CB7CAC"/>
    <w:rsid w:val="00CC0420"/>
    <w:rsid w:val="00CC5335"/>
    <w:rsid w:val="00CC5BA4"/>
    <w:rsid w:val="00CD4998"/>
    <w:rsid w:val="00CE0333"/>
    <w:rsid w:val="00CE1035"/>
    <w:rsid w:val="00CF2819"/>
    <w:rsid w:val="00CF4F9D"/>
    <w:rsid w:val="00CF70DC"/>
    <w:rsid w:val="00D104E4"/>
    <w:rsid w:val="00D148DC"/>
    <w:rsid w:val="00D15DE6"/>
    <w:rsid w:val="00D17FDC"/>
    <w:rsid w:val="00D20CAB"/>
    <w:rsid w:val="00D2264F"/>
    <w:rsid w:val="00D27291"/>
    <w:rsid w:val="00D27633"/>
    <w:rsid w:val="00D3587B"/>
    <w:rsid w:val="00D428B8"/>
    <w:rsid w:val="00D44548"/>
    <w:rsid w:val="00D5520B"/>
    <w:rsid w:val="00D63EFD"/>
    <w:rsid w:val="00D84752"/>
    <w:rsid w:val="00D86B3B"/>
    <w:rsid w:val="00D8748A"/>
    <w:rsid w:val="00D919C0"/>
    <w:rsid w:val="00D93196"/>
    <w:rsid w:val="00DA0C53"/>
    <w:rsid w:val="00DB0DB3"/>
    <w:rsid w:val="00DB243C"/>
    <w:rsid w:val="00DB482A"/>
    <w:rsid w:val="00DB56F2"/>
    <w:rsid w:val="00DB6EF5"/>
    <w:rsid w:val="00DC0391"/>
    <w:rsid w:val="00DC3089"/>
    <w:rsid w:val="00DC4420"/>
    <w:rsid w:val="00DC64A1"/>
    <w:rsid w:val="00DD0802"/>
    <w:rsid w:val="00DD2E11"/>
    <w:rsid w:val="00DE03AF"/>
    <w:rsid w:val="00DE121C"/>
    <w:rsid w:val="00DE1A2E"/>
    <w:rsid w:val="00DE6633"/>
    <w:rsid w:val="00DF2706"/>
    <w:rsid w:val="00DF68B7"/>
    <w:rsid w:val="00DF72FC"/>
    <w:rsid w:val="00DF75F8"/>
    <w:rsid w:val="00DF7A3A"/>
    <w:rsid w:val="00E00C00"/>
    <w:rsid w:val="00E04425"/>
    <w:rsid w:val="00E07C5A"/>
    <w:rsid w:val="00E15BA9"/>
    <w:rsid w:val="00E26E19"/>
    <w:rsid w:val="00E341B3"/>
    <w:rsid w:val="00E450A4"/>
    <w:rsid w:val="00E506BE"/>
    <w:rsid w:val="00E53348"/>
    <w:rsid w:val="00E55547"/>
    <w:rsid w:val="00E5766E"/>
    <w:rsid w:val="00E6302B"/>
    <w:rsid w:val="00E6452F"/>
    <w:rsid w:val="00E64F45"/>
    <w:rsid w:val="00E6742D"/>
    <w:rsid w:val="00E71CB0"/>
    <w:rsid w:val="00E77C3D"/>
    <w:rsid w:val="00E909F0"/>
    <w:rsid w:val="00E93993"/>
    <w:rsid w:val="00EA037D"/>
    <w:rsid w:val="00EA0913"/>
    <w:rsid w:val="00EA3EDF"/>
    <w:rsid w:val="00EA4C56"/>
    <w:rsid w:val="00EB35BD"/>
    <w:rsid w:val="00EB45AC"/>
    <w:rsid w:val="00EC0564"/>
    <w:rsid w:val="00EC301E"/>
    <w:rsid w:val="00ED0BC4"/>
    <w:rsid w:val="00ED1D83"/>
    <w:rsid w:val="00EE4971"/>
    <w:rsid w:val="00EE744D"/>
    <w:rsid w:val="00EF090E"/>
    <w:rsid w:val="00EF3743"/>
    <w:rsid w:val="00EF64E3"/>
    <w:rsid w:val="00F030A9"/>
    <w:rsid w:val="00F033DA"/>
    <w:rsid w:val="00F10B88"/>
    <w:rsid w:val="00F141E2"/>
    <w:rsid w:val="00F27CD8"/>
    <w:rsid w:val="00F30351"/>
    <w:rsid w:val="00F3323E"/>
    <w:rsid w:val="00F341F4"/>
    <w:rsid w:val="00F35CCE"/>
    <w:rsid w:val="00F43911"/>
    <w:rsid w:val="00F44220"/>
    <w:rsid w:val="00F51B32"/>
    <w:rsid w:val="00F5230C"/>
    <w:rsid w:val="00F5524B"/>
    <w:rsid w:val="00F61DD2"/>
    <w:rsid w:val="00F66AFF"/>
    <w:rsid w:val="00F71433"/>
    <w:rsid w:val="00F75A15"/>
    <w:rsid w:val="00F769F2"/>
    <w:rsid w:val="00F77683"/>
    <w:rsid w:val="00F97C5B"/>
    <w:rsid w:val="00FA2116"/>
    <w:rsid w:val="00FA3D50"/>
    <w:rsid w:val="00FA3D5F"/>
    <w:rsid w:val="00FA74DC"/>
    <w:rsid w:val="00FC15CA"/>
    <w:rsid w:val="00FC374A"/>
    <w:rsid w:val="00FC73C1"/>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9</Pages>
  <Words>2685</Words>
  <Characters>15305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Lespere, Kali</cp:lastModifiedBy>
  <cp:revision>181</cp:revision>
  <cp:lastPrinted>2019-09-04T15:45:00Z</cp:lastPrinted>
  <dcterms:created xsi:type="dcterms:W3CDTF">2022-09-28T19:09:00Z</dcterms:created>
  <dcterms:modified xsi:type="dcterms:W3CDTF">2022-10-15T20:47:00Z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2022-09-28T19:08:30Z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5bfa3e60-afef-4156-8398-7ba176951c5b</vt:lpwstr>
  </property>
  <property fmtid="{D5CDD505-2E9C-101B-9397-08002B2CF9AE}" pid="8" name="MSIP_Label_ea60d57e-af5b-4752-ac57-3e4f28ca11dc_ContentBits">
    <vt:lpwstr>0</vt:lpwstr>
  </property>
</Properties>
</file>