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2B5684" w:rsidRDefault="00B736DF" w:rsidP="009E1027">
      <w:pPr>
        <w:pStyle w:val="ListParagraph"/>
        <w:numPr>
          <w:ilvl w:val="0"/>
          <w:numId w:val="12"/>
        </w:numPr>
        <w:ind w:left="426"/>
        <w:jc w:val="both"/>
        <w:rPr>
          <w:rFonts w:ascii="Avenir Next" w:hAnsi="Avenir Next" w:cs="Arial"/>
          <w:sz w:val="22"/>
          <w:szCs w:val="22"/>
          <w:highlight w:val="yellow"/>
          <w:lang w:val="en-GB"/>
        </w:rPr>
      </w:pPr>
      <w:r w:rsidRPr="002B5684">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2B5684" w:rsidRDefault="00161F1B" w:rsidP="009E1027">
      <w:pPr>
        <w:pStyle w:val="ListParagraph"/>
        <w:numPr>
          <w:ilvl w:val="0"/>
          <w:numId w:val="13"/>
        </w:numPr>
        <w:ind w:left="426"/>
        <w:jc w:val="both"/>
        <w:rPr>
          <w:rFonts w:ascii="Avenir Next" w:hAnsi="Avenir Next" w:cs="Arial"/>
          <w:sz w:val="22"/>
          <w:szCs w:val="22"/>
          <w:highlight w:val="yellow"/>
          <w:lang w:val="en-GB"/>
        </w:rPr>
      </w:pPr>
      <w:r w:rsidRPr="002B5684">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216645" w:rsidRDefault="009E2E27" w:rsidP="008031A7">
      <w:pPr>
        <w:pStyle w:val="ListParagraph"/>
        <w:numPr>
          <w:ilvl w:val="0"/>
          <w:numId w:val="14"/>
        </w:numPr>
        <w:ind w:left="426"/>
        <w:jc w:val="both"/>
        <w:rPr>
          <w:rFonts w:ascii="Avenir Next" w:hAnsi="Avenir Next" w:cs="Arial"/>
          <w:sz w:val="22"/>
          <w:szCs w:val="22"/>
          <w:highlight w:val="yellow"/>
          <w:lang w:val="en-GB"/>
        </w:rPr>
      </w:pPr>
      <w:r w:rsidRPr="00216645">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216645" w:rsidRDefault="009E2E27" w:rsidP="008031A7">
      <w:pPr>
        <w:pStyle w:val="ListParagraph"/>
        <w:numPr>
          <w:ilvl w:val="0"/>
          <w:numId w:val="15"/>
        </w:numPr>
        <w:ind w:left="426"/>
        <w:jc w:val="both"/>
        <w:rPr>
          <w:rFonts w:ascii="Avenir Next" w:hAnsi="Avenir Next" w:cs="Arial"/>
          <w:sz w:val="22"/>
          <w:szCs w:val="22"/>
          <w:highlight w:val="yellow"/>
          <w:lang w:val="en-GB"/>
        </w:rPr>
      </w:pPr>
      <w:r w:rsidRPr="00216645">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22002F" w:rsidRDefault="00A235B7" w:rsidP="006D01C2">
      <w:pPr>
        <w:pStyle w:val="ListParagraph"/>
        <w:numPr>
          <w:ilvl w:val="0"/>
          <w:numId w:val="16"/>
        </w:numPr>
        <w:ind w:left="426"/>
        <w:jc w:val="both"/>
        <w:rPr>
          <w:rFonts w:ascii="Avenir Next" w:hAnsi="Avenir Next" w:cs="Arial"/>
          <w:sz w:val="22"/>
          <w:szCs w:val="22"/>
          <w:highlight w:val="yellow"/>
          <w:lang w:val="en-GB"/>
        </w:rPr>
      </w:pPr>
      <w:r w:rsidRPr="0022002F">
        <w:rPr>
          <w:rFonts w:ascii="Avenir Next" w:hAnsi="Avenir Next" w:cs="Arial"/>
          <w:sz w:val="22"/>
          <w:szCs w:val="22"/>
          <w:highlight w:val="yellow"/>
          <w:lang w:val="en-GB"/>
        </w:rPr>
        <w:t>The statement</w:t>
      </w:r>
      <w:r w:rsidR="0037465A" w:rsidRPr="0022002F">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ED6953"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ED6953">
        <w:rPr>
          <w:rFonts w:ascii="Avenir Next" w:eastAsiaTheme="minorHAnsi" w:hAnsi="Avenir Next" w:cs="Arial"/>
          <w:sz w:val="22"/>
          <w:szCs w:val="22"/>
          <w:highlight w:val="yellow"/>
          <w:lang w:val="en-GB"/>
        </w:rPr>
        <w:t>Private International Law</w:t>
      </w:r>
      <w:r w:rsidR="00991428" w:rsidRPr="00ED6953">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ED6953" w:rsidRDefault="004D1A5A" w:rsidP="006D01C2">
      <w:pPr>
        <w:pStyle w:val="ListParagraph"/>
        <w:numPr>
          <w:ilvl w:val="0"/>
          <w:numId w:val="18"/>
        </w:numPr>
        <w:ind w:left="426"/>
        <w:jc w:val="both"/>
        <w:rPr>
          <w:rFonts w:ascii="Avenir Next" w:hAnsi="Avenir Next" w:cs="Arial"/>
          <w:sz w:val="22"/>
          <w:szCs w:val="22"/>
          <w:highlight w:val="yellow"/>
          <w:lang w:val="en-GB"/>
        </w:rPr>
      </w:pPr>
      <w:r w:rsidRPr="00ED6953">
        <w:rPr>
          <w:rFonts w:ascii="Avenir Next" w:hAnsi="Avenir Next" w:cs="Arial"/>
          <w:sz w:val="22"/>
          <w:szCs w:val="22"/>
          <w:highlight w:val="yellow"/>
          <w:lang w:val="en-GB"/>
        </w:rPr>
        <w:t>UNCITRAL Model Law on Cross-border Insolvency (1997)</w:t>
      </w:r>
      <w:r w:rsidR="00912C79" w:rsidRPr="00ED6953">
        <w:rPr>
          <w:rFonts w:ascii="Avenir Next" w:hAnsi="Avenir Next" w:cs="Arial"/>
          <w:sz w:val="22"/>
          <w:szCs w:val="22"/>
          <w:highlight w:val="yellow"/>
          <w:lang w:val="en-GB"/>
        </w:rPr>
        <w:t>.</w:t>
      </w:r>
      <w:r w:rsidRPr="00ED6953">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FF4CF6"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FF4CF6">
        <w:rPr>
          <w:rFonts w:ascii="Avenir Next" w:hAnsi="Avenir Next" w:cs="Arial"/>
          <w:sz w:val="22"/>
          <w:szCs w:val="22"/>
          <w:highlight w:val="yellow"/>
          <w:lang w:val="en-GB"/>
        </w:rPr>
        <w:t>Havana Convention on Private International Law (1928)</w:t>
      </w:r>
      <w:r w:rsidRPr="00FF4CF6">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3876C6" w:rsidRDefault="0082483F" w:rsidP="006D01C2">
      <w:pPr>
        <w:pStyle w:val="ListParagraph"/>
        <w:numPr>
          <w:ilvl w:val="0"/>
          <w:numId w:val="20"/>
        </w:numPr>
        <w:ind w:left="426"/>
        <w:jc w:val="both"/>
        <w:rPr>
          <w:rFonts w:ascii="Avenir Next" w:hAnsi="Avenir Next" w:cs="Arial"/>
          <w:sz w:val="22"/>
          <w:szCs w:val="22"/>
          <w:highlight w:val="yellow"/>
          <w:lang w:val="en-GB"/>
        </w:rPr>
      </w:pPr>
      <w:r w:rsidRPr="003876C6">
        <w:rPr>
          <w:rFonts w:ascii="Avenir Next" w:hAnsi="Avenir Next" w:cs="Arial"/>
          <w:sz w:val="22"/>
          <w:szCs w:val="22"/>
          <w:highlight w:val="yellow"/>
          <w:lang w:val="en-GB"/>
        </w:rPr>
        <w:lastRenderedPageBreak/>
        <w:t xml:space="preserve">Definition of </w:t>
      </w:r>
      <w:r w:rsidR="006D01C2" w:rsidRPr="003876C6">
        <w:rPr>
          <w:rFonts w:ascii="Avenir Next" w:hAnsi="Avenir Next" w:cs="Arial"/>
          <w:sz w:val="22"/>
          <w:szCs w:val="22"/>
          <w:highlight w:val="yellow"/>
          <w:lang w:val="en-GB"/>
        </w:rPr>
        <w:t>“</w:t>
      </w:r>
      <w:r w:rsidRPr="003876C6">
        <w:rPr>
          <w:rFonts w:ascii="Avenir Next" w:hAnsi="Avenir Next" w:cs="Arial"/>
          <w:sz w:val="22"/>
          <w:szCs w:val="22"/>
          <w:highlight w:val="yellow"/>
          <w:lang w:val="en-GB"/>
        </w:rPr>
        <w:t>centre of the debtor’s main interests</w:t>
      </w:r>
      <w:r w:rsidR="006D01C2" w:rsidRPr="003876C6">
        <w:rPr>
          <w:rFonts w:ascii="Avenir Next" w:hAnsi="Avenir Next" w:cs="Arial"/>
          <w:sz w:val="22"/>
          <w:szCs w:val="22"/>
          <w:highlight w:val="yellow"/>
          <w:lang w:val="en-GB"/>
        </w:rPr>
        <w:t>”</w:t>
      </w:r>
      <w:r w:rsidRPr="003876C6">
        <w:rPr>
          <w:rFonts w:ascii="Avenir Next" w:hAnsi="Avenir Next" w:cs="Arial"/>
          <w:sz w:val="22"/>
          <w:szCs w:val="22"/>
          <w:highlight w:val="yellow"/>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FF4CF6"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FF4CF6">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FD6178" w:rsidRDefault="00DE03AF" w:rsidP="00C053F7">
      <w:pPr>
        <w:ind w:left="720" w:hanging="720"/>
        <w:jc w:val="both"/>
        <w:rPr>
          <w:rFonts w:ascii="Avenir Next LT Pro" w:hAnsi="Avenir Next LT Pro" w:cs="Arial"/>
          <w:sz w:val="22"/>
          <w:szCs w:val="22"/>
          <w:lang w:val="en-GB"/>
        </w:rPr>
      </w:pPr>
      <w:r w:rsidRPr="00FD6178">
        <w:rPr>
          <w:rFonts w:ascii="Avenir Next LT Pro" w:hAnsi="Avenir Next LT Pro" w:cs="Arial"/>
          <w:sz w:val="22"/>
          <w:szCs w:val="22"/>
          <w:lang w:val="en-GB"/>
        </w:rPr>
        <w:t>Explain what the term “international insolvency law” means.</w:t>
      </w:r>
    </w:p>
    <w:p w14:paraId="76C585E6" w14:textId="12AED20D" w:rsidR="009B07AD" w:rsidRPr="00806138" w:rsidRDefault="009B07AD" w:rsidP="00C053F7">
      <w:pPr>
        <w:ind w:left="720" w:hanging="720"/>
        <w:jc w:val="both"/>
        <w:rPr>
          <w:rFonts w:ascii="Arial" w:hAnsi="Arial" w:cs="Arial"/>
          <w:sz w:val="22"/>
          <w:szCs w:val="22"/>
          <w:lang w:val="en-GB"/>
        </w:rPr>
      </w:pPr>
    </w:p>
    <w:p w14:paraId="22C610C9" w14:textId="7AE5396E" w:rsidR="00DE03AF" w:rsidRPr="00806138" w:rsidRDefault="005A5311" w:rsidP="00FD6178">
      <w:pPr>
        <w:jc w:val="both"/>
        <w:rPr>
          <w:rFonts w:ascii="Arial" w:hAnsi="Arial" w:cs="Arial"/>
          <w:sz w:val="22"/>
          <w:szCs w:val="22"/>
          <w:lang w:val="en-GB"/>
        </w:rPr>
      </w:pPr>
      <w:r w:rsidRPr="00806138">
        <w:rPr>
          <w:rFonts w:ascii="Arial" w:hAnsi="Arial" w:cs="Arial"/>
          <w:sz w:val="22"/>
          <w:szCs w:val="22"/>
          <w:lang w:val="en-GB"/>
        </w:rPr>
        <w:t>It is described by Wessels</w:t>
      </w:r>
      <w:r w:rsidR="00295FC2">
        <w:rPr>
          <w:rStyle w:val="FootnoteReference"/>
          <w:rFonts w:ascii="Arial" w:hAnsi="Arial" w:cs="Arial"/>
          <w:sz w:val="22"/>
          <w:szCs w:val="22"/>
          <w:lang w:val="en-GB"/>
        </w:rPr>
        <w:footnoteReference w:id="1"/>
      </w:r>
      <w:r w:rsidRPr="00806138">
        <w:rPr>
          <w:rFonts w:ascii="Arial" w:hAnsi="Arial" w:cs="Arial"/>
          <w:sz w:val="22"/>
          <w:szCs w:val="22"/>
          <w:lang w:val="en-GB"/>
        </w:rPr>
        <w:t xml:space="preserve"> as a body of rules or situation as defined by Fletcher</w:t>
      </w:r>
      <w:r w:rsidR="001855AF">
        <w:rPr>
          <w:rStyle w:val="FootnoteReference"/>
          <w:rFonts w:ascii="Arial" w:hAnsi="Arial" w:cs="Arial"/>
          <w:sz w:val="22"/>
          <w:szCs w:val="22"/>
          <w:lang w:val="en-GB"/>
        </w:rPr>
        <w:footnoteReference w:id="2"/>
      </w:r>
      <w:r w:rsidRPr="00806138">
        <w:rPr>
          <w:rFonts w:ascii="Arial" w:hAnsi="Arial" w:cs="Arial"/>
          <w:sz w:val="22"/>
          <w:szCs w:val="22"/>
          <w:lang w:val="en-GB"/>
        </w:rPr>
        <w:t xml:space="preserve"> where a debtor’s assets exceed his </w:t>
      </w:r>
      <w:r w:rsidR="0015375A" w:rsidRPr="00806138">
        <w:rPr>
          <w:rFonts w:ascii="Arial" w:hAnsi="Arial" w:cs="Arial"/>
          <w:sz w:val="22"/>
          <w:szCs w:val="22"/>
          <w:lang w:val="en-GB"/>
        </w:rPr>
        <w:t>liabilities,</w:t>
      </w:r>
      <w:r w:rsidRPr="00806138">
        <w:rPr>
          <w:rFonts w:ascii="Arial" w:hAnsi="Arial" w:cs="Arial"/>
          <w:sz w:val="22"/>
          <w:szCs w:val="22"/>
          <w:lang w:val="en-GB"/>
        </w:rPr>
        <w:t xml:space="preserve"> or he is unable to meet his financial obligations </w:t>
      </w:r>
      <w:r w:rsidR="00ED0433">
        <w:rPr>
          <w:rFonts w:ascii="Arial" w:hAnsi="Arial" w:cs="Arial"/>
          <w:sz w:val="22"/>
          <w:szCs w:val="22"/>
          <w:lang w:val="en-GB"/>
        </w:rPr>
        <w:t xml:space="preserve">and the </w:t>
      </w:r>
      <w:r w:rsidRPr="00806138">
        <w:rPr>
          <w:rFonts w:ascii="Arial" w:hAnsi="Arial" w:cs="Arial"/>
          <w:sz w:val="22"/>
          <w:szCs w:val="22"/>
          <w:lang w:val="en-GB"/>
        </w:rPr>
        <w:t>effect</w:t>
      </w:r>
      <w:r w:rsidR="00ED0433">
        <w:rPr>
          <w:rFonts w:ascii="Arial" w:hAnsi="Arial" w:cs="Arial"/>
          <w:sz w:val="22"/>
          <w:szCs w:val="22"/>
          <w:lang w:val="en-GB"/>
        </w:rPr>
        <w:t xml:space="preserve"> is felt across </w:t>
      </w:r>
      <w:r w:rsidRPr="00806138">
        <w:rPr>
          <w:rFonts w:ascii="Arial" w:hAnsi="Arial" w:cs="Arial"/>
          <w:sz w:val="22"/>
          <w:szCs w:val="22"/>
          <w:lang w:val="en-GB"/>
        </w:rPr>
        <w:t>national borders and not confined to one legal system</w:t>
      </w:r>
      <w:r w:rsidR="00ED0433">
        <w:rPr>
          <w:rFonts w:ascii="Arial" w:hAnsi="Arial" w:cs="Arial"/>
          <w:sz w:val="22"/>
          <w:szCs w:val="22"/>
          <w:lang w:val="en-GB"/>
        </w:rPr>
        <w:t>.</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115FE" w:rsidRDefault="00DE03AF" w:rsidP="00C053F7">
      <w:pPr>
        <w:jc w:val="both"/>
        <w:rPr>
          <w:rFonts w:ascii="Arial" w:hAnsi="Arial" w:cs="Arial"/>
          <w:sz w:val="22"/>
          <w:szCs w:val="22"/>
          <w:lang w:val="en-GB"/>
        </w:rPr>
      </w:pPr>
      <w:r w:rsidRPr="00FD6178">
        <w:rPr>
          <w:rFonts w:ascii="Avenir Next LT Pro" w:hAnsi="Avenir Next LT Pro" w:cs="Arial"/>
          <w:sz w:val="22"/>
          <w:szCs w:val="22"/>
          <w:lang w:val="en-GB"/>
        </w:rPr>
        <w:t>Differentiate between the concepts of universality and territoriality in cross-border insolvency</w:t>
      </w:r>
      <w:r w:rsidRPr="008115FE">
        <w:rPr>
          <w:rFonts w:ascii="Arial" w:hAnsi="Arial" w:cs="Arial"/>
          <w:sz w:val="22"/>
          <w:szCs w:val="22"/>
          <w:lang w:val="en-GB"/>
        </w:rPr>
        <w:t>.</w:t>
      </w:r>
    </w:p>
    <w:p w14:paraId="4D734235" w14:textId="59BFD4E7" w:rsidR="009B07AD" w:rsidRPr="008115FE" w:rsidRDefault="009B07AD" w:rsidP="00C053F7">
      <w:pPr>
        <w:ind w:left="720" w:hanging="720"/>
        <w:jc w:val="both"/>
        <w:rPr>
          <w:rFonts w:ascii="Arial" w:hAnsi="Arial" w:cs="Arial"/>
          <w:sz w:val="22"/>
          <w:szCs w:val="22"/>
          <w:lang w:val="en-GB"/>
        </w:rPr>
      </w:pPr>
    </w:p>
    <w:p w14:paraId="34373749" w14:textId="5BE3F2C6" w:rsidR="000D11C1" w:rsidRPr="008115FE" w:rsidRDefault="001855AF" w:rsidP="00FD6178">
      <w:pPr>
        <w:jc w:val="both"/>
        <w:rPr>
          <w:rFonts w:ascii="Arial" w:hAnsi="Arial" w:cs="Arial"/>
          <w:sz w:val="22"/>
          <w:szCs w:val="22"/>
          <w:lang w:val="en-GB"/>
        </w:rPr>
      </w:pPr>
      <w:r>
        <w:rPr>
          <w:rFonts w:ascii="Arial" w:hAnsi="Arial" w:cs="Arial"/>
          <w:sz w:val="22"/>
          <w:szCs w:val="22"/>
          <w:lang w:val="en-GB"/>
        </w:rPr>
        <w:t xml:space="preserve">Under the </w:t>
      </w:r>
      <w:r w:rsidR="00806138" w:rsidRPr="008115FE">
        <w:rPr>
          <w:rFonts w:ascii="Arial" w:hAnsi="Arial" w:cs="Arial"/>
          <w:sz w:val="22"/>
          <w:szCs w:val="22"/>
          <w:lang w:val="en-GB"/>
        </w:rPr>
        <w:t>concept of Universality ther</w:t>
      </w:r>
      <w:r>
        <w:rPr>
          <w:rFonts w:ascii="Arial" w:hAnsi="Arial" w:cs="Arial"/>
          <w:sz w:val="22"/>
          <w:szCs w:val="22"/>
          <w:lang w:val="en-GB"/>
        </w:rPr>
        <w:t>e</w:t>
      </w:r>
      <w:r w:rsidR="00806138" w:rsidRPr="008115FE">
        <w:rPr>
          <w:rFonts w:ascii="Arial" w:hAnsi="Arial" w:cs="Arial"/>
          <w:sz w:val="22"/>
          <w:szCs w:val="22"/>
          <w:lang w:val="en-GB"/>
        </w:rPr>
        <w:t xml:space="preserve"> </w:t>
      </w:r>
      <w:r w:rsidR="00EB08DB">
        <w:rPr>
          <w:rFonts w:ascii="Arial" w:hAnsi="Arial" w:cs="Arial"/>
          <w:sz w:val="22"/>
          <w:szCs w:val="22"/>
          <w:lang w:val="en-GB"/>
        </w:rPr>
        <w:t xml:space="preserve">is </w:t>
      </w:r>
      <w:r w:rsidR="00806138" w:rsidRPr="008115FE">
        <w:rPr>
          <w:rFonts w:ascii="Arial" w:hAnsi="Arial" w:cs="Arial"/>
          <w:sz w:val="22"/>
          <w:szCs w:val="22"/>
          <w:lang w:val="en-GB"/>
        </w:rPr>
        <w:t>only one insolvency proceeding covering all the debtor’s assets worldwide</w:t>
      </w:r>
      <w:r w:rsidR="00EB08DB">
        <w:rPr>
          <w:rStyle w:val="FootnoteReference"/>
          <w:rFonts w:ascii="Arial" w:hAnsi="Arial" w:cs="Arial"/>
          <w:sz w:val="22"/>
          <w:szCs w:val="22"/>
          <w:lang w:val="en-GB"/>
        </w:rPr>
        <w:footnoteReference w:id="3"/>
      </w:r>
      <w:r w:rsidR="00806138" w:rsidRPr="008115FE">
        <w:rPr>
          <w:rFonts w:ascii="Arial" w:hAnsi="Arial" w:cs="Arial"/>
          <w:sz w:val="22"/>
          <w:szCs w:val="22"/>
          <w:lang w:val="en-GB"/>
        </w:rPr>
        <w:t xml:space="preserve">, while the concept of territoriality on the </w:t>
      </w:r>
      <w:r w:rsidR="0015375A" w:rsidRPr="008115FE">
        <w:rPr>
          <w:rFonts w:ascii="Arial" w:hAnsi="Arial" w:cs="Arial"/>
          <w:sz w:val="22"/>
          <w:szCs w:val="22"/>
          <w:lang w:val="en-GB"/>
        </w:rPr>
        <w:t>other hand</w:t>
      </w:r>
      <w:r w:rsidR="00806138" w:rsidRPr="008115FE">
        <w:rPr>
          <w:rFonts w:ascii="Arial" w:hAnsi="Arial" w:cs="Arial"/>
          <w:sz w:val="22"/>
          <w:szCs w:val="22"/>
          <w:lang w:val="en-GB"/>
        </w:rPr>
        <w:t xml:space="preserve"> </w:t>
      </w:r>
      <w:r w:rsidR="00BD6349" w:rsidRPr="008115FE">
        <w:rPr>
          <w:rFonts w:ascii="Arial" w:hAnsi="Arial" w:cs="Arial"/>
          <w:sz w:val="22"/>
          <w:szCs w:val="22"/>
          <w:lang w:val="en-GB"/>
        </w:rPr>
        <w:t xml:space="preserve">permits multiple insolvency proceedings running concurrently </w:t>
      </w:r>
      <w:r w:rsidR="0015375A" w:rsidRPr="008115FE">
        <w:rPr>
          <w:rFonts w:ascii="Arial" w:hAnsi="Arial" w:cs="Arial"/>
          <w:sz w:val="22"/>
          <w:szCs w:val="22"/>
          <w:lang w:val="en-GB"/>
        </w:rPr>
        <w:t>regarding</w:t>
      </w:r>
      <w:r w:rsidR="00BD6349" w:rsidRPr="008115FE">
        <w:rPr>
          <w:rFonts w:ascii="Arial" w:hAnsi="Arial" w:cs="Arial"/>
          <w:sz w:val="22"/>
          <w:szCs w:val="22"/>
          <w:lang w:val="en-GB"/>
        </w:rPr>
        <w:t xml:space="preserve"> the same debtor. Under universality one forum has jurisdiction</w:t>
      </w:r>
      <w:r w:rsidR="000D11C1" w:rsidRPr="008115FE">
        <w:rPr>
          <w:rFonts w:ascii="Arial" w:hAnsi="Arial" w:cs="Arial"/>
          <w:sz w:val="22"/>
          <w:szCs w:val="22"/>
          <w:lang w:val="en-GB"/>
        </w:rPr>
        <w:t xml:space="preserve"> while under territoriality</w:t>
      </w:r>
      <w:r w:rsidR="00EB08DB">
        <w:rPr>
          <w:rFonts w:ascii="Arial" w:hAnsi="Arial" w:cs="Arial"/>
          <w:sz w:val="22"/>
          <w:szCs w:val="22"/>
          <w:lang w:val="en-GB"/>
        </w:rPr>
        <w:t>,</w:t>
      </w:r>
      <w:r w:rsidR="008115FE">
        <w:rPr>
          <w:rFonts w:ascii="Arial" w:hAnsi="Arial" w:cs="Arial"/>
          <w:sz w:val="22"/>
          <w:szCs w:val="22"/>
          <w:lang w:val="en-GB"/>
        </w:rPr>
        <w:t xml:space="preserve"> </w:t>
      </w:r>
      <w:r w:rsidR="000D11C1" w:rsidRPr="008115FE">
        <w:rPr>
          <w:rFonts w:ascii="Arial" w:hAnsi="Arial" w:cs="Arial"/>
          <w:sz w:val="22"/>
          <w:szCs w:val="22"/>
          <w:lang w:val="en-GB"/>
        </w:rPr>
        <w:t xml:space="preserve">jurisdiction is </w:t>
      </w:r>
      <w:r w:rsidR="008115FE">
        <w:rPr>
          <w:rFonts w:ascii="Arial" w:hAnsi="Arial" w:cs="Arial"/>
          <w:sz w:val="22"/>
          <w:szCs w:val="22"/>
          <w:lang w:val="en-GB"/>
        </w:rPr>
        <w:t>l</w:t>
      </w:r>
      <w:r w:rsidR="000D11C1" w:rsidRPr="008115FE">
        <w:rPr>
          <w:rFonts w:ascii="Arial" w:hAnsi="Arial" w:cs="Arial"/>
          <w:sz w:val="22"/>
          <w:szCs w:val="22"/>
          <w:lang w:val="en-GB"/>
        </w:rPr>
        <w:t xml:space="preserve">imited to the property within the state where the </w:t>
      </w:r>
      <w:r w:rsidR="00EB08DB" w:rsidRPr="008115FE">
        <w:rPr>
          <w:rFonts w:ascii="Arial" w:hAnsi="Arial" w:cs="Arial"/>
          <w:sz w:val="22"/>
          <w:szCs w:val="22"/>
          <w:lang w:val="en-GB"/>
        </w:rPr>
        <w:t>proceedings</w:t>
      </w:r>
      <w:r w:rsidR="000D11C1" w:rsidRPr="008115FE">
        <w:rPr>
          <w:rFonts w:ascii="Arial" w:hAnsi="Arial" w:cs="Arial"/>
          <w:sz w:val="22"/>
          <w:szCs w:val="22"/>
          <w:lang w:val="en-GB"/>
        </w:rPr>
        <w:t xml:space="preserve"> are opened.</w:t>
      </w:r>
    </w:p>
    <w:p w14:paraId="2F57801B" w14:textId="63350903" w:rsidR="009B07AD" w:rsidRPr="008115FE" w:rsidRDefault="000D11C1" w:rsidP="00FD6178">
      <w:pPr>
        <w:jc w:val="both"/>
        <w:rPr>
          <w:rFonts w:ascii="Arial" w:hAnsi="Arial" w:cs="Arial"/>
          <w:sz w:val="22"/>
          <w:szCs w:val="22"/>
          <w:lang w:val="en-GB"/>
        </w:rPr>
      </w:pPr>
      <w:r w:rsidRPr="00EB08DB">
        <w:rPr>
          <w:rFonts w:ascii="Arial" w:hAnsi="Arial" w:cs="Arial"/>
          <w:color w:val="7B7B7B" w:themeColor="accent3" w:themeShade="BF"/>
          <w:sz w:val="22"/>
          <w:szCs w:val="22"/>
          <w:lang w:val="en-GB"/>
        </w:rPr>
        <w:t>Under universality all creditors should have the same o</w:t>
      </w:r>
      <w:r w:rsidR="00860204" w:rsidRPr="00EB08DB">
        <w:rPr>
          <w:rFonts w:ascii="Arial" w:hAnsi="Arial" w:cs="Arial"/>
          <w:color w:val="7B7B7B" w:themeColor="accent3" w:themeShade="BF"/>
          <w:sz w:val="22"/>
          <w:szCs w:val="22"/>
          <w:lang w:val="en-GB"/>
        </w:rPr>
        <w:t>pportunity to participate</w:t>
      </w:r>
      <w:r w:rsidR="006F501E" w:rsidRPr="00EB08DB">
        <w:rPr>
          <w:rFonts w:ascii="Arial" w:hAnsi="Arial" w:cs="Arial"/>
          <w:color w:val="7B7B7B" w:themeColor="accent3" w:themeShade="BF"/>
          <w:sz w:val="22"/>
          <w:szCs w:val="22"/>
          <w:lang w:val="en-GB"/>
        </w:rPr>
        <w:t xml:space="preserve"> in the proceedings with all claims treated on an equal basis and under territoriality national interests </w:t>
      </w:r>
      <w:r w:rsidR="006F501E" w:rsidRPr="00EB08DB">
        <w:rPr>
          <w:rFonts w:ascii="Arial" w:hAnsi="Arial" w:cs="Arial"/>
          <w:color w:val="7B7B7B" w:themeColor="accent3" w:themeShade="BF"/>
          <w:sz w:val="22"/>
          <w:szCs w:val="22"/>
          <w:lang w:val="en-GB"/>
        </w:rPr>
        <w:lastRenderedPageBreak/>
        <w:t>are protected before any assets are transmitted abroad. This can lead to</w:t>
      </w:r>
      <w:r w:rsidR="00347013">
        <w:rPr>
          <w:rFonts w:ascii="Arial" w:hAnsi="Arial" w:cs="Arial"/>
          <w:color w:val="7B7B7B" w:themeColor="accent3" w:themeShade="BF"/>
          <w:sz w:val="22"/>
          <w:szCs w:val="22"/>
          <w:lang w:val="en-GB"/>
        </w:rPr>
        <w:t xml:space="preserve"> </w:t>
      </w:r>
      <w:r w:rsidR="006F501E" w:rsidRPr="00EB08DB">
        <w:rPr>
          <w:rFonts w:ascii="Arial" w:hAnsi="Arial" w:cs="Arial"/>
          <w:color w:val="7B7B7B" w:themeColor="accent3" w:themeShade="BF"/>
          <w:sz w:val="22"/>
          <w:szCs w:val="22"/>
          <w:lang w:val="en-GB"/>
        </w:rPr>
        <w:t>a plurality of</w:t>
      </w:r>
      <w:r w:rsidR="006F501E" w:rsidRPr="008115FE">
        <w:rPr>
          <w:rFonts w:ascii="Arial" w:hAnsi="Arial" w:cs="Arial"/>
          <w:color w:val="7B7B7B" w:themeColor="accent3" w:themeShade="BF"/>
          <w:sz w:val="22"/>
          <w:szCs w:val="22"/>
          <w:lang w:val="en-GB"/>
        </w:rPr>
        <w:t xml:space="preserve"> insolvency proceedings and creditors may suffer challenges in participating in foreign insolvency proceedings.</w:t>
      </w:r>
    </w:p>
    <w:p w14:paraId="039E27B5" w14:textId="43F06D19" w:rsidR="00C82D87" w:rsidRPr="008115FE" w:rsidRDefault="00C82D87" w:rsidP="00C053F7">
      <w:pPr>
        <w:ind w:left="720" w:hanging="720"/>
        <w:jc w:val="both"/>
        <w:rPr>
          <w:rFonts w:ascii="Arial" w:hAnsi="Arial"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0D902720" w14:textId="741ACD45" w:rsidR="009560A3" w:rsidRDefault="009560A3" w:rsidP="00160DA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UAE reformed its domestic insolvency law in 2016 and 2019</w:t>
      </w:r>
      <w:r w:rsidR="000B51D1">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w:t>
      </w:r>
    </w:p>
    <w:p w14:paraId="3719C3C7" w14:textId="77777777" w:rsidR="009560A3" w:rsidRDefault="009560A3" w:rsidP="00160DAF">
      <w:pPr>
        <w:ind w:left="720" w:hanging="720"/>
        <w:jc w:val="both"/>
        <w:rPr>
          <w:rFonts w:ascii="Arial" w:hAnsi="Arial" w:cs="Arial"/>
          <w:color w:val="7B7B7B" w:themeColor="accent3" w:themeShade="BF"/>
          <w:sz w:val="22"/>
          <w:szCs w:val="22"/>
          <w:lang w:val="en-GB"/>
        </w:rPr>
      </w:pPr>
    </w:p>
    <w:p w14:paraId="05CDAF8E" w14:textId="0BFB8635" w:rsidR="009560A3" w:rsidRDefault="009560A3" w:rsidP="00160DA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Bahrain adopted the Model Law on Cross-Border </w:t>
      </w:r>
      <w:r w:rsidR="00324259">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in 2018.</w:t>
      </w:r>
    </w:p>
    <w:p w14:paraId="7C0185FB" w14:textId="77777777" w:rsidR="009560A3" w:rsidRDefault="009560A3" w:rsidP="00160DAF">
      <w:pPr>
        <w:ind w:left="720" w:hanging="720"/>
        <w:jc w:val="both"/>
        <w:rPr>
          <w:rFonts w:ascii="Arial" w:hAnsi="Arial" w:cs="Arial"/>
          <w:color w:val="7B7B7B" w:themeColor="accent3" w:themeShade="BF"/>
          <w:sz w:val="22"/>
          <w:szCs w:val="22"/>
          <w:lang w:val="en-GB"/>
        </w:rPr>
      </w:pPr>
    </w:p>
    <w:p w14:paraId="572227E7" w14:textId="36FB82B4" w:rsidR="0045683E" w:rsidRPr="00827D56" w:rsidRDefault="009560A3" w:rsidP="00160DAF">
      <w:pPr>
        <w:ind w:left="720" w:hanging="720"/>
        <w:jc w:val="both"/>
        <w:rPr>
          <w:rFonts w:ascii="Avenir Next" w:hAnsi="Avenir Next" w:cs="Arial"/>
          <w:sz w:val="22"/>
          <w:szCs w:val="22"/>
          <w:lang w:val="en-GB"/>
        </w:rPr>
      </w:pPr>
      <w:r>
        <w:rPr>
          <w:rFonts w:ascii="Arial" w:hAnsi="Arial" w:cs="Arial"/>
          <w:color w:val="7B7B7B" w:themeColor="accent3" w:themeShade="BF"/>
          <w:sz w:val="22"/>
          <w:szCs w:val="22"/>
          <w:lang w:val="en-GB"/>
        </w:rPr>
        <w:t xml:space="preserve">Dubai’s International Financial Centre adopted the Model Law on Cross-Border </w:t>
      </w:r>
      <w:r w:rsidR="00324259">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in 2019</w:t>
      </w:r>
      <w:r w:rsidR="009E4877">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w:t>
      </w:r>
    </w:p>
    <w:p w14:paraId="383B5930" w14:textId="24D85EA9" w:rsidR="00C550C8" w:rsidRDefault="00C550C8" w:rsidP="00160DAF">
      <w:pPr>
        <w:jc w:val="both"/>
        <w:rPr>
          <w:rFonts w:ascii="Avenir Next" w:hAnsi="Avenir Next" w:cs="Arial"/>
          <w:sz w:val="22"/>
          <w:szCs w:val="22"/>
          <w:lang w:val="en-GB"/>
        </w:rPr>
      </w:pPr>
    </w:p>
    <w:p w14:paraId="1BB4484C" w14:textId="6E464959" w:rsidR="001C4EF0" w:rsidRDefault="001C4EF0" w:rsidP="00160DAF">
      <w:pPr>
        <w:jc w:val="both"/>
        <w:rPr>
          <w:rFonts w:ascii="Avenir Next" w:hAnsi="Avenir Next" w:cs="Arial"/>
          <w:sz w:val="22"/>
          <w:szCs w:val="22"/>
          <w:lang w:val="en-GB"/>
        </w:rPr>
      </w:pPr>
    </w:p>
    <w:p w14:paraId="170A9E71" w14:textId="6329551A" w:rsidR="00962045" w:rsidRPr="00827D56" w:rsidRDefault="001C4EF0" w:rsidP="00C053F7">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Q</w:t>
      </w:r>
      <w:r w:rsidR="00DF75F8" w:rsidRPr="00827D56">
        <w:rPr>
          <w:rFonts w:ascii="Avenir Next Demi Bold" w:hAnsi="Avenir Next Demi Bold" w:cs="Arial"/>
          <w:b/>
          <w:bCs/>
          <w:sz w:val="22"/>
          <w:szCs w:val="22"/>
          <w:lang w:val="en-GB"/>
        </w:rPr>
        <w:t>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318A14AF" w14:textId="417BB3EB" w:rsidR="00C550C8"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41B2046E" w14:textId="77777777" w:rsidR="00BA5788" w:rsidRPr="00827D56" w:rsidRDefault="00BA5788" w:rsidP="00C053F7">
      <w:pPr>
        <w:jc w:val="both"/>
        <w:rPr>
          <w:rFonts w:ascii="Avenir Next" w:hAnsi="Avenir Next" w:cs="Arial"/>
          <w:sz w:val="22"/>
          <w:szCs w:val="22"/>
          <w:lang w:val="en-GB"/>
        </w:rPr>
      </w:pPr>
    </w:p>
    <w:p w14:paraId="4024A332" w14:textId="37F14DAC" w:rsidR="00544127" w:rsidRDefault="00C24DB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E80757">
        <w:rPr>
          <w:rFonts w:ascii="Arial" w:hAnsi="Arial" w:cs="Arial"/>
          <w:color w:val="7B7B7B" w:themeColor="accent3" w:themeShade="BF"/>
          <w:sz w:val="22"/>
          <w:szCs w:val="22"/>
          <w:lang w:val="en-GB"/>
        </w:rPr>
        <w:t xml:space="preserve"> broad</w:t>
      </w:r>
      <w:r>
        <w:rPr>
          <w:rFonts w:ascii="Arial" w:hAnsi="Arial" w:cs="Arial"/>
          <w:color w:val="7B7B7B" w:themeColor="accent3" w:themeShade="BF"/>
          <w:sz w:val="22"/>
          <w:szCs w:val="22"/>
          <w:lang w:val="en-GB"/>
        </w:rPr>
        <w:t xml:space="preserve"> objective</w:t>
      </w:r>
      <w:r w:rsidR="00E80757">
        <w:rPr>
          <w:rFonts w:ascii="Arial" w:hAnsi="Arial" w:cs="Arial"/>
          <w:color w:val="7B7B7B" w:themeColor="accent3" w:themeShade="BF"/>
          <w:sz w:val="22"/>
          <w:szCs w:val="22"/>
          <w:lang w:val="en-GB"/>
        </w:rPr>
        <w:t xml:space="preserve">s of insolvency for corporations are to rescue businesses in </w:t>
      </w:r>
      <w:r w:rsidR="0015375A">
        <w:rPr>
          <w:rFonts w:ascii="Arial" w:hAnsi="Arial" w:cs="Arial"/>
          <w:color w:val="7B7B7B" w:themeColor="accent3" w:themeShade="BF"/>
          <w:sz w:val="22"/>
          <w:szCs w:val="22"/>
          <w:lang w:val="en-GB"/>
        </w:rPr>
        <w:t>financial difficulty</w:t>
      </w:r>
      <w:r w:rsidR="00E80757">
        <w:rPr>
          <w:rFonts w:ascii="Arial" w:hAnsi="Arial" w:cs="Arial"/>
          <w:color w:val="7B7B7B" w:themeColor="accent3" w:themeShade="BF"/>
          <w:sz w:val="22"/>
          <w:szCs w:val="22"/>
          <w:lang w:val="en-GB"/>
        </w:rPr>
        <w:t xml:space="preserve">, </w:t>
      </w:r>
      <w:r w:rsidR="0015375A">
        <w:rPr>
          <w:rFonts w:ascii="Arial" w:hAnsi="Arial" w:cs="Arial"/>
          <w:color w:val="7B7B7B" w:themeColor="accent3" w:themeShade="BF"/>
          <w:sz w:val="22"/>
          <w:szCs w:val="22"/>
          <w:lang w:val="en-GB"/>
        </w:rPr>
        <w:t>protecting employment</w:t>
      </w:r>
      <w:r w:rsidR="00E80757">
        <w:rPr>
          <w:rFonts w:ascii="Arial" w:hAnsi="Arial" w:cs="Arial"/>
          <w:color w:val="7B7B7B" w:themeColor="accent3" w:themeShade="BF"/>
          <w:sz w:val="22"/>
          <w:szCs w:val="22"/>
          <w:lang w:val="en-GB"/>
        </w:rPr>
        <w:t>, protecting the interests of creditors</w:t>
      </w:r>
      <w:r w:rsidR="00436762">
        <w:rPr>
          <w:rFonts w:ascii="Arial" w:hAnsi="Arial" w:cs="Arial"/>
          <w:color w:val="7B7B7B" w:themeColor="accent3" w:themeShade="BF"/>
          <w:sz w:val="22"/>
          <w:szCs w:val="22"/>
          <w:lang w:val="en-GB"/>
        </w:rPr>
        <w:t xml:space="preserve"> </w:t>
      </w:r>
      <w:r w:rsidR="0015375A">
        <w:rPr>
          <w:rFonts w:ascii="Arial" w:hAnsi="Arial" w:cs="Arial"/>
          <w:color w:val="7B7B7B" w:themeColor="accent3" w:themeShade="BF"/>
          <w:sz w:val="22"/>
          <w:szCs w:val="22"/>
          <w:lang w:val="en-GB"/>
        </w:rPr>
        <w:t>and,</w:t>
      </w:r>
      <w:r w:rsidR="00E80757">
        <w:rPr>
          <w:rFonts w:ascii="Arial" w:hAnsi="Arial" w:cs="Arial"/>
          <w:color w:val="7B7B7B" w:themeColor="accent3" w:themeShade="BF"/>
          <w:sz w:val="22"/>
          <w:szCs w:val="22"/>
          <w:lang w:val="en-GB"/>
        </w:rPr>
        <w:t xml:space="preserve"> encouraging the development of an entrepreneurial class</w:t>
      </w:r>
      <w:r w:rsidR="00436762">
        <w:rPr>
          <w:rStyle w:val="FootnoteReference"/>
          <w:rFonts w:ascii="Arial" w:hAnsi="Arial" w:cs="Arial"/>
          <w:color w:val="7B7B7B" w:themeColor="accent3" w:themeShade="BF"/>
          <w:sz w:val="22"/>
          <w:szCs w:val="22"/>
          <w:lang w:val="en-GB"/>
        </w:rPr>
        <w:footnoteReference w:id="6"/>
      </w:r>
      <w:r w:rsidR="00E80757">
        <w:rPr>
          <w:rFonts w:ascii="Arial" w:hAnsi="Arial" w:cs="Arial"/>
          <w:color w:val="7B7B7B" w:themeColor="accent3" w:themeShade="BF"/>
          <w:sz w:val="22"/>
          <w:szCs w:val="22"/>
          <w:lang w:val="en-GB"/>
        </w:rPr>
        <w:t>.</w:t>
      </w:r>
      <w:r w:rsidR="002C71AA">
        <w:rPr>
          <w:rFonts w:ascii="Arial" w:hAnsi="Arial" w:cs="Arial"/>
          <w:color w:val="7B7B7B" w:themeColor="accent3" w:themeShade="BF"/>
          <w:sz w:val="22"/>
          <w:szCs w:val="22"/>
          <w:lang w:val="en-GB"/>
        </w:rPr>
        <w:t xml:space="preserve"> On the other </w:t>
      </w:r>
      <w:r w:rsidR="0015375A">
        <w:rPr>
          <w:rFonts w:ascii="Arial" w:hAnsi="Arial" w:cs="Arial"/>
          <w:color w:val="7B7B7B" w:themeColor="accent3" w:themeShade="BF"/>
          <w:sz w:val="22"/>
          <w:szCs w:val="22"/>
          <w:lang w:val="en-GB"/>
        </w:rPr>
        <w:t>hand,</w:t>
      </w:r>
      <w:r w:rsidR="002C71AA">
        <w:rPr>
          <w:rFonts w:ascii="Arial" w:hAnsi="Arial" w:cs="Arial"/>
          <w:color w:val="7B7B7B" w:themeColor="accent3" w:themeShade="BF"/>
          <w:sz w:val="22"/>
          <w:szCs w:val="22"/>
          <w:lang w:val="en-GB"/>
        </w:rPr>
        <w:t xml:space="preserve"> the objective of insolvency for individuals is to enable the individual a fresh start and negate the negative </w:t>
      </w:r>
      <w:r w:rsidR="0015375A">
        <w:rPr>
          <w:rFonts w:ascii="Arial" w:hAnsi="Arial" w:cs="Arial"/>
          <w:color w:val="7B7B7B" w:themeColor="accent3" w:themeShade="BF"/>
          <w:sz w:val="22"/>
          <w:szCs w:val="22"/>
          <w:lang w:val="en-GB"/>
        </w:rPr>
        <w:t>perceptions associated</w:t>
      </w:r>
      <w:r w:rsidR="002C71AA">
        <w:rPr>
          <w:rFonts w:ascii="Arial" w:hAnsi="Arial" w:cs="Arial"/>
          <w:color w:val="7B7B7B" w:themeColor="accent3" w:themeShade="BF"/>
          <w:sz w:val="22"/>
          <w:szCs w:val="22"/>
          <w:lang w:val="en-GB"/>
        </w:rPr>
        <w:t xml:space="preserve"> with sequestration.</w:t>
      </w:r>
    </w:p>
    <w:p w14:paraId="1F8B471D" w14:textId="3D33D9B5" w:rsidR="00520B6B" w:rsidRDefault="00520B6B" w:rsidP="00C053F7">
      <w:pPr>
        <w:jc w:val="both"/>
        <w:rPr>
          <w:rFonts w:ascii="Arial" w:hAnsi="Arial" w:cs="Arial"/>
          <w:color w:val="7B7B7B" w:themeColor="accent3" w:themeShade="BF"/>
          <w:sz w:val="22"/>
          <w:szCs w:val="22"/>
          <w:lang w:val="en-GB"/>
        </w:rPr>
      </w:pPr>
    </w:p>
    <w:p w14:paraId="40FD2751" w14:textId="1D1FADD6" w:rsidR="002C45EE" w:rsidRDefault="00520B6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objective of individual insolvency is discharge and rehabilitation while under corporate insolvency a corporate is not discharged but wound</w:t>
      </w:r>
      <w:r w:rsidR="00C072F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up at the conclusion of the liquidation or possible re-</w:t>
      </w:r>
      <w:r w:rsidR="00F23AF6">
        <w:rPr>
          <w:rFonts w:ascii="Arial" w:hAnsi="Arial" w:cs="Arial"/>
          <w:color w:val="7B7B7B" w:themeColor="accent3" w:themeShade="BF"/>
          <w:sz w:val="22"/>
          <w:szCs w:val="22"/>
          <w:lang w:val="en-GB"/>
        </w:rPr>
        <w:t>organisation</w:t>
      </w:r>
      <w:r>
        <w:rPr>
          <w:rFonts w:ascii="Arial" w:hAnsi="Arial" w:cs="Arial"/>
          <w:color w:val="7B7B7B" w:themeColor="accent3" w:themeShade="BF"/>
          <w:sz w:val="22"/>
          <w:szCs w:val="22"/>
          <w:lang w:val="en-GB"/>
        </w:rPr>
        <w:t xml:space="preserve"> through restructuring.</w:t>
      </w:r>
    </w:p>
    <w:p w14:paraId="2CDD5AAC" w14:textId="77777777" w:rsidR="002C45EE" w:rsidRDefault="002C45EE" w:rsidP="00C053F7">
      <w:pPr>
        <w:jc w:val="both"/>
        <w:rPr>
          <w:rFonts w:ascii="Arial" w:hAnsi="Arial" w:cs="Arial"/>
          <w:color w:val="7B7B7B" w:themeColor="accent3" w:themeShade="BF"/>
          <w:sz w:val="22"/>
          <w:szCs w:val="22"/>
          <w:lang w:val="en-GB"/>
        </w:rPr>
      </w:pPr>
    </w:p>
    <w:p w14:paraId="0933DB1C" w14:textId="686BF664" w:rsidR="00520B6B" w:rsidRPr="00827D56" w:rsidRDefault="002C45EE" w:rsidP="00C053F7">
      <w:pPr>
        <w:jc w:val="both"/>
        <w:rPr>
          <w:rFonts w:ascii="Avenir Next" w:hAnsi="Avenir Next" w:cs="Arial"/>
          <w:sz w:val="22"/>
          <w:szCs w:val="22"/>
          <w:lang w:val="en-GB"/>
        </w:rPr>
      </w:pPr>
      <w:r>
        <w:rPr>
          <w:rFonts w:ascii="Arial" w:hAnsi="Arial" w:cs="Arial"/>
          <w:color w:val="7B7B7B" w:themeColor="accent3" w:themeShade="BF"/>
          <w:sz w:val="22"/>
          <w:szCs w:val="22"/>
          <w:lang w:val="en-GB"/>
        </w:rPr>
        <w:t xml:space="preserve">The concept of exclusion of assets from the estate is unique to individual insolvencies where some assets are exempt like household goods to ensure the primary survival of </w:t>
      </w:r>
      <w:r w:rsidR="008B11C8">
        <w:rPr>
          <w:rFonts w:ascii="Arial" w:hAnsi="Arial" w:cs="Arial"/>
          <w:color w:val="7B7B7B" w:themeColor="accent3" w:themeShade="BF"/>
          <w:sz w:val="22"/>
          <w:szCs w:val="22"/>
          <w:lang w:val="en-GB"/>
        </w:rPr>
        <w:t>individuals</w:t>
      </w:r>
      <w:r>
        <w:rPr>
          <w:rFonts w:ascii="Arial" w:hAnsi="Arial" w:cs="Arial"/>
          <w:color w:val="7B7B7B" w:themeColor="accent3" w:themeShade="BF"/>
          <w:sz w:val="22"/>
          <w:szCs w:val="22"/>
          <w:lang w:val="en-GB"/>
        </w:rPr>
        <w:t xml:space="preserve">. In corporate insolvencies all assets fall into the estate and there is the possibility of sanctions against directors for reckless trading. </w:t>
      </w:r>
      <w:r w:rsidR="00520B6B">
        <w:rPr>
          <w:rFonts w:ascii="Arial" w:hAnsi="Arial" w:cs="Arial"/>
          <w:color w:val="7B7B7B" w:themeColor="accent3" w:themeShade="BF"/>
          <w:sz w:val="22"/>
          <w:szCs w:val="22"/>
          <w:lang w:val="en-GB"/>
        </w:rPr>
        <w:t xml:space="preserve">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60BB680" w14:textId="77777777" w:rsidR="00A53968" w:rsidRDefault="00A53968" w:rsidP="00C053F7">
      <w:pPr>
        <w:ind w:left="720" w:hanging="720"/>
        <w:jc w:val="both"/>
        <w:rPr>
          <w:rFonts w:ascii="Avenir Next Demi Bold" w:hAnsi="Avenir Next Demi Bold" w:cs="Arial"/>
          <w:b/>
          <w:bCs/>
          <w:sz w:val="22"/>
          <w:szCs w:val="22"/>
          <w:lang w:val="en-GB"/>
        </w:rPr>
      </w:pPr>
    </w:p>
    <w:p w14:paraId="5A4AF200" w14:textId="77777777" w:rsidR="00A53968" w:rsidRDefault="00A53968" w:rsidP="00C053F7">
      <w:pPr>
        <w:ind w:left="720" w:hanging="720"/>
        <w:jc w:val="both"/>
        <w:rPr>
          <w:rFonts w:ascii="Avenir Next Demi Bold" w:hAnsi="Avenir Next Demi Bold" w:cs="Arial"/>
          <w:b/>
          <w:bCs/>
          <w:sz w:val="22"/>
          <w:szCs w:val="22"/>
          <w:lang w:val="en-GB"/>
        </w:rPr>
      </w:pPr>
    </w:p>
    <w:p w14:paraId="1FAC73FA" w14:textId="77777777" w:rsidR="00A53968" w:rsidRDefault="00A53968" w:rsidP="00C053F7">
      <w:pPr>
        <w:ind w:left="720" w:hanging="720"/>
        <w:jc w:val="both"/>
        <w:rPr>
          <w:rFonts w:ascii="Avenir Next Demi Bold" w:hAnsi="Avenir Next Demi Bold" w:cs="Arial"/>
          <w:b/>
          <w:bCs/>
          <w:sz w:val="22"/>
          <w:szCs w:val="22"/>
          <w:lang w:val="en-GB"/>
        </w:rPr>
      </w:pPr>
    </w:p>
    <w:p w14:paraId="768B6FEF" w14:textId="77777777" w:rsidR="00F7407F" w:rsidRDefault="00F7407F" w:rsidP="00C053F7">
      <w:pPr>
        <w:ind w:left="720" w:hanging="720"/>
        <w:jc w:val="both"/>
        <w:rPr>
          <w:rFonts w:ascii="Avenir Next Demi Bold" w:hAnsi="Avenir Next Demi Bold" w:cs="Arial"/>
          <w:b/>
          <w:bCs/>
          <w:sz w:val="22"/>
          <w:szCs w:val="22"/>
          <w:lang w:val="en-GB"/>
        </w:rPr>
      </w:pPr>
    </w:p>
    <w:p w14:paraId="0EFDE093" w14:textId="77777777" w:rsidR="00F7407F" w:rsidRDefault="00F7407F" w:rsidP="00C053F7">
      <w:pPr>
        <w:ind w:left="720" w:hanging="720"/>
        <w:jc w:val="both"/>
        <w:rPr>
          <w:rFonts w:ascii="Avenir Next Demi Bold" w:hAnsi="Avenir Next Demi Bold" w:cs="Arial"/>
          <w:b/>
          <w:bCs/>
          <w:sz w:val="22"/>
          <w:szCs w:val="22"/>
          <w:lang w:val="en-GB"/>
        </w:rPr>
      </w:pPr>
    </w:p>
    <w:p w14:paraId="755D6AFF" w14:textId="5E521BB5"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4C775880" w:rsidR="00807119"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198B0D01" w14:textId="7A2DB73B" w:rsidR="00E80757" w:rsidRDefault="00E80757" w:rsidP="00C053F7">
      <w:pPr>
        <w:jc w:val="both"/>
        <w:rPr>
          <w:rFonts w:ascii="Avenir Next" w:hAnsi="Avenir Next" w:cs="Arial"/>
          <w:sz w:val="22"/>
          <w:szCs w:val="22"/>
          <w:lang w:val="en-GB"/>
        </w:rPr>
      </w:pPr>
    </w:p>
    <w:p w14:paraId="4FA1683C" w14:textId="4B871B28" w:rsidR="00C0203F" w:rsidRDefault="00C0203F" w:rsidP="00C053F7">
      <w:pPr>
        <w:jc w:val="both"/>
        <w:rPr>
          <w:rFonts w:ascii="Arial" w:hAnsi="Arial" w:cs="Arial"/>
          <w:sz w:val="22"/>
          <w:szCs w:val="22"/>
          <w:lang w:val="en-GB"/>
        </w:rPr>
      </w:pPr>
      <w:r>
        <w:rPr>
          <w:rFonts w:ascii="Arial" w:hAnsi="Arial" w:cs="Arial"/>
          <w:sz w:val="22"/>
          <w:szCs w:val="22"/>
          <w:lang w:val="en-GB"/>
        </w:rPr>
        <w:t>The choice of forum to commence insolvency proceedings of a cross-border</w:t>
      </w:r>
      <w:r w:rsidR="00F7407F">
        <w:rPr>
          <w:rFonts w:ascii="Arial" w:hAnsi="Arial" w:cs="Arial"/>
          <w:sz w:val="22"/>
          <w:szCs w:val="22"/>
          <w:lang w:val="en-GB"/>
        </w:rPr>
        <w:t xml:space="preserve"> nature</w:t>
      </w:r>
      <w:r>
        <w:rPr>
          <w:rFonts w:ascii="Arial" w:hAnsi="Arial" w:cs="Arial"/>
          <w:sz w:val="22"/>
          <w:szCs w:val="22"/>
          <w:lang w:val="en-GB"/>
        </w:rPr>
        <w:t xml:space="preserve"> may present difficulties in deciding which jurisdiction will determine the matter.</w:t>
      </w:r>
    </w:p>
    <w:p w14:paraId="7ABFBC82" w14:textId="108E0056" w:rsidR="00C0203F" w:rsidRDefault="00C0203F" w:rsidP="00C053F7">
      <w:pPr>
        <w:jc w:val="both"/>
        <w:rPr>
          <w:rFonts w:ascii="Arial" w:hAnsi="Arial" w:cs="Arial"/>
          <w:sz w:val="22"/>
          <w:szCs w:val="22"/>
          <w:lang w:val="en-GB"/>
        </w:rPr>
      </w:pPr>
      <w:r>
        <w:rPr>
          <w:rFonts w:ascii="Arial" w:hAnsi="Arial" w:cs="Arial"/>
          <w:sz w:val="22"/>
          <w:szCs w:val="22"/>
          <w:lang w:val="en-GB"/>
        </w:rPr>
        <w:t xml:space="preserve"> </w:t>
      </w:r>
    </w:p>
    <w:p w14:paraId="5733E8BF" w14:textId="3901EFE6" w:rsidR="00951B68" w:rsidRDefault="00C0203F" w:rsidP="00E45DEF">
      <w:pPr>
        <w:jc w:val="both"/>
        <w:rPr>
          <w:rFonts w:ascii="Arial" w:hAnsi="Arial" w:cs="Arial"/>
          <w:sz w:val="22"/>
          <w:szCs w:val="22"/>
          <w:lang w:val="en-GB"/>
        </w:rPr>
      </w:pPr>
      <w:r>
        <w:rPr>
          <w:rFonts w:ascii="Arial" w:hAnsi="Arial" w:cs="Arial"/>
          <w:sz w:val="22"/>
          <w:szCs w:val="22"/>
          <w:lang w:val="en-GB"/>
        </w:rPr>
        <w:t xml:space="preserve">When the court has determined that it has the jurisdiction to hear the matter it then </w:t>
      </w:r>
      <w:r w:rsidR="0015375A">
        <w:rPr>
          <w:rFonts w:ascii="Arial" w:hAnsi="Arial" w:cs="Arial"/>
          <w:sz w:val="22"/>
          <w:szCs w:val="22"/>
          <w:lang w:val="en-GB"/>
        </w:rPr>
        <w:t>must</w:t>
      </w:r>
      <w:r>
        <w:rPr>
          <w:rFonts w:ascii="Arial" w:hAnsi="Arial" w:cs="Arial"/>
          <w:sz w:val="22"/>
          <w:szCs w:val="22"/>
          <w:lang w:val="en-GB"/>
        </w:rPr>
        <w:t xml:space="preserve"> decide on the law to apply. Deciding on the appropriate law to apply may result in a conflict of laws </w:t>
      </w:r>
      <w:r w:rsidR="00E45DEF">
        <w:rPr>
          <w:rFonts w:ascii="Arial" w:hAnsi="Arial" w:cs="Arial"/>
          <w:sz w:val="22"/>
          <w:szCs w:val="22"/>
          <w:lang w:val="en-GB"/>
        </w:rPr>
        <w:t>exasperated</w:t>
      </w:r>
      <w:r>
        <w:rPr>
          <w:rFonts w:ascii="Arial" w:hAnsi="Arial" w:cs="Arial"/>
          <w:sz w:val="22"/>
          <w:szCs w:val="22"/>
          <w:lang w:val="en-GB"/>
        </w:rPr>
        <w:t xml:space="preserve"> by the presence </w:t>
      </w:r>
      <w:r w:rsidR="00E45DEF">
        <w:rPr>
          <w:rFonts w:ascii="Arial" w:hAnsi="Arial" w:cs="Arial"/>
          <w:sz w:val="22"/>
          <w:szCs w:val="22"/>
          <w:lang w:val="en-GB"/>
        </w:rPr>
        <w:t xml:space="preserve">of qualifications like security, set-off and netting arrangements. Cross-border insolvencies tend to be expensive for foreign creditors and may result in their discrimination.   </w:t>
      </w:r>
    </w:p>
    <w:p w14:paraId="06759998" w14:textId="77777777" w:rsidR="00951B68" w:rsidRDefault="00951B68" w:rsidP="00E45DEF">
      <w:pPr>
        <w:jc w:val="both"/>
        <w:rPr>
          <w:rFonts w:ascii="Arial" w:hAnsi="Arial" w:cs="Arial"/>
          <w:sz w:val="22"/>
          <w:szCs w:val="22"/>
          <w:lang w:val="en-GB"/>
        </w:rPr>
      </w:pPr>
    </w:p>
    <w:p w14:paraId="439CF3B4" w14:textId="7A51488E" w:rsidR="00E80757" w:rsidRPr="00E80757" w:rsidRDefault="00951B68" w:rsidP="00E45DEF">
      <w:pPr>
        <w:jc w:val="both"/>
        <w:rPr>
          <w:rFonts w:ascii="Arial" w:hAnsi="Arial" w:cs="Arial"/>
          <w:sz w:val="22"/>
          <w:szCs w:val="22"/>
          <w:lang w:val="en-GB"/>
        </w:rPr>
      </w:pPr>
      <w:r>
        <w:rPr>
          <w:rFonts w:ascii="Arial" w:hAnsi="Arial" w:cs="Arial"/>
          <w:sz w:val="22"/>
          <w:szCs w:val="22"/>
          <w:lang w:val="en-GB"/>
        </w:rPr>
        <w:t>J</w:t>
      </w:r>
      <w:r w:rsidR="00AF0360">
        <w:rPr>
          <w:rFonts w:ascii="Arial" w:hAnsi="Arial" w:cs="Arial"/>
          <w:sz w:val="22"/>
          <w:szCs w:val="22"/>
          <w:lang w:val="en-GB"/>
        </w:rPr>
        <w:t>udgement</w:t>
      </w:r>
      <w:r>
        <w:rPr>
          <w:rFonts w:ascii="Arial" w:hAnsi="Arial" w:cs="Arial"/>
          <w:sz w:val="22"/>
          <w:szCs w:val="22"/>
          <w:lang w:val="en-GB"/>
        </w:rPr>
        <w:t>s in insolvency cases of a cross-border nature may be difficult to enforce in foreign jurisdictions.</w:t>
      </w:r>
      <w:r w:rsidR="00AB74D0">
        <w:rPr>
          <w:rStyle w:val="FootnoteReference"/>
          <w:rFonts w:ascii="Arial" w:hAnsi="Arial" w:cs="Arial"/>
          <w:sz w:val="22"/>
          <w:szCs w:val="22"/>
          <w:lang w:val="en-GB"/>
        </w:rPr>
        <w:footnoteReference w:id="7"/>
      </w:r>
      <w:r w:rsidR="00AF0360">
        <w:rPr>
          <w:rFonts w:ascii="Arial" w:hAnsi="Arial" w:cs="Arial"/>
          <w:sz w:val="22"/>
          <w:szCs w:val="22"/>
          <w:lang w:val="en-GB"/>
        </w:rPr>
        <w:t xml:space="preserve">  </w:t>
      </w:r>
    </w:p>
    <w:p w14:paraId="2F029E55" w14:textId="1280FB99" w:rsidR="00DF75F8" w:rsidRPr="00827D56" w:rsidRDefault="00DF75F8" w:rsidP="00C053F7">
      <w:pPr>
        <w:jc w:val="both"/>
        <w:rPr>
          <w:rFonts w:ascii="Avenir Next" w:hAnsi="Avenir Next" w:cs="Arial"/>
          <w:sz w:val="22"/>
          <w:szCs w:val="22"/>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7C1EA8B4" w:rsidR="00DF75F8" w:rsidRDefault="00DF75F8" w:rsidP="00C053F7">
      <w:pPr>
        <w:jc w:val="both"/>
        <w:rPr>
          <w:rFonts w:ascii="Avenir Next" w:hAnsi="Avenir Next" w:cs="Arial"/>
          <w:sz w:val="22"/>
          <w:szCs w:val="22"/>
          <w:lang w:val="en-GB"/>
        </w:rPr>
      </w:pPr>
    </w:p>
    <w:p w14:paraId="18B9989C" w14:textId="116BAD71" w:rsidR="00951B2B" w:rsidRPr="00A53968" w:rsidRDefault="00A3432B" w:rsidP="00C053F7">
      <w:pPr>
        <w:jc w:val="both"/>
        <w:rPr>
          <w:rFonts w:ascii="Arial" w:hAnsi="Arial" w:cs="Arial"/>
          <w:sz w:val="22"/>
          <w:szCs w:val="22"/>
          <w:lang w:val="en-GB"/>
        </w:rPr>
      </w:pPr>
      <w:r w:rsidRPr="00A53968">
        <w:rPr>
          <w:rFonts w:ascii="Arial" w:hAnsi="Arial" w:cs="Arial"/>
          <w:sz w:val="22"/>
          <w:szCs w:val="22"/>
          <w:lang w:val="en-GB"/>
        </w:rPr>
        <w:t xml:space="preserve">The UNCITRAL Legislative Guide </w:t>
      </w:r>
      <w:r w:rsidR="00382743" w:rsidRPr="00A53968">
        <w:rPr>
          <w:rFonts w:ascii="Arial" w:hAnsi="Arial" w:cs="Arial"/>
          <w:sz w:val="22"/>
          <w:szCs w:val="22"/>
          <w:lang w:val="en-GB"/>
        </w:rPr>
        <w:t>on</w:t>
      </w:r>
      <w:r w:rsidRPr="00A53968">
        <w:rPr>
          <w:rFonts w:ascii="Arial" w:hAnsi="Arial" w:cs="Arial"/>
          <w:sz w:val="22"/>
          <w:szCs w:val="22"/>
          <w:lang w:val="en-GB"/>
        </w:rPr>
        <w:t xml:space="preserve"> Insolvency Law of 2004 seeks to </w:t>
      </w:r>
      <w:r w:rsidR="005F5ADF" w:rsidRPr="00A53968">
        <w:rPr>
          <w:rFonts w:ascii="Arial" w:hAnsi="Arial" w:cs="Arial"/>
          <w:sz w:val="22"/>
          <w:szCs w:val="22"/>
          <w:lang w:val="en-GB"/>
        </w:rPr>
        <w:t>promote a harmonised</w:t>
      </w:r>
      <w:r w:rsidR="00382743" w:rsidRPr="00A53968">
        <w:rPr>
          <w:rFonts w:ascii="Arial" w:hAnsi="Arial" w:cs="Arial"/>
          <w:sz w:val="22"/>
          <w:szCs w:val="22"/>
          <w:lang w:val="en-GB"/>
        </w:rPr>
        <w:t xml:space="preserve"> insolvency system and is intended to be used as a reference by national and legislative authorities when preparing new laws and </w:t>
      </w:r>
      <w:r w:rsidR="00F7407F" w:rsidRPr="00A53968">
        <w:rPr>
          <w:rFonts w:ascii="Arial" w:hAnsi="Arial" w:cs="Arial"/>
          <w:sz w:val="22"/>
          <w:szCs w:val="22"/>
          <w:lang w:val="en-GB"/>
        </w:rPr>
        <w:t>regulations</w:t>
      </w:r>
      <w:r w:rsidR="00F7407F">
        <w:rPr>
          <w:rStyle w:val="FootnoteReference"/>
          <w:rFonts w:ascii="Arial" w:hAnsi="Arial" w:cs="Arial"/>
          <w:sz w:val="22"/>
          <w:szCs w:val="22"/>
          <w:lang w:val="en-GB"/>
        </w:rPr>
        <w:footnoteReference w:id="8"/>
      </w:r>
      <w:r w:rsidR="00382743" w:rsidRPr="00A53968">
        <w:rPr>
          <w:rFonts w:ascii="Arial" w:hAnsi="Arial" w:cs="Arial"/>
          <w:sz w:val="22"/>
          <w:szCs w:val="22"/>
          <w:lang w:val="en-GB"/>
        </w:rPr>
        <w:t>.</w:t>
      </w:r>
      <w:r w:rsidRPr="00A53968">
        <w:rPr>
          <w:rFonts w:ascii="Arial" w:hAnsi="Arial" w:cs="Arial"/>
          <w:sz w:val="22"/>
          <w:szCs w:val="22"/>
          <w:lang w:val="en-GB"/>
        </w:rPr>
        <w:t xml:space="preserve"> </w:t>
      </w:r>
      <w:r w:rsidR="00382743" w:rsidRPr="00A53968">
        <w:rPr>
          <w:rFonts w:ascii="Arial" w:hAnsi="Arial" w:cs="Arial"/>
          <w:sz w:val="22"/>
          <w:szCs w:val="22"/>
          <w:lang w:val="en-GB"/>
        </w:rPr>
        <w:t>The success of the UNCITRAL Model Law on cross- border Insolvency has been evidenced by its adoption, incorporation and application in local legislation</w:t>
      </w:r>
      <w:r w:rsidR="00951B2B" w:rsidRPr="00A53968">
        <w:rPr>
          <w:rFonts w:ascii="Arial" w:hAnsi="Arial" w:cs="Arial"/>
          <w:sz w:val="22"/>
          <w:szCs w:val="22"/>
          <w:lang w:val="en-GB"/>
        </w:rPr>
        <w:t>. Examples include:</w:t>
      </w:r>
    </w:p>
    <w:p w14:paraId="6967C236" w14:textId="39A40AA8" w:rsidR="0017695C" w:rsidRPr="00A53968" w:rsidRDefault="00BB1136" w:rsidP="00C053F7">
      <w:pPr>
        <w:jc w:val="both"/>
        <w:rPr>
          <w:rFonts w:ascii="Arial" w:hAnsi="Arial" w:cs="Arial"/>
          <w:sz w:val="22"/>
          <w:szCs w:val="22"/>
          <w:lang w:val="en-GB"/>
        </w:rPr>
      </w:pPr>
      <w:r w:rsidRPr="00A53968">
        <w:rPr>
          <w:rFonts w:ascii="Arial" w:hAnsi="Arial" w:cs="Arial"/>
          <w:sz w:val="22"/>
          <w:szCs w:val="22"/>
          <w:lang w:val="en-GB"/>
        </w:rPr>
        <w:t xml:space="preserve">Its adoption by Bahrain in 2018 and in 2015 </w:t>
      </w:r>
      <w:r w:rsidR="00280D79" w:rsidRPr="00A53968">
        <w:rPr>
          <w:rFonts w:ascii="Arial" w:hAnsi="Arial" w:cs="Arial"/>
          <w:sz w:val="22"/>
          <w:szCs w:val="22"/>
          <w:lang w:val="en-GB"/>
        </w:rPr>
        <w:t xml:space="preserve">by </w:t>
      </w:r>
      <w:r w:rsidRPr="00A53968">
        <w:rPr>
          <w:rFonts w:ascii="Arial" w:hAnsi="Arial" w:cs="Arial"/>
          <w:sz w:val="22"/>
          <w:szCs w:val="22"/>
          <w:lang w:val="en-GB"/>
        </w:rPr>
        <w:t xml:space="preserve">all member states of the Organisation of the </w:t>
      </w:r>
      <w:r w:rsidR="00F7407F" w:rsidRPr="00A53968">
        <w:rPr>
          <w:rFonts w:ascii="Arial" w:hAnsi="Arial" w:cs="Arial"/>
          <w:sz w:val="22"/>
          <w:szCs w:val="22"/>
          <w:lang w:val="en-GB"/>
        </w:rPr>
        <w:t>Harmonisation</w:t>
      </w:r>
      <w:r w:rsidRPr="00A53968">
        <w:rPr>
          <w:rFonts w:ascii="Arial" w:hAnsi="Arial" w:cs="Arial"/>
          <w:sz w:val="22"/>
          <w:szCs w:val="22"/>
          <w:lang w:val="en-GB"/>
        </w:rPr>
        <w:t xml:space="preserve"> of Business law in Africa</w:t>
      </w:r>
      <w:r w:rsidR="002C483E">
        <w:rPr>
          <w:rStyle w:val="FootnoteReference"/>
          <w:rFonts w:ascii="Arial" w:hAnsi="Arial" w:cs="Arial"/>
          <w:sz w:val="22"/>
          <w:szCs w:val="22"/>
          <w:lang w:val="en-GB"/>
        </w:rPr>
        <w:footnoteReference w:id="9"/>
      </w:r>
      <w:r w:rsidR="00280D79" w:rsidRPr="00A53968">
        <w:rPr>
          <w:rFonts w:ascii="Arial" w:hAnsi="Arial" w:cs="Arial"/>
          <w:sz w:val="22"/>
          <w:szCs w:val="22"/>
          <w:lang w:val="en-GB"/>
        </w:rPr>
        <w:t xml:space="preserve"> as have Canada and the United States of America.</w:t>
      </w:r>
    </w:p>
    <w:p w14:paraId="51143E17" w14:textId="109ED2A6" w:rsidR="00C10FAB" w:rsidRPr="00A53968" w:rsidRDefault="00C10FAB" w:rsidP="00C053F7">
      <w:pPr>
        <w:jc w:val="both"/>
        <w:rPr>
          <w:rFonts w:ascii="Arial" w:hAnsi="Arial" w:cs="Arial"/>
          <w:sz w:val="22"/>
          <w:szCs w:val="22"/>
          <w:lang w:val="en-GB"/>
        </w:rPr>
      </w:pPr>
    </w:p>
    <w:p w14:paraId="7E901359" w14:textId="03FF1FAF" w:rsidR="00F6148C" w:rsidRPr="00AB74D0" w:rsidRDefault="0017695C" w:rsidP="00C053F7">
      <w:pPr>
        <w:jc w:val="both"/>
        <w:rPr>
          <w:rFonts w:ascii="Arial" w:hAnsi="Arial" w:cs="Arial"/>
          <w:sz w:val="22"/>
          <w:szCs w:val="22"/>
          <w:lang w:val="en-GB"/>
        </w:rPr>
      </w:pPr>
      <w:r w:rsidRPr="00AB74D0">
        <w:rPr>
          <w:rFonts w:ascii="Arial" w:hAnsi="Arial" w:cs="Arial"/>
          <w:sz w:val="22"/>
          <w:szCs w:val="22"/>
          <w:lang w:val="en-GB"/>
        </w:rPr>
        <w:t>Courts have adopted Protocols and Insolvency agreements in cases involving concurrent insolvencies</w:t>
      </w:r>
      <w:r w:rsidR="00C10FAB" w:rsidRPr="00AB74D0">
        <w:rPr>
          <w:rFonts w:ascii="Arial" w:hAnsi="Arial" w:cs="Arial"/>
          <w:sz w:val="22"/>
          <w:szCs w:val="22"/>
          <w:lang w:val="en-GB"/>
        </w:rPr>
        <w:t xml:space="preserve"> to facilitate the speedy resolutions of cross-border insolvencies.</w:t>
      </w:r>
      <w:r w:rsidR="00F6148C" w:rsidRPr="00AB74D0">
        <w:rPr>
          <w:rFonts w:ascii="Arial" w:hAnsi="Arial" w:cs="Arial"/>
          <w:sz w:val="22"/>
          <w:szCs w:val="22"/>
          <w:lang w:val="en-GB"/>
        </w:rPr>
        <w:t xml:space="preserve"> This has developed international insolvency Jurisprudence. </w:t>
      </w:r>
      <w:r w:rsidR="001E4D84" w:rsidRPr="00AB74D0">
        <w:rPr>
          <w:rFonts w:ascii="Arial" w:hAnsi="Arial" w:cs="Arial"/>
          <w:sz w:val="22"/>
          <w:szCs w:val="22"/>
          <w:lang w:val="en-GB"/>
        </w:rPr>
        <w:t>Examples include the cooperation between Canada and the United States of America in the Nortel Networks case</w:t>
      </w:r>
      <w:r w:rsidR="006159F3">
        <w:rPr>
          <w:rStyle w:val="FootnoteReference"/>
          <w:rFonts w:ascii="Arial" w:hAnsi="Arial" w:cs="Arial"/>
          <w:sz w:val="22"/>
          <w:szCs w:val="22"/>
          <w:lang w:val="en-GB"/>
        </w:rPr>
        <w:footnoteReference w:id="10"/>
      </w:r>
      <w:r w:rsidR="001E4D84" w:rsidRPr="00AB74D0">
        <w:rPr>
          <w:rFonts w:ascii="Arial" w:hAnsi="Arial" w:cs="Arial"/>
          <w:sz w:val="22"/>
          <w:szCs w:val="22"/>
          <w:lang w:val="en-GB"/>
        </w:rPr>
        <w:t>.</w:t>
      </w:r>
    </w:p>
    <w:p w14:paraId="4346C900" w14:textId="77777777" w:rsidR="00F6148C" w:rsidRPr="00AB74D0" w:rsidRDefault="00F6148C" w:rsidP="00C053F7">
      <w:pPr>
        <w:jc w:val="both"/>
        <w:rPr>
          <w:rFonts w:ascii="Arial" w:hAnsi="Arial" w:cs="Arial"/>
          <w:sz w:val="22"/>
          <w:szCs w:val="22"/>
          <w:lang w:val="en-GB"/>
        </w:rPr>
      </w:pPr>
    </w:p>
    <w:p w14:paraId="2022313E" w14:textId="1F8ED28E" w:rsidR="00F372C5" w:rsidRPr="00AB74D0" w:rsidRDefault="00F6148C" w:rsidP="00C053F7">
      <w:pPr>
        <w:jc w:val="both"/>
        <w:rPr>
          <w:rFonts w:ascii="Arial" w:hAnsi="Arial" w:cs="Arial"/>
          <w:sz w:val="22"/>
          <w:szCs w:val="22"/>
          <w:lang w:val="en-GB"/>
        </w:rPr>
      </w:pPr>
      <w:r w:rsidRPr="00AB74D0">
        <w:rPr>
          <w:rFonts w:ascii="Arial" w:hAnsi="Arial" w:cs="Arial"/>
          <w:sz w:val="22"/>
          <w:szCs w:val="22"/>
          <w:lang w:val="en-GB"/>
        </w:rPr>
        <w:t xml:space="preserve">The Judicial Insolvency Network involves insolvency judges across the world and its main objective is to develop communication and cooperation </w:t>
      </w:r>
      <w:r w:rsidR="00A55832" w:rsidRPr="00AB74D0">
        <w:rPr>
          <w:rFonts w:ascii="Arial" w:hAnsi="Arial" w:cs="Arial"/>
          <w:sz w:val="22"/>
          <w:szCs w:val="22"/>
          <w:lang w:val="en-GB"/>
        </w:rPr>
        <w:t>amongst</w:t>
      </w:r>
      <w:r w:rsidRPr="00AB74D0">
        <w:rPr>
          <w:rFonts w:ascii="Arial" w:hAnsi="Arial" w:cs="Arial"/>
          <w:sz w:val="22"/>
          <w:szCs w:val="22"/>
          <w:lang w:val="en-GB"/>
        </w:rPr>
        <w:t xml:space="preserve"> national courts in cross-border insolvency matters. The inaugural conference of 2016 resulted in the Guidelines for Communication and Cooperation between Courts in Cross-Border Insolvency </w:t>
      </w:r>
      <w:r w:rsidR="00892626" w:rsidRPr="00AB74D0">
        <w:rPr>
          <w:rFonts w:ascii="Arial" w:hAnsi="Arial" w:cs="Arial"/>
          <w:sz w:val="22"/>
          <w:szCs w:val="22"/>
          <w:lang w:val="en-GB"/>
        </w:rPr>
        <w:t>Matters. (JIN Guidelines)</w:t>
      </w:r>
      <w:r w:rsidR="00A55832">
        <w:rPr>
          <w:rStyle w:val="FootnoteReference"/>
          <w:rFonts w:ascii="Arial" w:hAnsi="Arial" w:cs="Arial"/>
          <w:sz w:val="22"/>
          <w:szCs w:val="22"/>
          <w:lang w:val="en-GB"/>
        </w:rPr>
        <w:footnoteReference w:id="11"/>
      </w:r>
    </w:p>
    <w:p w14:paraId="3D873363" w14:textId="77777777" w:rsidR="00F372C5" w:rsidRPr="00AB74D0" w:rsidRDefault="00F372C5" w:rsidP="00C053F7">
      <w:pPr>
        <w:jc w:val="both"/>
        <w:rPr>
          <w:rFonts w:ascii="Arial" w:hAnsi="Arial" w:cs="Arial"/>
          <w:sz w:val="22"/>
          <w:szCs w:val="22"/>
          <w:lang w:val="en-GB"/>
        </w:rPr>
      </w:pPr>
    </w:p>
    <w:p w14:paraId="706EA125" w14:textId="45304EBA" w:rsidR="00F372C5" w:rsidRPr="00AB74D0" w:rsidRDefault="00F372C5" w:rsidP="00C053F7">
      <w:pPr>
        <w:jc w:val="both"/>
        <w:rPr>
          <w:rFonts w:ascii="Arial" w:hAnsi="Arial" w:cs="Arial"/>
          <w:sz w:val="22"/>
          <w:szCs w:val="22"/>
          <w:lang w:val="en-GB"/>
        </w:rPr>
      </w:pPr>
      <w:r w:rsidRPr="00AB74D0">
        <w:rPr>
          <w:rFonts w:ascii="Arial" w:hAnsi="Arial" w:cs="Arial"/>
          <w:sz w:val="22"/>
          <w:szCs w:val="22"/>
          <w:lang w:val="en-GB"/>
        </w:rPr>
        <w:lastRenderedPageBreak/>
        <w:t>In the 2000s the World Bank produced guidelines on the regulation of insolvencies called the “Principles of Effective Insolvency and Creditor/Debtor Regimes”</w:t>
      </w:r>
      <w:r w:rsidR="00484F0B">
        <w:rPr>
          <w:rStyle w:val="FootnoteReference"/>
          <w:rFonts w:ascii="Arial" w:hAnsi="Arial" w:cs="Arial"/>
          <w:sz w:val="22"/>
          <w:szCs w:val="22"/>
          <w:lang w:val="en-GB"/>
        </w:rPr>
        <w:footnoteReference w:id="12"/>
      </w:r>
      <w:r w:rsidRPr="00AB74D0">
        <w:rPr>
          <w:rFonts w:ascii="Arial" w:hAnsi="Arial" w:cs="Arial"/>
          <w:sz w:val="22"/>
          <w:szCs w:val="22"/>
          <w:lang w:val="en-GB"/>
        </w:rPr>
        <w:t>. The adoption of these principles has been used as a condition to funding by applicant states.</w:t>
      </w:r>
    </w:p>
    <w:p w14:paraId="43C4B91F" w14:textId="77777777" w:rsidR="00F372C5" w:rsidRPr="00AB74D0" w:rsidRDefault="00F372C5" w:rsidP="00C053F7">
      <w:pPr>
        <w:jc w:val="both"/>
        <w:rPr>
          <w:rFonts w:ascii="Arial" w:hAnsi="Arial" w:cs="Arial"/>
          <w:sz w:val="22"/>
          <w:szCs w:val="22"/>
          <w:lang w:val="en-GB"/>
        </w:rPr>
      </w:pPr>
    </w:p>
    <w:p w14:paraId="4CFBE809" w14:textId="7F3F0B68" w:rsidR="005921A9" w:rsidRPr="00AB74D0" w:rsidRDefault="00F372C5" w:rsidP="00C053F7">
      <w:pPr>
        <w:jc w:val="both"/>
        <w:rPr>
          <w:rFonts w:ascii="Arial" w:hAnsi="Arial" w:cs="Arial"/>
          <w:sz w:val="22"/>
          <w:szCs w:val="22"/>
          <w:lang w:val="en-GB"/>
        </w:rPr>
      </w:pPr>
      <w:r w:rsidRPr="00AB74D0">
        <w:rPr>
          <w:rFonts w:ascii="Arial" w:hAnsi="Arial" w:cs="Arial"/>
          <w:sz w:val="22"/>
          <w:szCs w:val="22"/>
          <w:lang w:val="en-GB"/>
        </w:rPr>
        <w:t>The recast European Insolvency Regulation (EIR) which was adopted in 2015</w:t>
      </w:r>
      <w:r w:rsidR="00396AE3">
        <w:rPr>
          <w:rStyle w:val="FootnoteReference"/>
          <w:rFonts w:ascii="Arial" w:hAnsi="Arial" w:cs="Arial"/>
          <w:sz w:val="22"/>
          <w:szCs w:val="22"/>
          <w:lang w:val="en-GB"/>
        </w:rPr>
        <w:footnoteReference w:id="13"/>
      </w:r>
      <w:r w:rsidRPr="00AB74D0">
        <w:rPr>
          <w:rFonts w:ascii="Arial" w:hAnsi="Arial" w:cs="Arial"/>
          <w:sz w:val="22"/>
          <w:szCs w:val="22"/>
          <w:lang w:val="en-GB"/>
        </w:rPr>
        <w:t xml:space="preserve"> has </w:t>
      </w:r>
      <w:r w:rsidR="0015375A" w:rsidRPr="00AB74D0">
        <w:rPr>
          <w:rFonts w:ascii="Arial" w:hAnsi="Arial" w:cs="Arial"/>
          <w:sz w:val="22"/>
          <w:szCs w:val="22"/>
          <w:lang w:val="en-GB"/>
        </w:rPr>
        <w:t>been</w:t>
      </w:r>
      <w:r w:rsidRPr="00AB74D0">
        <w:rPr>
          <w:rFonts w:ascii="Arial" w:hAnsi="Arial" w:cs="Arial"/>
          <w:sz w:val="22"/>
          <w:szCs w:val="22"/>
          <w:lang w:val="en-GB"/>
        </w:rPr>
        <w:t xml:space="preserve"> successful. Among the provisions that promote cooperation and coordination are the allocation of jurisdiction</w:t>
      </w:r>
      <w:r w:rsidR="006A6FBB">
        <w:rPr>
          <w:rFonts w:ascii="Arial" w:hAnsi="Arial" w:cs="Arial"/>
          <w:sz w:val="22"/>
          <w:szCs w:val="22"/>
          <w:lang w:val="en-GB"/>
        </w:rPr>
        <w:t>al competence among</w:t>
      </w:r>
      <w:r w:rsidRPr="00AB74D0">
        <w:rPr>
          <w:rFonts w:ascii="Arial" w:hAnsi="Arial" w:cs="Arial"/>
          <w:sz w:val="22"/>
          <w:szCs w:val="22"/>
          <w:lang w:val="en-GB"/>
        </w:rPr>
        <w:t xml:space="preserve"> member states</w:t>
      </w:r>
      <w:r w:rsidR="006A6FBB">
        <w:rPr>
          <w:rFonts w:ascii="Arial" w:hAnsi="Arial" w:cs="Arial"/>
          <w:sz w:val="22"/>
          <w:szCs w:val="22"/>
          <w:lang w:val="en-GB"/>
        </w:rPr>
        <w:t xml:space="preserve">. The regulation </w:t>
      </w:r>
      <w:r w:rsidRPr="00AB74D0">
        <w:rPr>
          <w:rFonts w:ascii="Arial" w:hAnsi="Arial" w:cs="Arial"/>
          <w:sz w:val="22"/>
          <w:szCs w:val="22"/>
          <w:lang w:val="en-GB"/>
        </w:rPr>
        <w:t>extends to business rescues</w:t>
      </w:r>
      <w:r w:rsidR="0038399A" w:rsidRPr="00AB74D0">
        <w:rPr>
          <w:rFonts w:ascii="Arial" w:hAnsi="Arial" w:cs="Arial"/>
          <w:sz w:val="22"/>
          <w:szCs w:val="22"/>
          <w:lang w:val="en-GB"/>
        </w:rPr>
        <w:t xml:space="preserve">, recognising insolvencies outside the EU for </w:t>
      </w:r>
      <w:r w:rsidR="00ED0433" w:rsidRPr="00AB74D0">
        <w:rPr>
          <w:rFonts w:ascii="Arial" w:hAnsi="Arial" w:cs="Arial"/>
          <w:sz w:val="22"/>
          <w:szCs w:val="22"/>
          <w:lang w:val="en-GB"/>
        </w:rPr>
        <w:t>purposes</w:t>
      </w:r>
      <w:r w:rsidR="0038399A" w:rsidRPr="00AB74D0">
        <w:rPr>
          <w:rFonts w:ascii="Arial" w:hAnsi="Arial" w:cs="Arial"/>
          <w:sz w:val="22"/>
          <w:szCs w:val="22"/>
          <w:lang w:val="en-GB"/>
        </w:rPr>
        <w:t xml:space="preserve"> of coordinating proceedings. </w:t>
      </w:r>
    </w:p>
    <w:p w14:paraId="1185F432" w14:textId="77777777" w:rsidR="005921A9" w:rsidRPr="00AB74D0" w:rsidRDefault="005921A9" w:rsidP="00C053F7">
      <w:pPr>
        <w:jc w:val="both"/>
        <w:rPr>
          <w:rFonts w:ascii="Arial" w:hAnsi="Arial" w:cs="Arial"/>
          <w:sz w:val="22"/>
          <w:szCs w:val="22"/>
          <w:lang w:val="en-GB"/>
        </w:rPr>
      </w:pPr>
    </w:p>
    <w:p w14:paraId="525D2C5F" w14:textId="5C73C00B" w:rsidR="001E4D84" w:rsidRPr="00AB74D0" w:rsidRDefault="005921A9" w:rsidP="00C053F7">
      <w:pPr>
        <w:jc w:val="both"/>
        <w:rPr>
          <w:rFonts w:ascii="Arial" w:hAnsi="Arial" w:cs="Arial"/>
          <w:sz w:val="22"/>
          <w:szCs w:val="22"/>
          <w:lang w:val="en-GB"/>
        </w:rPr>
      </w:pPr>
      <w:r w:rsidRPr="00AB74D0">
        <w:rPr>
          <w:rFonts w:ascii="Arial" w:hAnsi="Arial" w:cs="Arial"/>
          <w:sz w:val="22"/>
          <w:szCs w:val="22"/>
          <w:lang w:val="en-GB"/>
        </w:rPr>
        <w:t xml:space="preserve">The multilateral efforts discussed above have had a positive effect on cross-border insolvencies recognising the need for cooperation </w:t>
      </w:r>
      <w:r w:rsidR="00ED0433" w:rsidRPr="00AB74D0">
        <w:rPr>
          <w:rFonts w:ascii="Arial" w:hAnsi="Arial" w:cs="Arial"/>
          <w:sz w:val="22"/>
          <w:szCs w:val="22"/>
          <w:lang w:val="en-GB"/>
        </w:rPr>
        <w:t>amongst</w:t>
      </w:r>
      <w:r w:rsidRPr="00AB74D0">
        <w:rPr>
          <w:rFonts w:ascii="Arial" w:hAnsi="Arial" w:cs="Arial"/>
          <w:sz w:val="22"/>
          <w:szCs w:val="22"/>
          <w:lang w:val="en-GB"/>
        </w:rPr>
        <w:t xml:space="preserve"> states and the recognition of foreign insolvency proceedings. </w:t>
      </w:r>
      <w:r w:rsidR="00F372C5" w:rsidRPr="00AB74D0">
        <w:rPr>
          <w:rFonts w:ascii="Arial" w:hAnsi="Arial" w:cs="Arial"/>
          <w:sz w:val="22"/>
          <w:szCs w:val="22"/>
          <w:lang w:val="en-GB"/>
        </w:rPr>
        <w:t xml:space="preserve">  </w:t>
      </w:r>
      <w:r w:rsidR="00F6148C" w:rsidRPr="00AB74D0">
        <w:rPr>
          <w:rFonts w:ascii="Arial" w:hAnsi="Arial" w:cs="Arial"/>
          <w:sz w:val="22"/>
          <w:szCs w:val="22"/>
          <w:lang w:val="en-GB"/>
        </w:rPr>
        <w:t xml:space="preserve">   </w:t>
      </w:r>
    </w:p>
    <w:p w14:paraId="4382453A" w14:textId="77777777" w:rsidR="001E4D84" w:rsidRDefault="001E4D84" w:rsidP="00C053F7">
      <w:pPr>
        <w:jc w:val="both"/>
        <w:rPr>
          <w:rFonts w:ascii="Avenir Next" w:hAnsi="Avenir Next" w:cs="Arial"/>
          <w:sz w:val="22"/>
          <w:szCs w:val="22"/>
          <w:lang w:val="en-GB"/>
        </w:rPr>
      </w:pPr>
    </w:p>
    <w:p w14:paraId="3F3AFFDF" w14:textId="5B7C1D70" w:rsidR="00A3432B" w:rsidRDefault="001E4D84" w:rsidP="00C053F7">
      <w:pPr>
        <w:jc w:val="both"/>
        <w:rPr>
          <w:rFonts w:ascii="Avenir Next" w:hAnsi="Avenir Next" w:cs="Arial"/>
          <w:sz w:val="22"/>
          <w:szCs w:val="22"/>
          <w:lang w:val="en-GB"/>
        </w:rPr>
      </w:pPr>
      <w:r>
        <w:rPr>
          <w:rFonts w:ascii="Avenir Next" w:hAnsi="Avenir Next" w:cs="Arial"/>
          <w:sz w:val="22"/>
          <w:szCs w:val="22"/>
          <w:lang w:val="en-GB"/>
        </w:rPr>
        <w:t xml:space="preserve"> </w:t>
      </w:r>
    </w:p>
    <w:p w14:paraId="6448E8C5" w14:textId="5C16C407" w:rsidR="00280D79" w:rsidRDefault="00280D79" w:rsidP="00C053F7">
      <w:pPr>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5A528C20" w:rsidR="009B0723"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2BD68D4E" w14:textId="60F7AF78" w:rsidR="00144283" w:rsidRDefault="00144283" w:rsidP="00C053F7">
      <w:pPr>
        <w:jc w:val="both"/>
        <w:rPr>
          <w:rFonts w:ascii="Avenir Next" w:hAnsi="Avenir Next" w:cs="Arial"/>
          <w:sz w:val="22"/>
          <w:szCs w:val="22"/>
          <w:lang w:val="en-GB"/>
        </w:rPr>
      </w:pPr>
    </w:p>
    <w:p w14:paraId="19136909" w14:textId="259EA643" w:rsidR="00144283" w:rsidRPr="00FD6178" w:rsidRDefault="007D0A10" w:rsidP="00C053F7">
      <w:pPr>
        <w:jc w:val="both"/>
        <w:rPr>
          <w:rFonts w:ascii="Arial" w:hAnsi="Arial" w:cs="Arial"/>
          <w:sz w:val="22"/>
          <w:szCs w:val="22"/>
          <w:lang w:val="en-GB"/>
        </w:rPr>
      </w:pPr>
      <w:r w:rsidRPr="00FD6178">
        <w:rPr>
          <w:rFonts w:ascii="Arial" w:hAnsi="Arial" w:cs="Arial"/>
          <w:sz w:val="22"/>
          <w:szCs w:val="22"/>
          <w:lang w:val="en-GB"/>
        </w:rPr>
        <w:t xml:space="preserve">The relevance of the adoption of the </w:t>
      </w:r>
      <w:r w:rsidR="004A5A82" w:rsidRPr="00FD6178">
        <w:rPr>
          <w:rFonts w:ascii="Arial" w:hAnsi="Arial" w:cs="Arial"/>
          <w:sz w:val="22"/>
          <w:szCs w:val="22"/>
          <w:lang w:val="en-GB"/>
        </w:rPr>
        <w:t xml:space="preserve">UNCITRAL Model Law on Cross-border Insolvency </w:t>
      </w:r>
      <w:r w:rsidRPr="00FD6178">
        <w:rPr>
          <w:rFonts w:ascii="Arial" w:hAnsi="Arial" w:cs="Arial"/>
          <w:sz w:val="22"/>
          <w:szCs w:val="22"/>
          <w:lang w:val="en-GB"/>
        </w:rPr>
        <w:t xml:space="preserve">by Utopia </w:t>
      </w:r>
      <w:r w:rsidR="004A5A82" w:rsidRPr="00FD6178">
        <w:rPr>
          <w:rFonts w:ascii="Arial" w:hAnsi="Arial" w:cs="Arial"/>
          <w:sz w:val="22"/>
          <w:szCs w:val="22"/>
          <w:lang w:val="en-GB"/>
        </w:rPr>
        <w:t>mandates cooperation and direct communication between a local court and foreign courts or foreign representatives</w:t>
      </w:r>
      <w:r w:rsidR="00936F03">
        <w:rPr>
          <w:rStyle w:val="FootnoteReference"/>
          <w:rFonts w:ascii="Arial" w:hAnsi="Arial" w:cs="Arial"/>
          <w:sz w:val="22"/>
          <w:szCs w:val="22"/>
          <w:lang w:val="en-GB"/>
        </w:rPr>
        <w:footnoteReference w:id="14"/>
      </w:r>
      <w:r w:rsidR="004A5A82" w:rsidRPr="00FD6178">
        <w:rPr>
          <w:rFonts w:ascii="Arial" w:hAnsi="Arial" w:cs="Arial"/>
          <w:sz w:val="22"/>
          <w:szCs w:val="22"/>
          <w:lang w:val="en-GB"/>
        </w:rPr>
        <w:t xml:space="preserve">. </w:t>
      </w:r>
    </w:p>
    <w:p w14:paraId="537AD990" w14:textId="2AF94B2C" w:rsidR="004A5A82" w:rsidRPr="00FD6178" w:rsidRDefault="004A5A82" w:rsidP="00C053F7">
      <w:pPr>
        <w:jc w:val="both"/>
        <w:rPr>
          <w:rFonts w:ascii="Arial" w:hAnsi="Arial" w:cs="Arial"/>
          <w:sz w:val="22"/>
          <w:szCs w:val="22"/>
          <w:lang w:val="en-GB"/>
        </w:rPr>
      </w:pPr>
    </w:p>
    <w:p w14:paraId="1A980F64" w14:textId="43D6FF6A" w:rsidR="007D0A10" w:rsidRPr="00FD6178" w:rsidRDefault="004A5A82" w:rsidP="00C053F7">
      <w:pPr>
        <w:jc w:val="both"/>
        <w:rPr>
          <w:rFonts w:ascii="Arial" w:hAnsi="Arial" w:cs="Arial"/>
          <w:sz w:val="22"/>
          <w:szCs w:val="22"/>
          <w:lang w:val="en-GB"/>
        </w:rPr>
      </w:pPr>
      <w:r w:rsidRPr="00FD6178">
        <w:rPr>
          <w:rFonts w:ascii="Arial" w:hAnsi="Arial" w:cs="Arial"/>
          <w:sz w:val="22"/>
          <w:szCs w:val="22"/>
          <w:lang w:val="en-GB"/>
        </w:rPr>
        <w:lastRenderedPageBreak/>
        <w:t>Based on the Maxwell Communication Corporation plc case</w:t>
      </w:r>
      <w:r w:rsidR="00C102B6">
        <w:rPr>
          <w:rStyle w:val="FootnoteReference"/>
          <w:rFonts w:ascii="Arial" w:hAnsi="Arial" w:cs="Arial"/>
          <w:sz w:val="22"/>
          <w:szCs w:val="22"/>
          <w:lang w:val="en-GB"/>
        </w:rPr>
        <w:footnoteReference w:id="15"/>
      </w:r>
      <w:r w:rsidRPr="00FD6178">
        <w:rPr>
          <w:rFonts w:ascii="Arial" w:hAnsi="Arial" w:cs="Arial"/>
          <w:sz w:val="22"/>
          <w:szCs w:val="22"/>
          <w:lang w:val="en-GB"/>
        </w:rPr>
        <w:t xml:space="preserve"> the liquidator would </w:t>
      </w:r>
      <w:r w:rsidR="007D0A10" w:rsidRPr="00FD6178">
        <w:rPr>
          <w:rFonts w:ascii="Arial" w:hAnsi="Arial" w:cs="Arial"/>
          <w:sz w:val="22"/>
          <w:szCs w:val="22"/>
          <w:lang w:val="en-GB"/>
        </w:rPr>
        <w:t xml:space="preserve">be </w:t>
      </w:r>
      <w:r w:rsidRPr="00FD6178">
        <w:rPr>
          <w:rFonts w:ascii="Arial" w:hAnsi="Arial" w:cs="Arial"/>
          <w:sz w:val="22"/>
          <w:szCs w:val="22"/>
          <w:lang w:val="en-GB"/>
        </w:rPr>
        <w:t xml:space="preserve">advised to consider entering </w:t>
      </w:r>
      <w:r w:rsidR="00994993" w:rsidRPr="00FD6178">
        <w:rPr>
          <w:rFonts w:ascii="Arial" w:hAnsi="Arial" w:cs="Arial"/>
          <w:sz w:val="22"/>
          <w:szCs w:val="22"/>
          <w:lang w:val="en-GB"/>
        </w:rPr>
        <w:t xml:space="preserve">into an insolvency agreement with local </w:t>
      </w:r>
      <w:r w:rsidR="006A6FBB">
        <w:rPr>
          <w:rFonts w:ascii="Arial" w:hAnsi="Arial" w:cs="Arial"/>
          <w:sz w:val="22"/>
          <w:szCs w:val="22"/>
          <w:lang w:val="en-GB"/>
        </w:rPr>
        <w:t>Attorneys</w:t>
      </w:r>
      <w:r w:rsidR="007D0A10" w:rsidRPr="00FD6178">
        <w:rPr>
          <w:rFonts w:ascii="Arial" w:hAnsi="Arial" w:cs="Arial"/>
          <w:sz w:val="22"/>
          <w:szCs w:val="22"/>
          <w:lang w:val="en-GB"/>
        </w:rPr>
        <w:t xml:space="preserve"> in</w:t>
      </w:r>
      <w:r w:rsidR="00994993" w:rsidRPr="00FD6178">
        <w:rPr>
          <w:rFonts w:ascii="Arial" w:hAnsi="Arial" w:cs="Arial"/>
          <w:sz w:val="22"/>
          <w:szCs w:val="22"/>
          <w:lang w:val="en-GB"/>
        </w:rPr>
        <w:t xml:space="preserve"> Utopia</w:t>
      </w:r>
      <w:r w:rsidR="007D0A10" w:rsidRPr="00FD6178">
        <w:rPr>
          <w:rFonts w:ascii="Arial" w:hAnsi="Arial" w:cs="Arial"/>
          <w:sz w:val="22"/>
          <w:szCs w:val="22"/>
          <w:lang w:val="en-GB"/>
        </w:rPr>
        <w:t xml:space="preserve"> to be </w:t>
      </w:r>
      <w:r w:rsidR="006A6FBB">
        <w:rPr>
          <w:rFonts w:ascii="Arial" w:hAnsi="Arial" w:cs="Arial"/>
          <w:sz w:val="22"/>
          <w:szCs w:val="22"/>
          <w:lang w:val="en-GB"/>
        </w:rPr>
        <w:t>confirmed</w:t>
      </w:r>
      <w:r w:rsidR="007D0A10" w:rsidRPr="00FD6178">
        <w:rPr>
          <w:rFonts w:ascii="Arial" w:hAnsi="Arial" w:cs="Arial"/>
          <w:sz w:val="22"/>
          <w:szCs w:val="22"/>
          <w:lang w:val="en-GB"/>
        </w:rPr>
        <w:t xml:space="preserve"> b</w:t>
      </w:r>
      <w:r w:rsidR="00994993" w:rsidRPr="00FD6178">
        <w:rPr>
          <w:rFonts w:ascii="Arial" w:hAnsi="Arial" w:cs="Arial"/>
          <w:sz w:val="22"/>
          <w:szCs w:val="22"/>
          <w:lang w:val="en-GB"/>
        </w:rPr>
        <w:t>y the court in Utopia</w:t>
      </w:r>
      <w:r w:rsidR="007D0A10" w:rsidRPr="00FD6178">
        <w:rPr>
          <w:rFonts w:ascii="Arial" w:hAnsi="Arial" w:cs="Arial"/>
          <w:sz w:val="22"/>
          <w:szCs w:val="22"/>
          <w:lang w:val="en-GB"/>
        </w:rPr>
        <w:t xml:space="preserve">. </w:t>
      </w:r>
    </w:p>
    <w:p w14:paraId="6665E219" w14:textId="77777777" w:rsidR="007D0A10" w:rsidRPr="00FD6178" w:rsidRDefault="007D0A10" w:rsidP="00C053F7">
      <w:pPr>
        <w:jc w:val="both"/>
        <w:rPr>
          <w:rFonts w:ascii="Arial" w:hAnsi="Arial" w:cs="Arial"/>
          <w:sz w:val="22"/>
          <w:szCs w:val="22"/>
          <w:lang w:val="en-GB"/>
        </w:rPr>
      </w:pPr>
    </w:p>
    <w:p w14:paraId="38C59301" w14:textId="7F6B9E82" w:rsidR="004A5A82" w:rsidRPr="00FD6178" w:rsidRDefault="007D0A10" w:rsidP="00C053F7">
      <w:pPr>
        <w:jc w:val="both"/>
        <w:rPr>
          <w:rFonts w:ascii="Arial" w:hAnsi="Arial" w:cs="Arial"/>
          <w:sz w:val="22"/>
          <w:szCs w:val="22"/>
          <w:lang w:val="en-GB"/>
        </w:rPr>
      </w:pPr>
      <w:r w:rsidRPr="00FD6178">
        <w:rPr>
          <w:rFonts w:ascii="Arial" w:hAnsi="Arial" w:cs="Arial"/>
          <w:sz w:val="22"/>
          <w:szCs w:val="22"/>
          <w:lang w:val="en-GB"/>
        </w:rPr>
        <w:t xml:space="preserve">The liquidator in the agreement should consider maximising the value of the estate and </w:t>
      </w:r>
      <w:r w:rsidR="00BD1EA8" w:rsidRPr="00FD6178">
        <w:rPr>
          <w:rFonts w:ascii="Arial" w:hAnsi="Arial" w:cs="Arial"/>
          <w:sz w:val="22"/>
          <w:szCs w:val="22"/>
          <w:lang w:val="en-GB"/>
        </w:rPr>
        <w:t>harmonising</w:t>
      </w:r>
      <w:r w:rsidRPr="00FD6178">
        <w:rPr>
          <w:rFonts w:ascii="Arial" w:hAnsi="Arial" w:cs="Arial"/>
          <w:sz w:val="22"/>
          <w:szCs w:val="22"/>
          <w:lang w:val="en-GB"/>
        </w:rPr>
        <w:t xml:space="preserve"> the proceedings to reduce expenses, ensure fair representation of creditors including foreign creditors and resolve conflict of law issues.</w:t>
      </w:r>
    </w:p>
    <w:p w14:paraId="6C8C0F6A" w14:textId="5438418E" w:rsidR="002F75A3" w:rsidRPr="00827D56" w:rsidRDefault="002F75A3" w:rsidP="00C053F7">
      <w:pPr>
        <w:jc w:val="both"/>
        <w:rPr>
          <w:rFonts w:ascii="Avenir Next" w:hAnsi="Avenir Next" w:cs="Arial"/>
          <w:sz w:val="22"/>
          <w:szCs w:val="22"/>
          <w:lang w:val="en-GB"/>
        </w:rPr>
      </w:pPr>
    </w:p>
    <w:p w14:paraId="0D37BBBB" w14:textId="36630224" w:rsidR="002F75A3" w:rsidRPr="00827D56" w:rsidRDefault="002F75A3" w:rsidP="00C053F7">
      <w:pPr>
        <w:jc w:val="both"/>
        <w:rPr>
          <w:rFonts w:ascii="Avenir Next" w:hAnsi="Avenir Next" w:cs="Arial"/>
          <w:sz w:val="22"/>
          <w:szCs w:val="22"/>
          <w:lang w:val="en-GB"/>
        </w:rPr>
      </w:pP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39C4A408" w14:textId="4A668546" w:rsidR="00724766" w:rsidRDefault="009B0723" w:rsidP="00724766">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5A13A9C4" w14:textId="75EE8A12" w:rsidR="00724766" w:rsidRDefault="00724766" w:rsidP="00724766">
      <w:pPr>
        <w:jc w:val="both"/>
        <w:rPr>
          <w:rFonts w:ascii="Avenir Next" w:hAnsi="Avenir Next" w:cs="Arial"/>
          <w:sz w:val="22"/>
          <w:szCs w:val="22"/>
          <w:lang w:val="en-GB"/>
        </w:rPr>
      </w:pPr>
    </w:p>
    <w:p w14:paraId="5B33C887" w14:textId="77777777" w:rsidR="00724766" w:rsidRPr="00724766" w:rsidRDefault="00724766" w:rsidP="00724766">
      <w:pPr>
        <w:jc w:val="both"/>
        <w:rPr>
          <w:rFonts w:ascii="Arial" w:hAnsi="Arial" w:cs="Arial"/>
          <w:sz w:val="22"/>
          <w:szCs w:val="22"/>
          <w:lang w:val="en-GB"/>
        </w:rPr>
      </w:pP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3E7E5582" w:rsidR="002D3473" w:rsidRPr="00773496" w:rsidRDefault="00724766" w:rsidP="00C053F7">
      <w:pPr>
        <w:autoSpaceDE w:val="0"/>
        <w:autoSpaceDN w:val="0"/>
        <w:adjustRightInd w:val="0"/>
        <w:spacing w:line="276" w:lineRule="auto"/>
        <w:jc w:val="both"/>
        <w:rPr>
          <w:rFonts w:ascii="Arial" w:hAnsi="Arial" w:cs="Arial"/>
          <w:sz w:val="22"/>
          <w:szCs w:val="22"/>
          <w:lang w:val="en-GB"/>
        </w:rPr>
      </w:pPr>
      <w:r w:rsidRPr="00773496">
        <w:rPr>
          <w:rFonts w:ascii="Arial" w:hAnsi="Arial" w:cs="Arial"/>
          <w:sz w:val="22"/>
          <w:szCs w:val="22"/>
          <w:lang w:val="en-GB"/>
        </w:rPr>
        <w:t>UNCITRAL Model Law on Cross-border Insolvency</w:t>
      </w:r>
      <w:r w:rsidR="002D08BD" w:rsidRPr="00773496">
        <w:rPr>
          <w:rFonts w:ascii="Arial" w:hAnsi="Arial" w:cs="Arial"/>
          <w:sz w:val="22"/>
          <w:szCs w:val="22"/>
          <w:lang w:val="en-GB"/>
        </w:rPr>
        <w:t xml:space="preserve"> does not require reciprocity. It is applicable to matters heard in the Utopia courts as Utopia has incorporated it in</w:t>
      </w:r>
      <w:r w:rsidR="00BD1EA8">
        <w:rPr>
          <w:rFonts w:ascii="Arial" w:hAnsi="Arial" w:cs="Arial"/>
          <w:sz w:val="22"/>
          <w:szCs w:val="22"/>
          <w:lang w:val="en-GB"/>
        </w:rPr>
        <w:t>to</w:t>
      </w:r>
      <w:r w:rsidR="002D08BD" w:rsidRPr="00773496">
        <w:rPr>
          <w:rFonts w:ascii="Arial" w:hAnsi="Arial" w:cs="Arial"/>
          <w:sz w:val="22"/>
          <w:szCs w:val="22"/>
          <w:lang w:val="en-GB"/>
        </w:rPr>
        <w:t xml:space="preserve"> its domestic law. The UNCITRAL Practice Guide on Cross-Border Insolvency Cooperation</w:t>
      </w:r>
      <w:r w:rsidR="00F033E9">
        <w:rPr>
          <w:rStyle w:val="FootnoteReference"/>
          <w:rFonts w:ascii="Arial" w:hAnsi="Arial" w:cs="Arial"/>
          <w:sz w:val="22"/>
          <w:szCs w:val="22"/>
          <w:lang w:val="en-GB"/>
        </w:rPr>
        <w:footnoteReference w:id="16"/>
      </w:r>
      <w:r w:rsidR="002D08BD" w:rsidRPr="00773496">
        <w:rPr>
          <w:rFonts w:ascii="Arial" w:hAnsi="Arial" w:cs="Arial"/>
          <w:sz w:val="22"/>
          <w:szCs w:val="22"/>
          <w:lang w:val="en-GB"/>
        </w:rPr>
        <w:t xml:space="preserve"> encourages not just the Courts but insolvency practitioners to develop methods to address conflicts that arise when states attempt to apply different laws and enforce different requirements on the same set of parties. The </w:t>
      </w:r>
      <w:r w:rsidR="00BD1EA8" w:rsidRPr="00773496">
        <w:rPr>
          <w:rFonts w:ascii="Arial" w:hAnsi="Arial" w:cs="Arial"/>
          <w:sz w:val="22"/>
          <w:szCs w:val="22"/>
          <w:lang w:val="en-GB"/>
        </w:rPr>
        <w:t>advice</w:t>
      </w:r>
      <w:r w:rsidR="002D08BD" w:rsidRPr="00773496">
        <w:rPr>
          <w:rFonts w:ascii="Arial" w:hAnsi="Arial" w:cs="Arial"/>
          <w:sz w:val="22"/>
          <w:szCs w:val="22"/>
          <w:lang w:val="en-GB"/>
        </w:rPr>
        <w:t xml:space="preserve"> given to the liquidator would therefore not be different in the above 2 different scenarios.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5E469F5E" w:rsidR="002D0021"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565CB5AF" w14:textId="3DB2EC64" w:rsidR="00090138" w:rsidRDefault="00090138" w:rsidP="00C053F7">
      <w:pPr>
        <w:jc w:val="both"/>
        <w:rPr>
          <w:rFonts w:ascii="Avenir Next" w:hAnsi="Avenir Next" w:cs="Arial"/>
          <w:sz w:val="22"/>
          <w:szCs w:val="22"/>
          <w:lang w:val="en-GB"/>
        </w:rPr>
      </w:pPr>
    </w:p>
    <w:p w14:paraId="14238ECC" w14:textId="26409FB3" w:rsidR="00090138" w:rsidRDefault="00090138" w:rsidP="00C053F7">
      <w:pPr>
        <w:jc w:val="both"/>
        <w:rPr>
          <w:rFonts w:ascii="Arial" w:hAnsi="Arial" w:cs="Arial"/>
          <w:sz w:val="22"/>
          <w:szCs w:val="22"/>
          <w:lang w:val="en-GB"/>
        </w:rPr>
      </w:pPr>
      <w:r>
        <w:rPr>
          <w:rFonts w:ascii="Arial" w:hAnsi="Arial" w:cs="Arial"/>
          <w:sz w:val="22"/>
          <w:szCs w:val="22"/>
          <w:lang w:val="en-GB"/>
        </w:rPr>
        <w:t xml:space="preserve">The chosen country of the company’s incorporation is the Republic of Botswana which has not adopted the </w:t>
      </w:r>
      <w:r w:rsidRPr="00773496">
        <w:rPr>
          <w:rFonts w:ascii="Arial" w:hAnsi="Arial" w:cs="Arial"/>
          <w:sz w:val="22"/>
          <w:szCs w:val="22"/>
          <w:lang w:val="en-GB"/>
        </w:rPr>
        <w:t>UNCITRAL Model Law on Cross-border Insolvency</w:t>
      </w:r>
      <w:r w:rsidR="00F81DA0">
        <w:rPr>
          <w:rFonts w:ascii="Arial" w:hAnsi="Arial" w:cs="Arial"/>
          <w:sz w:val="22"/>
          <w:szCs w:val="22"/>
          <w:lang w:val="en-GB"/>
        </w:rPr>
        <w:t xml:space="preserve">. Issues of cross-border </w:t>
      </w:r>
      <w:r w:rsidR="00F81DA0">
        <w:rPr>
          <w:rFonts w:ascii="Arial" w:hAnsi="Arial" w:cs="Arial"/>
          <w:sz w:val="22"/>
          <w:szCs w:val="22"/>
          <w:lang w:val="en-GB"/>
        </w:rPr>
        <w:lastRenderedPageBreak/>
        <w:t>insolvency would then be governed by private international law.</w:t>
      </w:r>
      <w:r w:rsidR="000142CA">
        <w:rPr>
          <w:rFonts w:ascii="Arial" w:hAnsi="Arial" w:cs="Arial"/>
          <w:sz w:val="22"/>
          <w:szCs w:val="22"/>
          <w:lang w:val="en-GB"/>
        </w:rPr>
        <w:t xml:space="preserve"> The key international insolvency issues </w:t>
      </w:r>
      <w:r w:rsidR="0015375A">
        <w:rPr>
          <w:rFonts w:ascii="Arial" w:hAnsi="Arial" w:cs="Arial"/>
          <w:sz w:val="22"/>
          <w:szCs w:val="22"/>
          <w:lang w:val="en-GB"/>
        </w:rPr>
        <w:t>include.</w:t>
      </w:r>
    </w:p>
    <w:p w14:paraId="77A6B521" w14:textId="517FB1C4" w:rsidR="000142CA" w:rsidRDefault="000142CA" w:rsidP="00C053F7">
      <w:pPr>
        <w:jc w:val="both"/>
        <w:rPr>
          <w:rFonts w:ascii="Arial" w:hAnsi="Arial" w:cs="Arial"/>
          <w:sz w:val="22"/>
          <w:szCs w:val="22"/>
          <w:lang w:val="en-GB"/>
        </w:rPr>
      </w:pPr>
    </w:p>
    <w:p w14:paraId="2AD392EE" w14:textId="0A7561BF" w:rsidR="000142CA" w:rsidRDefault="000142CA" w:rsidP="00317066">
      <w:pPr>
        <w:pStyle w:val="ListParagraph"/>
        <w:numPr>
          <w:ilvl w:val="0"/>
          <w:numId w:val="23"/>
        </w:numPr>
        <w:jc w:val="both"/>
        <w:rPr>
          <w:rFonts w:ascii="Arial" w:hAnsi="Arial" w:cs="Arial"/>
          <w:sz w:val="22"/>
          <w:szCs w:val="22"/>
          <w:lang w:val="en-GB"/>
        </w:rPr>
      </w:pPr>
      <w:r w:rsidRPr="00317066">
        <w:rPr>
          <w:rFonts w:ascii="Arial" w:hAnsi="Arial" w:cs="Arial"/>
          <w:sz w:val="22"/>
          <w:szCs w:val="22"/>
          <w:lang w:val="en-GB"/>
        </w:rPr>
        <w:t>The enforcement of court orders emanating from Botswana in the foreign jurisdictions where the assets lie. The enforcement of court orders obtained in the foreign countries for enforcement in Botswana. The relevant piece of leg</w:t>
      </w:r>
      <w:r w:rsidR="00317066" w:rsidRPr="00317066">
        <w:rPr>
          <w:rFonts w:ascii="Arial" w:hAnsi="Arial" w:cs="Arial"/>
          <w:sz w:val="22"/>
          <w:szCs w:val="22"/>
          <w:lang w:val="en-GB"/>
        </w:rPr>
        <w:t>islation with respect to foreign orders a liquidator may obtain for enforcement in Botswana is the Judgements (International Enforcement)</w:t>
      </w:r>
      <w:r w:rsidR="00F033E9">
        <w:rPr>
          <w:rStyle w:val="FootnoteReference"/>
          <w:rFonts w:ascii="Arial" w:hAnsi="Arial" w:cs="Arial"/>
          <w:sz w:val="22"/>
          <w:szCs w:val="22"/>
          <w:lang w:val="en-GB"/>
        </w:rPr>
        <w:footnoteReference w:id="17"/>
      </w:r>
      <w:r w:rsidR="00317066" w:rsidRPr="00317066">
        <w:rPr>
          <w:rFonts w:ascii="Arial" w:hAnsi="Arial" w:cs="Arial"/>
          <w:sz w:val="22"/>
          <w:szCs w:val="22"/>
          <w:lang w:val="en-GB"/>
        </w:rPr>
        <w:t>.</w:t>
      </w:r>
      <w:r w:rsidR="00317066">
        <w:rPr>
          <w:rFonts w:ascii="Arial" w:hAnsi="Arial" w:cs="Arial"/>
          <w:sz w:val="22"/>
          <w:szCs w:val="22"/>
          <w:lang w:val="en-GB"/>
        </w:rPr>
        <w:t xml:space="preserve"> The procedure is to apply to the High Court for the recognition and enforcement of a foreign order. </w:t>
      </w:r>
    </w:p>
    <w:p w14:paraId="5F7956E0" w14:textId="16513AE5" w:rsidR="00317066" w:rsidRDefault="00317066" w:rsidP="00317066">
      <w:pPr>
        <w:jc w:val="both"/>
        <w:rPr>
          <w:rFonts w:ascii="Arial" w:hAnsi="Arial" w:cs="Arial"/>
          <w:sz w:val="22"/>
          <w:szCs w:val="22"/>
          <w:lang w:val="en-GB"/>
        </w:rPr>
      </w:pPr>
    </w:p>
    <w:p w14:paraId="3A89DCF3" w14:textId="58EDB809" w:rsidR="003166C3" w:rsidRDefault="003166C3" w:rsidP="00317066">
      <w:pPr>
        <w:pStyle w:val="ListParagraph"/>
        <w:numPr>
          <w:ilvl w:val="0"/>
          <w:numId w:val="23"/>
        </w:numPr>
        <w:jc w:val="both"/>
        <w:rPr>
          <w:rFonts w:ascii="Arial" w:hAnsi="Arial" w:cs="Arial"/>
          <w:sz w:val="22"/>
          <w:szCs w:val="22"/>
          <w:lang w:val="en-GB"/>
        </w:rPr>
      </w:pPr>
      <w:r>
        <w:rPr>
          <w:rFonts w:ascii="Arial" w:hAnsi="Arial" w:cs="Arial"/>
          <w:sz w:val="22"/>
          <w:szCs w:val="22"/>
          <w:lang w:val="en-GB"/>
        </w:rPr>
        <w:t>Commencement of proceedings in a foreign jurisdiction where the assets lie to realise them for the benefit of creditors. A liquidator would have to run concurrent proceedings in foreign jurisdictions where the assets lie, which is often expensive and does not speedily conclude insolvency proceedings. In order to commence proceedings in a foreign jurisdiction the liquidator requires leave of the Court in Botswana. The is governed in the Companies Act</w:t>
      </w:r>
      <w:r w:rsidR="00F033E9">
        <w:rPr>
          <w:rStyle w:val="FootnoteReference"/>
          <w:rFonts w:ascii="Arial" w:hAnsi="Arial" w:cs="Arial"/>
          <w:sz w:val="22"/>
          <w:szCs w:val="22"/>
          <w:lang w:val="en-GB"/>
        </w:rPr>
        <w:footnoteReference w:id="18"/>
      </w:r>
      <w:r w:rsidR="00F033E9">
        <w:rPr>
          <w:rFonts w:ascii="Arial" w:hAnsi="Arial" w:cs="Arial"/>
          <w:sz w:val="22"/>
          <w:szCs w:val="22"/>
          <w:lang w:val="en-GB"/>
        </w:rPr>
        <w:t>.</w:t>
      </w:r>
      <w:r>
        <w:rPr>
          <w:rFonts w:ascii="Arial" w:hAnsi="Arial" w:cs="Arial"/>
          <w:sz w:val="22"/>
          <w:szCs w:val="22"/>
          <w:lang w:val="en-GB"/>
        </w:rPr>
        <w:t xml:space="preserve"> </w:t>
      </w:r>
    </w:p>
    <w:p w14:paraId="55EE337D" w14:textId="77777777" w:rsidR="003166C3" w:rsidRPr="003166C3" w:rsidRDefault="003166C3" w:rsidP="003166C3">
      <w:pPr>
        <w:pStyle w:val="ListParagraph"/>
        <w:rPr>
          <w:rFonts w:ascii="Arial" w:hAnsi="Arial" w:cs="Arial"/>
          <w:sz w:val="22"/>
          <w:szCs w:val="22"/>
          <w:lang w:val="en-GB"/>
        </w:rPr>
      </w:pPr>
    </w:p>
    <w:p w14:paraId="4C155BB8" w14:textId="71A7112C" w:rsidR="003166C3" w:rsidRDefault="003166C3" w:rsidP="00317066">
      <w:pPr>
        <w:pStyle w:val="ListParagraph"/>
        <w:numPr>
          <w:ilvl w:val="0"/>
          <w:numId w:val="23"/>
        </w:numPr>
        <w:jc w:val="both"/>
        <w:rPr>
          <w:rFonts w:ascii="Arial" w:hAnsi="Arial" w:cs="Arial"/>
          <w:sz w:val="22"/>
          <w:szCs w:val="22"/>
          <w:lang w:val="en-GB"/>
        </w:rPr>
      </w:pPr>
      <w:r>
        <w:rPr>
          <w:rFonts w:ascii="Arial" w:hAnsi="Arial" w:cs="Arial"/>
          <w:sz w:val="22"/>
          <w:szCs w:val="22"/>
          <w:lang w:val="en-GB"/>
        </w:rPr>
        <w:t xml:space="preserve">The liability of directors in the foreign businesses </w:t>
      </w:r>
      <w:r w:rsidR="00BD1EA8">
        <w:rPr>
          <w:rFonts w:ascii="Arial" w:hAnsi="Arial" w:cs="Arial"/>
          <w:sz w:val="22"/>
          <w:szCs w:val="22"/>
          <w:lang w:val="en-GB"/>
        </w:rPr>
        <w:t>for</w:t>
      </w:r>
      <w:r>
        <w:rPr>
          <w:rFonts w:ascii="Arial" w:hAnsi="Arial" w:cs="Arial"/>
          <w:sz w:val="22"/>
          <w:szCs w:val="22"/>
          <w:lang w:val="en-GB"/>
        </w:rPr>
        <w:t xml:space="preserve"> reckless trading is another </w:t>
      </w:r>
      <w:r w:rsidR="00BD1EA8">
        <w:rPr>
          <w:rFonts w:ascii="Arial" w:hAnsi="Arial" w:cs="Arial"/>
          <w:sz w:val="22"/>
          <w:szCs w:val="22"/>
          <w:lang w:val="en-GB"/>
        </w:rPr>
        <w:t xml:space="preserve">international </w:t>
      </w:r>
      <w:r>
        <w:rPr>
          <w:rFonts w:ascii="Arial" w:hAnsi="Arial" w:cs="Arial"/>
          <w:sz w:val="22"/>
          <w:szCs w:val="22"/>
          <w:lang w:val="en-GB"/>
        </w:rPr>
        <w:t xml:space="preserve">insolvency issue. </w:t>
      </w:r>
      <w:r w:rsidR="00BD1EA8">
        <w:rPr>
          <w:rFonts w:ascii="Arial" w:hAnsi="Arial" w:cs="Arial"/>
          <w:sz w:val="22"/>
          <w:szCs w:val="22"/>
          <w:lang w:val="en-GB"/>
        </w:rPr>
        <w:t>T</w:t>
      </w:r>
      <w:r>
        <w:rPr>
          <w:rFonts w:ascii="Arial" w:hAnsi="Arial" w:cs="Arial"/>
          <w:sz w:val="22"/>
          <w:szCs w:val="22"/>
          <w:lang w:val="en-GB"/>
        </w:rPr>
        <w:t xml:space="preserve">he liquidator requires leave of the court to institute proceedings </w:t>
      </w:r>
      <w:r w:rsidR="00295FC2">
        <w:rPr>
          <w:rFonts w:ascii="Arial" w:hAnsi="Arial" w:cs="Arial"/>
          <w:sz w:val="22"/>
          <w:szCs w:val="22"/>
          <w:lang w:val="en-GB"/>
        </w:rPr>
        <w:t>against</w:t>
      </w:r>
      <w:r>
        <w:rPr>
          <w:rFonts w:ascii="Arial" w:hAnsi="Arial" w:cs="Arial"/>
          <w:sz w:val="22"/>
          <w:szCs w:val="22"/>
          <w:lang w:val="en-GB"/>
        </w:rPr>
        <w:t xml:space="preserve"> directors in a foreign jurisdiction. The liquidator would still be subject to the conflict of laws rules in the foreign state </w:t>
      </w:r>
      <w:r w:rsidR="00BD1EA8">
        <w:rPr>
          <w:rFonts w:ascii="Arial" w:hAnsi="Arial" w:cs="Arial"/>
          <w:sz w:val="22"/>
          <w:szCs w:val="22"/>
          <w:lang w:val="en-GB"/>
        </w:rPr>
        <w:t xml:space="preserve">in order </w:t>
      </w:r>
      <w:r>
        <w:rPr>
          <w:rFonts w:ascii="Arial" w:hAnsi="Arial" w:cs="Arial"/>
          <w:sz w:val="22"/>
          <w:szCs w:val="22"/>
          <w:lang w:val="en-GB"/>
        </w:rPr>
        <w:t xml:space="preserve">to </w:t>
      </w:r>
      <w:r w:rsidR="00BD1EA8">
        <w:rPr>
          <w:rFonts w:ascii="Arial" w:hAnsi="Arial" w:cs="Arial"/>
          <w:sz w:val="22"/>
          <w:szCs w:val="22"/>
          <w:lang w:val="en-GB"/>
        </w:rPr>
        <w:t xml:space="preserve">obtain </w:t>
      </w:r>
      <w:r>
        <w:rPr>
          <w:rFonts w:ascii="Arial" w:hAnsi="Arial" w:cs="Arial"/>
          <w:sz w:val="22"/>
          <w:szCs w:val="22"/>
          <w:lang w:val="en-GB"/>
        </w:rPr>
        <w:t>recognition.</w:t>
      </w:r>
    </w:p>
    <w:p w14:paraId="6A6C6CB2" w14:textId="77777777" w:rsidR="003166C3" w:rsidRPr="003166C3" w:rsidRDefault="003166C3" w:rsidP="003166C3">
      <w:pPr>
        <w:pStyle w:val="ListParagraph"/>
        <w:rPr>
          <w:rFonts w:ascii="Arial" w:hAnsi="Arial" w:cs="Arial"/>
          <w:sz w:val="22"/>
          <w:szCs w:val="22"/>
          <w:lang w:val="en-GB"/>
        </w:rPr>
      </w:pPr>
    </w:p>
    <w:p w14:paraId="454D2F2B" w14:textId="32BA1F14" w:rsidR="00317066" w:rsidRPr="00317066" w:rsidRDefault="003166C3" w:rsidP="00317066">
      <w:pPr>
        <w:pStyle w:val="ListParagraph"/>
        <w:numPr>
          <w:ilvl w:val="0"/>
          <w:numId w:val="23"/>
        </w:numPr>
        <w:jc w:val="both"/>
        <w:rPr>
          <w:rFonts w:ascii="Arial" w:hAnsi="Arial" w:cs="Arial"/>
          <w:sz w:val="22"/>
          <w:szCs w:val="22"/>
          <w:lang w:val="en-GB"/>
        </w:rPr>
      </w:pPr>
      <w:r>
        <w:rPr>
          <w:rFonts w:ascii="Arial" w:hAnsi="Arial" w:cs="Arial"/>
          <w:sz w:val="22"/>
          <w:szCs w:val="22"/>
          <w:lang w:val="en-GB"/>
        </w:rPr>
        <w:t xml:space="preserve">The recognition of foreign creditors and the rank of their claims in </w:t>
      </w:r>
      <w:r w:rsidR="00FD6178">
        <w:rPr>
          <w:rFonts w:ascii="Arial" w:hAnsi="Arial" w:cs="Arial"/>
          <w:sz w:val="22"/>
          <w:szCs w:val="22"/>
          <w:lang w:val="en-GB"/>
        </w:rPr>
        <w:t>Botswana</w:t>
      </w:r>
      <w:r>
        <w:rPr>
          <w:rFonts w:ascii="Arial" w:hAnsi="Arial" w:cs="Arial"/>
          <w:sz w:val="22"/>
          <w:szCs w:val="22"/>
          <w:lang w:val="en-GB"/>
        </w:rPr>
        <w:t>. The Companies Act does not discrim</w:t>
      </w:r>
      <w:r w:rsidR="00FD6178">
        <w:rPr>
          <w:rFonts w:ascii="Arial" w:hAnsi="Arial" w:cs="Arial"/>
          <w:sz w:val="22"/>
          <w:szCs w:val="22"/>
          <w:lang w:val="en-GB"/>
        </w:rPr>
        <w:t>inate against foreign Creditors as long as they file their claims in Botswana. The Legal Practitioners’ Act</w:t>
      </w:r>
      <w:r w:rsidR="00F033E9">
        <w:rPr>
          <w:rStyle w:val="FootnoteReference"/>
          <w:rFonts w:ascii="Arial" w:hAnsi="Arial" w:cs="Arial"/>
          <w:sz w:val="22"/>
          <w:szCs w:val="22"/>
          <w:lang w:val="en-GB"/>
        </w:rPr>
        <w:footnoteReference w:id="19"/>
      </w:r>
      <w:r w:rsidR="00FD6178">
        <w:rPr>
          <w:rFonts w:ascii="Arial" w:hAnsi="Arial" w:cs="Arial"/>
          <w:sz w:val="22"/>
          <w:szCs w:val="22"/>
          <w:lang w:val="en-GB"/>
        </w:rPr>
        <w:t xml:space="preserve"> discriminates against foreign attorneys who do not enjoy automatic recognition in the Courts of </w:t>
      </w:r>
      <w:r w:rsidR="005D1B77">
        <w:rPr>
          <w:rFonts w:ascii="Arial" w:hAnsi="Arial" w:cs="Arial"/>
          <w:sz w:val="22"/>
          <w:szCs w:val="22"/>
          <w:lang w:val="en-GB"/>
        </w:rPr>
        <w:t>Botswana</w:t>
      </w:r>
      <w:r w:rsidR="00FD6178">
        <w:rPr>
          <w:rFonts w:ascii="Arial" w:hAnsi="Arial" w:cs="Arial"/>
          <w:sz w:val="22"/>
          <w:szCs w:val="22"/>
          <w:lang w:val="en-GB"/>
        </w:rPr>
        <w:t xml:space="preserve">. </w:t>
      </w:r>
      <w:r>
        <w:rPr>
          <w:rFonts w:ascii="Arial" w:hAnsi="Arial" w:cs="Arial"/>
          <w:sz w:val="22"/>
          <w:szCs w:val="22"/>
          <w:lang w:val="en-GB"/>
        </w:rPr>
        <w:t xml:space="preserve">   </w:t>
      </w:r>
    </w:p>
    <w:p w14:paraId="79506EE1" w14:textId="77777777" w:rsidR="000142CA" w:rsidRPr="00090138" w:rsidRDefault="000142CA" w:rsidP="00C053F7">
      <w:pPr>
        <w:jc w:val="both"/>
        <w:rPr>
          <w:rFonts w:ascii="Arial" w:hAnsi="Arial" w:cs="Arial"/>
          <w:sz w:val="22"/>
          <w:szCs w:val="22"/>
          <w:lang w:val="en-GB"/>
        </w:rPr>
      </w:pPr>
    </w:p>
    <w:p w14:paraId="44D8DC8E" w14:textId="77777777" w:rsidR="002D0021" w:rsidRPr="00827D56" w:rsidRDefault="002D0021" w:rsidP="00C053F7">
      <w:pPr>
        <w:jc w:val="both"/>
        <w:rPr>
          <w:rFonts w:ascii="Avenir Next" w:hAnsi="Avenir Next" w:cs="Arial"/>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2CD9" w14:textId="77777777" w:rsidR="007F3E44" w:rsidRDefault="007F3E44" w:rsidP="00241B44">
      <w:r>
        <w:separator/>
      </w:r>
    </w:p>
  </w:endnote>
  <w:endnote w:type="continuationSeparator" w:id="0">
    <w:p w14:paraId="2FF9ACAC" w14:textId="77777777" w:rsidR="007F3E44" w:rsidRDefault="007F3E4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071DEB00" w:rsidR="00AD6A7D" w:rsidRPr="009634F4" w:rsidRDefault="00D04B33" w:rsidP="00AD6A7D">
    <w:pPr>
      <w:pStyle w:val="Footer"/>
      <w:ind w:right="360"/>
      <w:rPr>
        <w:rFonts w:ascii="Avenir Next" w:hAnsi="Avenir Next" w:cs="Arial"/>
        <w:sz w:val="22"/>
        <w:szCs w:val="22"/>
      </w:rPr>
    </w:pPr>
    <w:r>
      <w:rPr>
        <w:rFonts w:ascii="Avenir Next" w:hAnsi="Avenir Next" w:cs="Arial"/>
        <w:sz w:val="22"/>
        <w:szCs w:val="22"/>
      </w:rPr>
      <w:t>202223-787</w:t>
    </w:r>
    <w:r w:rsidR="008F5EE9">
      <w:rPr>
        <w:rFonts w:ascii="Avenir Next" w:hAnsi="Avenir Next" w:cs="Arial"/>
        <w:sz w:val="22"/>
        <w:szCs w:val="22"/>
      </w:rPr>
      <w:t>.assessment1</w:t>
    </w:r>
    <w:r w:rsidR="004538A9">
      <w:rPr>
        <w:rFonts w:ascii="Avenir Next" w:hAnsi="Avenir Next" w:cs="Arial"/>
        <w:sz w:val="22"/>
        <w:szCs w:val="22"/>
      </w:rPr>
      <w:t>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556E" w14:textId="77777777" w:rsidR="007F3E44" w:rsidRDefault="007F3E44" w:rsidP="00241B44">
      <w:r>
        <w:separator/>
      </w:r>
    </w:p>
  </w:footnote>
  <w:footnote w:type="continuationSeparator" w:id="0">
    <w:p w14:paraId="6213D41D" w14:textId="77777777" w:rsidR="007F3E44" w:rsidRDefault="007F3E44" w:rsidP="00241B44">
      <w:r>
        <w:continuationSeparator/>
      </w:r>
    </w:p>
  </w:footnote>
  <w:footnote w:id="1">
    <w:p w14:paraId="570F446F" w14:textId="4829DE00" w:rsidR="00295FC2" w:rsidRDefault="00295FC2">
      <w:pPr>
        <w:pStyle w:val="FootnoteText"/>
      </w:pPr>
      <w:r>
        <w:rPr>
          <w:rStyle w:val="FootnoteReference"/>
        </w:rPr>
        <w:footnoteRef/>
      </w:r>
      <w:r>
        <w:t xml:space="preserve"> B Wessels, International Insolvency Law (Kluwer,2006</w:t>
      </w:r>
      <w:r w:rsidR="001855AF">
        <w:t>), p 1.</w:t>
      </w:r>
    </w:p>
  </w:footnote>
  <w:footnote w:id="2">
    <w:p w14:paraId="2B36E42F" w14:textId="3E8E7E67" w:rsidR="001855AF" w:rsidRDefault="001855AF">
      <w:pPr>
        <w:pStyle w:val="FootnoteText"/>
      </w:pPr>
      <w:r>
        <w:rPr>
          <w:rStyle w:val="FootnoteReference"/>
        </w:rPr>
        <w:footnoteRef/>
      </w:r>
      <w:r>
        <w:t xml:space="preserve"> I F Fletcher, The Law of Insolvency, London (Sweet and Maxwell, 5</w:t>
      </w:r>
      <w:r w:rsidRPr="001855AF">
        <w:rPr>
          <w:vertAlign w:val="superscript"/>
        </w:rPr>
        <w:t>th</w:t>
      </w:r>
      <w:r>
        <w:t xml:space="preserve"> ed, 2017), Ch 1, p 6</w:t>
      </w:r>
    </w:p>
  </w:footnote>
  <w:footnote w:id="3">
    <w:p w14:paraId="0D954A36" w14:textId="076A4755" w:rsidR="00EB08DB" w:rsidRDefault="00EB08DB">
      <w:pPr>
        <w:pStyle w:val="FootnoteText"/>
      </w:pPr>
      <w:r>
        <w:rPr>
          <w:rStyle w:val="FootnoteReference"/>
        </w:rPr>
        <w:footnoteRef/>
      </w:r>
      <w:r>
        <w:t xml:space="preserve"> J L Westbrook, “A Global Solution to Multinational Default”, (2000) 98 Michigan Law Review 2276 pp 2276-2328</w:t>
      </w:r>
    </w:p>
  </w:footnote>
  <w:footnote w:id="4">
    <w:p w14:paraId="4341C5B4" w14:textId="29B9FEA6" w:rsidR="000B51D1" w:rsidRDefault="000B51D1">
      <w:pPr>
        <w:pStyle w:val="FootnoteText"/>
      </w:pPr>
      <w:r>
        <w:rPr>
          <w:rStyle w:val="FootnoteReference"/>
        </w:rPr>
        <w:footnoteRef/>
      </w:r>
      <w:r>
        <w:t xml:space="preserve"> Federal Law by Decree No.(9) of 2016 on Ba</w:t>
      </w:r>
      <w:r w:rsidR="007C6DC1">
        <w:t>nkruptcy (</w:t>
      </w:r>
      <w:hyperlink r:id="rId1" w:history="1">
        <w:r w:rsidR="007C6DC1" w:rsidRPr="008528DB">
          <w:rPr>
            <w:rStyle w:val="Hyperlink"/>
          </w:rPr>
          <w:t>https://www.mof.gov.ae/en/lawsAndPolitics/financial-banking-sector/Bankrutcy/pages/Laws.aspx</w:t>
        </w:r>
      </w:hyperlink>
      <w:r w:rsidR="007C6DC1">
        <w:t xml:space="preserve">) and </w:t>
      </w:r>
      <w:r w:rsidR="007C6DC1">
        <w:t>Federal Law by Decree No.(</w:t>
      </w:r>
      <w:r w:rsidR="007C6DC1">
        <w:t>1</w:t>
      </w:r>
      <w:r w:rsidR="007C6DC1">
        <w:t xml:space="preserve">9) of 2016 on </w:t>
      </w:r>
      <w:r w:rsidR="007C6DC1">
        <w:t xml:space="preserve">Insolvency  </w:t>
      </w:r>
      <w:hyperlink r:id="rId2" w:history="1">
        <w:r w:rsidR="003A3C8F" w:rsidRPr="008528DB">
          <w:rPr>
            <w:rStyle w:val="Hyperlink"/>
          </w:rPr>
          <w:t>https://www.mof.gov.ae/en/lawsAndPolitics/financial-banking-sector/Bankrutcy/pages/Laws</w:t>
        </w:r>
      </w:hyperlink>
      <w:r w:rsidR="007C6DC1">
        <w:t>19insolvency.aspx.</w:t>
      </w:r>
    </w:p>
  </w:footnote>
  <w:footnote w:id="5">
    <w:p w14:paraId="58F36779" w14:textId="4BCF44CA" w:rsidR="009E4877" w:rsidRDefault="009E4877">
      <w:pPr>
        <w:pStyle w:val="FootnoteText"/>
      </w:pPr>
      <w:r>
        <w:rPr>
          <w:rStyle w:val="FootnoteReference"/>
        </w:rPr>
        <w:footnoteRef/>
      </w:r>
      <w:r>
        <w:t xml:space="preserve"> </w:t>
      </w:r>
      <w:r>
        <w:t>https://www.difc.ae/newsroom/news/difc-announced-proposed-new-insolvency-law-regime-public-consultation/.</w:t>
      </w:r>
    </w:p>
  </w:footnote>
  <w:footnote w:id="6">
    <w:p w14:paraId="1E3541BF" w14:textId="5A2D9F77" w:rsidR="00436762" w:rsidRDefault="00436762">
      <w:pPr>
        <w:pStyle w:val="FootnoteText"/>
      </w:pPr>
      <w:r>
        <w:rPr>
          <w:rStyle w:val="FootnoteReference"/>
        </w:rPr>
        <w:footnoteRef/>
      </w:r>
      <w:r>
        <w:t xml:space="preserve"> UNCITRAL legislative Guide on Insolvency Law part C p 14.</w:t>
      </w:r>
    </w:p>
  </w:footnote>
  <w:footnote w:id="7">
    <w:p w14:paraId="1B5963BA" w14:textId="31EAF503" w:rsidR="00AB74D0" w:rsidRDefault="00AB74D0">
      <w:pPr>
        <w:pStyle w:val="FootnoteText"/>
      </w:pPr>
      <w:r>
        <w:rPr>
          <w:rStyle w:val="FootnoteReference"/>
        </w:rPr>
        <w:footnoteRef/>
      </w:r>
      <w:r>
        <w:t xml:space="preserve"> I F Fletcher, Insolvency in Private International Law- National and International Approaches (Oxford: Oxford University Press, 2</w:t>
      </w:r>
      <w:r w:rsidRPr="00AB74D0">
        <w:rPr>
          <w:vertAlign w:val="superscript"/>
        </w:rPr>
        <w:t>nd</w:t>
      </w:r>
      <w:r>
        <w:t xml:space="preserve"> ed, 2005) pp 3-5. </w:t>
      </w:r>
    </w:p>
  </w:footnote>
  <w:footnote w:id="8">
    <w:p w14:paraId="6AE9845E" w14:textId="78E10605" w:rsidR="00F7407F" w:rsidRDefault="00F7407F">
      <w:pPr>
        <w:pStyle w:val="FootnoteText"/>
      </w:pPr>
      <w:r>
        <w:rPr>
          <w:rStyle w:val="FootnoteReference"/>
        </w:rPr>
        <w:footnoteRef/>
      </w:r>
      <w:r>
        <w:t xml:space="preserve"> Idem note 6 p1</w:t>
      </w:r>
    </w:p>
  </w:footnote>
  <w:footnote w:id="9">
    <w:p w14:paraId="65399683" w14:textId="2F7B212A" w:rsidR="002C483E" w:rsidRDefault="002C483E">
      <w:pPr>
        <w:pStyle w:val="FootnoteText"/>
      </w:pPr>
      <w:r>
        <w:rPr>
          <w:rStyle w:val="FootnoteReference"/>
        </w:rPr>
        <w:footnoteRef/>
      </w:r>
      <w:r>
        <w:t xml:space="preserve"> </w:t>
      </w:r>
      <w:r w:rsidR="00543052">
        <w:t>http://www.unis.unvienna.org/unis/en/pressrels/2015/unisl222.html.</w:t>
      </w:r>
    </w:p>
  </w:footnote>
  <w:footnote w:id="10">
    <w:p w14:paraId="6D6F3511" w14:textId="661C7F5A" w:rsidR="006159F3" w:rsidRPr="00F7407F" w:rsidRDefault="006159F3">
      <w:pPr>
        <w:pStyle w:val="FootnoteText"/>
      </w:pPr>
      <w:r>
        <w:rPr>
          <w:rStyle w:val="FootnoteReference"/>
        </w:rPr>
        <w:footnoteRef/>
      </w:r>
      <w:r w:rsidRPr="00F7407F">
        <w:t xml:space="preserve"> </w:t>
      </w:r>
      <w:hyperlink r:id="rId3" w:history="1">
        <w:r w:rsidRPr="00F7407F">
          <w:rPr>
            <w:rStyle w:val="Hyperlink"/>
          </w:rPr>
          <w:t>https://www.uncitral.org/pdf/english/texts/general/Register</w:t>
        </w:r>
      </w:hyperlink>
      <w:r w:rsidRPr="00F7407F">
        <w:t xml:space="preserve"> Texts Vol2.pdf.</w:t>
      </w:r>
    </w:p>
  </w:footnote>
  <w:footnote w:id="11">
    <w:p w14:paraId="28A1CAA2" w14:textId="73AECAB1" w:rsidR="00A55832" w:rsidRPr="00A55832" w:rsidRDefault="00A55832">
      <w:pPr>
        <w:pStyle w:val="FootnoteText"/>
      </w:pPr>
      <w:r>
        <w:rPr>
          <w:rStyle w:val="FootnoteReference"/>
        </w:rPr>
        <w:footnoteRef/>
      </w:r>
      <w:r w:rsidRPr="00A55832">
        <w:t xml:space="preserve"> http://www.jin-global.o</w:t>
      </w:r>
      <w:r>
        <w:t>rg/jin-guidelines.html.</w:t>
      </w:r>
    </w:p>
  </w:footnote>
  <w:footnote w:id="12">
    <w:p w14:paraId="694917CD" w14:textId="7139F080" w:rsidR="00484F0B" w:rsidRPr="00484F0B" w:rsidRDefault="00484F0B">
      <w:pPr>
        <w:pStyle w:val="FootnoteText"/>
      </w:pPr>
      <w:r>
        <w:rPr>
          <w:rStyle w:val="FootnoteReference"/>
        </w:rPr>
        <w:footnoteRef/>
      </w:r>
      <w:r w:rsidRPr="00484F0B">
        <w:t xml:space="preserve"> https://www.worldbank.org/e</w:t>
      </w:r>
      <w:r>
        <w:t>n/topic/financialsector/brief/the-world-bank-principles-for-effective-insolvency-and-creditor-rights.</w:t>
      </w:r>
    </w:p>
  </w:footnote>
  <w:footnote w:id="13">
    <w:p w14:paraId="4FECA38C" w14:textId="3168A02D" w:rsidR="00396AE3" w:rsidRPr="00396AE3" w:rsidRDefault="00396AE3">
      <w:pPr>
        <w:pStyle w:val="FootnoteText"/>
      </w:pPr>
      <w:r>
        <w:rPr>
          <w:rStyle w:val="FootnoteReference"/>
        </w:rPr>
        <w:footnoteRef/>
      </w:r>
      <w:r w:rsidRPr="00396AE3">
        <w:t xml:space="preserve"> https://eur-lex-europa.e</w:t>
      </w:r>
      <w:r>
        <w:t>u/eli/reg/2015/848/oj.</w:t>
      </w:r>
    </w:p>
  </w:footnote>
  <w:footnote w:id="14">
    <w:p w14:paraId="7EE10F80" w14:textId="7D183B0F" w:rsidR="00936F03" w:rsidRPr="006159F3" w:rsidRDefault="00936F03">
      <w:pPr>
        <w:pStyle w:val="FootnoteText"/>
        <w:rPr>
          <w:lang w:val="fr-FR"/>
        </w:rPr>
      </w:pPr>
      <w:r>
        <w:rPr>
          <w:rStyle w:val="FootnoteReference"/>
        </w:rPr>
        <w:footnoteRef/>
      </w:r>
      <w:r w:rsidRPr="006159F3">
        <w:rPr>
          <w:lang w:val="fr-FR"/>
        </w:rPr>
        <w:t xml:space="preserve"> Article 27 (d).</w:t>
      </w:r>
    </w:p>
  </w:footnote>
  <w:footnote w:id="15">
    <w:p w14:paraId="17C2AD52" w14:textId="0CFC8391" w:rsidR="00C102B6" w:rsidRPr="00251E8C" w:rsidRDefault="00C102B6">
      <w:pPr>
        <w:pStyle w:val="FootnoteText"/>
      </w:pPr>
      <w:r>
        <w:rPr>
          <w:rStyle w:val="FootnoteReference"/>
        </w:rPr>
        <w:footnoteRef/>
      </w:r>
      <w:r w:rsidRPr="00251E8C">
        <w:t xml:space="preserve"> </w:t>
      </w:r>
      <w:r w:rsidR="00251E8C" w:rsidRPr="00251E8C">
        <w:t>S</w:t>
      </w:r>
      <w:r w:rsidRPr="00251E8C">
        <w:t>ummarised</w:t>
      </w:r>
      <w:r w:rsidR="00251E8C" w:rsidRPr="00251E8C">
        <w:t xml:space="preserve"> in UNCITRAL Practice G</w:t>
      </w:r>
      <w:r w:rsidR="00251E8C">
        <w:t xml:space="preserve">uide on Cross-Border Insolvency Cooperation </w:t>
      </w:r>
      <w:r w:rsidR="0015375A">
        <w:t>2009, pp.</w:t>
      </w:r>
      <w:r w:rsidR="00251E8C">
        <w:t>128-129</w:t>
      </w:r>
    </w:p>
  </w:footnote>
  <w:footnote w:id="16">
    <w:p w14:paraId="253749C3" w14:textId="1921D85C" w:rsidR="00F033E9" w:rsidRPr="00C102B6" w:rsidRDefault="00F033E9">
      <w:pPr>
        <w:pStyle w:val="FootnoteText"/>
        <w:rPr>
          <w:lang w:val="fr-FR"/>
        </w:rPr>
      </w:pPr>
      <w:r>
        <w:rPr>
          <w:rStyle w:val="FootnoteReference"/>
        </w:rPr>
        <w:footnoteRef/>
      </w:r>
      <w:r w:rsidRPr="00C102B6">
        <w:rPr>
          <w:lang w:val="fr-FR"/>
        </w:rPr>
        <w:t xml:space="preserve"> (2009) p 16</w:t>
      </w:r>
    </w:p>
  </w:footnote>
  <w:footnote w:id="17">
    <w:p w14:paraId="4A05DA29" w14:textId="61E9FF67" w:rsidR="00F033E9" w:rsidRPr="00C102B6" w:rsidRDefault="00F033E9">
      <w:pPr>
        <w:pStyle w:val="FootnoteText"/>
        <w:rPr>
          <w:lang w:val="fr-FR"/>
        </w:rPr>
      </w:pPr>
      <w:r>
        <w:rPr>
          <w:rStyle w:val="FootnoteReference"/>
        </w:rPr>
        <w:footnoteRef/>
      </w:r>
      <w:r w:rsidRPr="00C102B6">
        <w:rPr>
          <w:lang w:val="fr-FR"/>
        </w:rPr>
        <w:t xml:space="preserve"> Chapter </w:t>
      </w:r>
      <w:r w:rsidR="0015375A" w:rsidRPr="00C102B6">
        <w:rPr>
          <w:lang w:val="fr-FR"/>
        </w:rPr>
        <w:t>11 :</w:t>
      </w:r>
      <w:r w:rsidRPr="00C102B6">
        <w:rPr>
          <w:lang w:val="fr-FR"/>
        </w:rPr>
        <w:t>04</w:t>
      </w:r>
    </w:p>
  </w:footnote>
  <w:footnote w:id="18">
    <w:p w14:paraId="5756F7A6" w14:textId="64911F13" w:rsidR="00F033E9" w:rsidRPr="00C102B6" w:rsidRDefault="00F033E9">
      <w:pPr>
        <w:pStyle w:val="FootnoteText"/>
        <w:rPr>
          <w:lang w:val="fr-FR"/>
        </w:rPr>
      </w:pPr>
      <w:r>
        <w:rPr>
          <w:rStyle w:val="FootnoteReference"/>
        </w:rPr>
        <w:footnoteRef/>
      </w:r>
      <w:r w:rsidRPr="00C102B6">
        <w:rPr>
          <w:lang w:val="fr-FR"/>
        </w:rPr>
        <w:t xml:space="preserve"> Chapter </w:t>
      </w:r>
      <w:r w:rsidR="0015375A" w:rsidRPr="00C102B6">
        <w:rPr>
          <w:lang w:val="fr-FR"/>
        </w:rPr>
        <w:t>42 :</w:t>
      </w:r>
      <w:r w:rsidRPr="00C102B6">
        <w:rPr>
          <w:lang w:val="fr-FR"/>
        </w:rPr>
        <w:t>01</w:t>
      </w:r>
    </w:p>
  </w:footnote>
  <w:footnote w:id="19">
    <w:p w14:paraId="29471058" w14:textId="098699E7" w:rsidR="00F033E9" w:rsidRPr="00C102B6" w:rsidRDefault="00F033E9">
      <w:pPr>
        <w:pStyle w:val="FootnoteText"/>
        <w:rPr>
          <w:lang w:val="fr-FR"/>
        </w:rPr>
      </w:pPr>
      <w:r>
        <w:rPr>
          <w:rStyle w:val="FootnoteReference"/>
        </w:rPr>
        <w:footnoteRef/>
      </w:r>
      <w:r w:rsidRPr="00C102B6">
        <w:rPr>
          <w:lang w:val="fr-FR"/>
        </w:rPr>
        <w:t xml:space="preserve"> Chapter </w:t>
      </w:r>
      <w:r w:rsidR="0015375A" w:rsidRPr="00C102B6">
        <w:rPr>
          <w:lang w:val="fr-FR"/>
        </w:rPr>
        <w:t>61 :</w:t>
      </w:r>
      <w:r w:rsidRPr="00C102B6">
        <w:rPr>
          <w:lang w:val="fr-FR"/>
        </w:rPr>
        <w:t>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466C4C"/>
    <w:multiLevelType w:val="hybridMultilevel"/>
    <w:tmpl w:val="78360B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83453563">
    <w:abstractNumId w:val="18"/>
  </w:num>
  <w:num w:numId="2" w16cid:durableId="1212500936">
    <w:abstractNumId w:val="20"/>
  </w:num>
  <w:num w:numId="3" w16cid:durableId="1297875129">
    <w:abstractNumId w:val="5"/>
  </w:num>
  <w:num w:numId="4" w16cid:durableId="439566851">
    <w:abstractNumId w:val="2"/>
  </w:num>
  <w:num w:numId="5" w16cid:durableId="770049544">
    <w:abstractNumId w:val="8"/>
  </w:num>
  <w:num w:numId="6" w16cid:durableId="1134367138">
    <w:abstractNumId w:val="15"/>
  </w:num>
  <w:num w:numId="7" w16cid:durableId="176965790">
    <w:abstractNumId w:val="21"/>
  </w:num>
  <w:num w:numId="8" w16cid:durableId="610892337">
    <w:abstractNumId w:val="14"/>
  </w:num>
  <w:num w:numId="9" w16cid:durableId="1102843977">
    <w:abstractNumId w:val="4"/>
  </w:num>
  <w:num w:numId="10" w16cid:durableId="1689939329">
    <w:abstractNumId w:val="7"/>
  </w:num>
  <w:num w:numId="11" w16cid:durableId="1333725092">
    <w:abstractNumId w:val="6"/>
  </w:num>
  <w:num w:numId="12" w16cid:durableId="275909025">
    <w:abstractNumId w:val="3"/>
  </w:num>
  <w:num w:numId="13" w16cid:durableId="94710863">
    <w:abstractNumId w:val="11"/>
  </w:num>
  <w:num w:numId="14" w16cid:durableId="577440951">
    <w:abstractNumId w:val="0"/>
  </w:num>
  <w:num w:numId="15" w16cid:durableId="1907909480">
    <w:abstractNumId w:val="1"/>
  </w:num>
  <w:num w:numId="16" w16cid:durableId="1265109788">
    <w:abstractNumId w:val="12"/>
  </w:num>
  <w:num w:numId="17" w16cid:durableId="1333991609">
    <w:abstractNumId w:val="10"/>
  </w:num>
  <w:num w:numId="18" w16cid:durableId="1134173244">
    <w:abstractNumId w:val="19"/>
  </w:num>
  <w:num w:numId="19" w16cid:durableId="1489900719">
    <w:abstractNumId w:val="16"/>
  </w:num>
  <w:num w:numId="20" w16cid:durableId="1549731176">
    <w:abstractNumId w:val="22"/>
  </w:num>
  <w:num w:numId="21" w16cid:durableId="182019154">
    <w:abstractNumId w:val="17"/>
  </w:num>
  <w:num w:numId="22" w16cid:durableId="767579011">
    <w:abstractNumId w:val="9"/>
  </w:num>
  <w:num w:numId="23" w16cid:durableId="142699897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42CA"/>
    <w:rsid w:val="00014941"/>
    <w:rsid w:val="000250C7"/>
    <w:rsid w:val="00037621"/>
    <w:rsid w:val="00044D46"/>
    <w:rsid w:val="00045088"/>
    <w:rsid w:val="00045904"/>
    <w:rsid w:val="00055893"/>
    <w:rsid w:val="00065166"/>
    <w:rsid w:val="00082609"/>
    <w:rsid w:val="000851CC"/>
    <w:rsid w:val="00090138"/>
    <w:rsid w:val="00093BE8"/>
    <w:rsid w:val="000A68ED"/>
    <w:rsid w:val="000B51D1"/>
    <w:rsid w:val="000B5FF1"/>
    <w:rsid w:val="000B609F"/>
    <w:rsid w:val="000D11C1"/>
    <w:rsid w:val="000D55A8"/>
    <w:rsid w:val="000E329C"/>
    <w:rsid w:val="000E4841"/>
    <w:rsid w:val="000F05C2"/>
    <w:rsid w:val="000F1677"/>
    <w:rsid w:val="000F3D6C"/>
    <w:rsid w:val="00101707"/>
    <w:rsid w:val="00110DA3"/>
    <w:rsid w:val="0011473D"/>
    <w:rsid w:val="00115C85"/>
    <w:rsid w:val="00123661"/>
    <w:rsid w:val="00123855"/>
    <w:rsid w:val="00126A4D"/>
    <w:rsid w:val="00144283"/>
    <w:rsid w:val="0014622C"/>
    <w:rsid w:val="00152348"/>
    <w:rsid w:val="0015375A"/>
    <w:rsid w:val="0015456D"/>
    <w:rsid w:val="00160DAF"/>
    <w:rsid w:val="00161F1B"/>
    <w:rsid w:val="00162829"/>
    <w:rsid w:val="0017695C"/>
    <w:rsid w:val="00180548"/>
    <w:rsid w:val="00180CCE"/>
    <w:rsid w:val="0018267A"/>
    <w:rsid w:val="00182779"/>
    <w:rsid w:val="001830DF"/>
    <w:rsid w:val="001855AF"/>
    <w:rsid w:val="001966D9"/>
    <w:rsid w:val="001A7E9A"/>
    <w:rsid w:val="001B5016"/>
    <w:rsid w:val="001C45FC"/>
    <w:rsid w:val="001C4EF0"/>
    <w:rsid w:val="001D4862"/>
    <w:rsid w:val="001E25B9"/>
    <w:rsid w:val="001E49E0"/>
    <w:rsid w:val="001E4D84"/>
    <w:rsid w:val="001E7B5A"/>
    <w:rsid w:val="001F7412"/>
    <w:rsid w:val="0020725B"/>
    <w:rsid w:val="00216645"/>
    <w:rsid w:val="0021795D"/>
    <w:rsid w:val="0022002F"/>
    <w:rsid w:val="00241B44"/>
    <w:rsid w:val="00245EFB"/>
    <w:rsid w:val="00251E8C"/>
    <w:rsid w:val="0026515D"/>
    <w:rsid w:val="002668D3"/>
    <w:rsid w:val="0027299F"/>
    <w:rsid w:val="0027716E"/>
    <w:rsid w:val="00280D79"/>
    <w:rsid w:val="00284EBE"/>
    <w:rsid w:val="00286AE6"/>
    <w:rsid w:val="0029433F"/>
    <w:rsid w:val="00294829"/>
    <w:rsid w:val="00295FC2"/>
    <w:rsid w:val="0029690F"/>
    <w:rsid w:val="002A2A60"/>
    <w:rsid w:val="002B1C45"/>
    <w:rsid w:val="002B5684"/>
    <w:rsid w:val="002C13C8"/>
    <w:rsid w:val="002C1671"/>
    <w:rsid w:val="002C3547"/>
    <w:rsid w:val="002C45EE"/>
    <w:rsid w:val="002C483E"/>
    <w:rsid w:val="002C686D"/>
    <w:rsid w:val="002C71AA"/>
    <w:rsid w:val="002D0021"/>
    <w:rsid w:val="002D08BD"/>
    <w:rsid w:val="002D31CD"/>
    <w:rsid w:val="002D3473"/>
    <w:rsid w:val="002F1956"/>
    <w:rsid w:val="002F3440"/>
    <w:rsid w:val="002F75A3"/>
    <w:rsid w:val="00303C2F"/>
    <w:rsid w:val="003144EF"/>
    <w:rsid w:val="003166C3"/>
    <w:rsid w:val="00317066"/>
    <w:rsid w:val="00320CEF"/>
    <w:rsid w:val="00324259"/>
    <w:rsid w:val="00330937"/>
    <w:rsid w:val="00330F31"/>
    <w:rsid w:val="00334648"/>
    <w:rsid w:val="0033768C"/>
    <w:rsid w:val="00337938"/>
    <w:rsid w:val="00340769"/>
    <w:rsid w:val="00341AA6"/>
    <w:rsid w:val="00347013"/>
    <w:rsid w:val="00361A0A"/>
    <w:rsid w:val="0036565C"/>
    <w:rsid w:val="0036625E"/>
    <w:rsid w:val="0037465A"/>
    <w:rsid w:val="00374696"/>
    <w:rsid w:val="00382743"/>
    <w:rsid w:val="00382C98"/>
    <w:rsid w:val="0038399A"/>
    <w:rsid w:val="0038533C"/>
    <w:rsid w:val="003876C6"/>
    <w:rsid w:val="003948D5"/>
    <w:rsid w:val="00396821"/>
    <w:rsid w:val="00396AE3"/>
    <w:rsid w:val="00397D3A"/>
    <w:rsid w:val="003A051E"/>
    <w:rsid w:val="003A2F8D"/>
    <w:rsid w:val="003A3C8F"/>
    <w:rsid w:val="003B170F"/>
    <w:rsid w:val="003B687A"/>
    <w:rsid w:val="003C4471"/>
    <w:rsid w:val="003D0A6D"/>
    <w:rsid w:val="003D2DA8"/>
    <w:rsid w:val="003E0B16"/>
    <w:rsid w:val="003E50D7"/>
    <w:rsid w:val="003E67D1"/>
    <w:rsid w:val="003F5758"/>
    <w:rsid w:val="00405DC1"/>
    <w:rsid w:val="00411B48"/>
    <w:rsid w:val="00415F1F"/>
    <w:rsid w:val="0042108F"/>
    <w:rsid w:val="00430FED"/>
    <w:rsid w:val="0043427C"/>
    <w:rsid w:val="00434A8C"/>
    <w:rsid w:val="00436762"/>
    <w:rsid w:val="00444284"/>
    <w:rsid w:val="00445CE6"/>
    <w:rsid w:val="004534C2"/>
    <w:rsid w:val="004538A9"/>
    <w:rsid w:val="0045683E"/>
    <w:rsid w:val="00471C12"/>
    <w:rsid w:val="00484F0B"/>
    <w:rsid w:val="00491675"/>
    <w:rsid w:val="00493855"/>
    <w:rsid w:val="004A16A3"/>
    <w:rsid w:val="004A57DD"/>
    <w:rsid w:val="004A5A82"/>
    <w:rsid w:val="004A7B51"/>
    <w:rsid w:val="004A7D71"/>
    <w:rsid w:val="004A7EF3"/>
    <w:rsid w:val="004B11FD"/>
    <w:rsid w:val="004B23A2"/>
    <w:rsid w:val="004C1306"/>
    <w:rsid w:val="004D1A5A"/>
    <w:rsid w:val="004D3721"/>
    <w:rsid w:val="004D4685"/>
    <w:rsid w:val="004D64F9"/>
    <w:rsid w:val="004E14A8"/>
    <w:rsid w:val="004F5FDF"/>
    <w:rsid w:val="005177FE"/>
    <w:rsid w:val="00520B6B"/>
    <w:rsid w:val="0052263B"/>
    <w:rsid w:val="00524728"/>
    <w:rsid w:val="005331CA"/>
    <w:rsid w:val="00537970"/>
    <w:rsid w:val="00543052"/>
    <w:rsid w:val="00544127"/>
    <w:rsid w:val="00553EB2"/>
    <w:rsid w:val="00560534"/>
    <w:rsid w:val="0056391B"/>
    <w:rsid w:val="005650E2"/>
    <w:rsid w:val="00567075"/>
    <w:rsid w:val="00575B2D"/>
    <w:rsid w:val="005833D0"/>
    <w:rsid w:val="005846F3"/>
    <w:rsid w:val="0058622F"/>
    <w:rsid w:val="005921A9"/>
    <w:rsid w:val="00592F82"/>
    <w:rsid w:val="005A0CCA"/>
    <w:rsid w:val="005A15D0"/>
    <w:rsid w:val="005A5311"/>
    <w:rsid w:val="005A726D"/>
    <w:rsid w:val="005B67AC"/>
    <w:rsid w:val="005D1B77"/>
    <w:rsid w:val="005D43E0"/>
    <w:rsid w:val="005D58A3"/>
    <w:rsid w:val="005D6216"/>
    <w:rsid w:val="005E1B79"/>
    <w:rsid w:val="005F026D"/>
    <w:rsid w:val="005F2D0B"/>
    <w:rsid w:val="005F4B31"/>
    <w:rsid w:val="005F5ADF"/>
    <w:rsid w:val="005F6250"/>
    <w:rsid w:val="00610388"/>
    <w:rsid w:val="00612CA5"/>
    <w:rsid w:val="0061427F"/>
    <w:rsid w:val="006153EC"/>
    <w:rsid w:val="006159F3"/>
    <w:rsid w:val="006203B6"/>
    <w:rsid w:val="00621A17"/>
    <w:rsid w:val="00627CC9"/>
    <w:rsid w:val="00627E7B"/>
    <w:rsid w:val="00630542"/>
    <w:rsid w:val="00632E44"/>
    <w:rsid w:val="00634622"/>
    <w:rsid w:val="00636110"/>
    <w:rsid w:val="00636808"/>
    <w:rsid w:val="00641515"/>
    <w:rsid w:val="00654C2F"/>
    <w:rsid w:val="00657087"/>
    <w:rsid w:val="00677AEB"/>
    <w:rsid w:val="00687A1D"/>
    <w:rsid w:val="0069100E"/>
    <w:rsid w:val="006973EE"/>
    <w:rsid w:val="00697EA1"/>
    <w:rsid w:val="006A2646"/>
    <w:rsid w:val="006A6530"/>
    <w:rsid w:val="006A6FBB"/>
    <w:rsid w:val="006B1CA2"/>
    <w:rsid w:val="006B435A"/>
    <w:rsid w:val="006B4C64"/>
    <w:rsid w:val="006D01C2"/>
    <w:rsid w:val="006E481A"/>
    <w:rsid w:val="006E5298"/>
    <w:rsid w:val="006F501E"/>
    <w:rsid w:val="006F734A"/>
    <w:rsid w:val="00700D83"/>
    <w:rsid w:val="007074E9"/>
    <w:rsid w:val="00713DA4"/>
    <w:rsid w:val="00714BF1"/>
    <w:rsid w:val="00721383"/>
    <w:rsid w:val="00724766"/>
    <w:rsid w:val="007333CC"/>
    <w:rsid w:val="0073399A"/>
    <w:rsid w:val="0073459E"/>
    <w:rsid w:val="007603F5"/>
    <w:rsid w:val="00764DB0"/>
    <w:rsid w:val="0076764D"/>
    <w:rsid w:val="00773496"/>
    <w:rsid w:val="0077498C"/>
    <w:rsid w:val="00784128"/>
    <w:rsid w:val="00793173"/>
    <w:rsid w:val="007C1459"/>
    <w:rsid w:val="007C1FCC"/>
    <w:rsid w:val="007C6201"/>
    <w:rsid w:val="007C6DC1"/>
    <w:rsid w:val="007D0A10"/>
    <w:rsid w:val="007D7C92"/>
    <w:rsid w:val="007E1154"/>
    <w:rsid w:val="007F3E44"/>
    <w:rsid w:val="007F41F8"/>
    <w:rsid w:val="007F45F1"/>
    <w:rsid w:val="008031A7"/>
    <w:rsid w:val="0080454E"/>
    <w:rsid w:val="00804C32"/>
    <w:rsid w:val="00806138"/>
    <w:rsid w:val="00806302"/>
    <w:rsid w:val="00807119"/>
    <w:rsid w:val="008115FE"/>
    <w:rsid w:val="00822F97"/>
    <w:rsid w:val="0082483F"/>
    <w:rsid w:val="008279C0"/>
    <w:rsid w:val="00827D56"/>
    <w:rsid w:val="00856777"/>
    <w:rsid w:val="00860204"/>
    <w:rsid w:val="008723F3"/>
    <w:rsid w:val="00875FCA"/>
    <w:rsid w:val="00881DE6"/>
    <w:rsid w:val="008837A6"/>
    <w:rsid w:val="0089145D"/>
    <w:rsid w:val="00892626"/>
    <w:rsid w:val="008A6CFE"/>
    <w:rsid w:val="008B11C8"/>
    <w:rsid w:val="008B5333"/>
    <w:rsid w:val="008B6223"/>
    <w:rsid w:val="008C66E0"/>
    <w:rsid w:val="008E3339"/>
    <w:rsid w:val="008F20FC"/>
    <w:rsid w:val="008F5EE9"/>
    <w:rsid w:val="008F6301"/>
    <w:rsid w:val="00905A43"/>
    <w:rsid w:val="00907E3A"/>
    <w:rsid w:val="00912C79"/>
    <w:rsid w:val="00921473"/>
    <w:rsid w:val="00936F03"/>
    <w:rsid w:val="00942123"/>
    <w:rsid w:val="00951B2B"/>
    <w:rsid w:val="00951B68"/>
    <w:rsid w:val="0095207B"/>
    <w:rsid w:val="00955AF1"/>
    <w:rsid w:val="009560A3"/>
    <w:rsid w:val="00962045"/>
    <w:rsid w:val="009634F4"/>
    <w:rsid w:val="00972EE3"/>
    <w:rsid w:val="00991428"/>
    <w:rsid w:val="00992676"/>
    <w:rsid w:val="00994993"/>
    <w:rsid w:val="009B0723"/>
    <w:rsid w:val="009B07AD"/>
    <w:rsid w:val="009B0883"/>
    <w:rsid w:val="009B15E2"/>
    <w:rsid w:val="009C0B8E"/>
    <w:rsid w:val="009C1BC8"/>
    <w:rsid w:val="009C2442"/>
    <w:rsid w:val="009D0811"/>
    <w:rsid w:val="009D0EE1"/>
    <w:rsid w:val="009E1027"/>
    <w:rsid w:val="009E2AEB"/>
    <w:rsid w:val="009E2E27"/>
    <w:rsid w:val="009E4877"/>
    <w:rsid w:val="009E4DE3"/>
    <w:rsid w:val="00A005FC"/>
    <w:rsid w:val="00A047EE"/>
    <w:rsid w:val="00A2274A"/>
    <w:rsid w:val="00A235B7"/>
    <w:rsid w:val="00A3432B"/>
    <w:rsid w:val="00A407EF"/>
    <w:rsid w:val="00A458BE"/>
    <w:rsid w:val="00A46B4C"/>
    <w:rsid w:val="00A5117B"/>
    <w:rsid w:val="00A53968"/>
    <w:rsid w:val="00A54909"/>
    <w:rsid w:val="00A55832"/>
    <w:rsid w:val="00A60074"/>
    <w:rsid w:val="00A64FA9"/>
    <w:rsid w:val="00A6627C"/>
    <w:rsid w:val="00A71019"/>
    <w:rsid w:val="00A81029"/>
    <w:rsid w:val="00A83A2F"/>
    <w:rsid w:val="00A96489"/>
    <w:rsid w:val="00A97725"/>
    <w:rsid w:val="00AA33E9"/>
    <w:rsid w:val="00AB685C"/>
    <w:rsid w:val="00AB6C2D"/>
    <w:rsid w:val="00AB74D0"/>
    <w:rsid w:val="00AC3839"/>
    <w:rsid w:val="00AC7082"/>
    <w:rsid w:val="00AD6A7D"/>
    <w:rsid w:val="00AF0360"/>
    <w:rsid w:val="00AF228E"/>
    <w:rsid w:val="00B14819"/>
    <w:rsid w:val="00B17AA9"/>
    <w:rsid w:val="00B72AE1"/>
    <w:rsid w:val="00B736DF"/>
    <w:rsid w:val="00B74FBD"/>
    <w:rsid w:val="00B82586"/>
    <w:rsid w:val="00B86DB1"/>
    <w:rsid w:val="00B87869"/>
    <w:rsid w:val="00BA5788"/>
    <w:rsid w:val="00BB0F2B"/>
    <w:rsid w:val="00BB1136"/>
    <w:rsid w:val="00BD1EA8"/>
    <w:rsid w:val="00BD6349"/>
    <w:rsid w:val="00BF1C6F"/>
    <w:rsid w:val="00BF50F7"/>
    <w:rsid w:val="00C0203F"/>
    <w:rsid w:val="00C02F29"/>
    <w:rsid w:val="00C053F7"/>
    <w:rsid w:val="00C072FE"/>
    <w:rsid w:val="00C102B6"/>
    <w:rsid w:val="00C10FAB"/>
    <w:rsid w:val="00C22A25"/>
    <w:rsid w:val="00C24DB8"/>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4E93"/>
    <w:rsid w:val="00CB7CAC"/>
    <w:rsid w:val="00CC5335"/>
    <w:rsid w:val="00CC5BA4"/>
    <w:rsid w:val="00CD4998"/>
    <w:rsid w:val="00CE1035"/>
    <w:rsid w:val="00CF2819"/>
    <w:rsid w:val="00CF4F9D"/>
    <w:rsid w:val="00CF70DC"/>
    <w:rsid w:val="00D04B33"/>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45DEF"/>
    <w:rsid w:val="00E506BE"/>
    <w:rsid w:val="00E55547"/>
    <w:rsid w:val="00E6302B"/>
    <w:rsid w:val="00E6452F"/>
    <w:rsid w:val="00E64F45"/>
    <w:rsid w:val="00E6742D"/>
    <w:rsid w:val="00E71CB0"/>
    <w:rsid w:val="00E77C3D"/>
    <w:rsid w:val="00E80757"/>
    <w:rsid w:val="00E909F0"/>
    <w:rsid w:val="00E93993"/>
    <w:rsid w:val="00EA0913"/>
    <w:rsid w:val="00EB08DB"/>
    <w:rsid w:val="00EB45AC"/>
    <w:rsid w:val="00ED0433"/>
    <w:rsid w:val="00ED0BC4"/>
    <w:rsid w:val="00ED6953"/>
    <w:rsid w:val="00EE4971"/>
    <w:rsid w:val="00EE744D"/>
    <w:rsid w:val="00EF090E"/>
    <w:rsid w:val="00EF2C3F"/>
    <w:rsid w:val="00F033DA"/>
    <w:rsid w:val="00F033E9"/>
    <w:rsid w:val="00F23AF6"/>
    <w:rsid w:val="00F27CD8"/>
    <w:rsid w:val="00F30351"/>
    <w:rsid w:val="00F3323E"/>
    <w:rsid w:val="00F341F4"/>
    <w:rsid w:val="00F35CCE"/>
    <w:rsid w:val="00F372C5"/>
    <w:rsid w:val="00F44220"/>
    <w:rsid w:val="00F5524B"/>
    <w:rsid w:val="00F6148C"/>
    <w:rsid w:val="00F61DD2"/>
    <w:rsid w:val="00F66AFF"/>
    <w:rsid w:val="00F71433"/>
    <w:rsid w:val="00F7407F"/>
    <w:rsid w:val="00F81DA0"/>
    <w:rsid w:val="00F97C5B"/>
    <w:rsid w:val="00FA3D50"/>
    <w:rsid w:val="00FA3D5F"/>
    <w:rsid w:val="00FC374A"/>
    <w:rsid w:val="00FC7B47"/>
    <w:rsid w:val="00FD035C"/>
    <w:rsid w:val="00FD1A35"/>
    <w:rsid w:val="00FD36C5"/>
    <w:rsid w:val="00FD6178"/>
    <w:rsid w:val="00FD6310"/>
    <w:rsid w:val="00FD7C7B"/>
    <w:rsid w:val="00FE1D12"/>
    <w:rsid w:val="00FE2122"/>
    <w:rsid w:val="00FE2A86"/>
    <w:rsid w:val="00FF296F"/>
    <w:rsid w:val="00FF4CF6"/>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7C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citral.org/pdf/english/texts/general/Register" TargetMode="External"/><Relationship Id="rId2" Type="http://schemas.openxmlformats.org/officeDocument/2006/relationships/hyperlink" Target="https://www.mof.gov.ae/en/lawsAndPolitics/financial-banking-sector/Bankrutcy/pages/Laws" TargetMode="External"/><Relationship Id="rId1" Type="http://schemas.openxmlformats.org/officeDocument/2006/relationships/hyperlink" Target="https://www.mof.gov.ae/en/lawsAndPolitics/financial-banking-sector/Bankrutcy/pages/Law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Chipo Gaobatwe</cp:lastModifiedBy>
  <cp:revision>2</cp:revision>
  <cp:lastPrinted>2022-10-15T14:18:00Z</cp:lastPrinted>
  <dcterms:created xsi:type="dcterms:W3CDTF">2022-10-15T15:47:00Z</dcterms:created>
  <dcterms:modified xsi:type="dcterms:W3CDTF">2022-10-15T15:47:00Z</dcterms:modified>
</cp:coreProperties>
</file>