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493784" w:rsidRDefault="00B736DF" w:rsidP="009E1027">
      <w:pPr>
        <w:pStyle w:val="ListParagraph"/>
        <w:numPr>
          <w:ilvl w:val="0"/>
          <w:numId w:val="12"/>
        </w:numPr>
        <w:ind w:left="426"/>
        <w:jc w:val="both"/>
        <w:rPr>
          <w:rFonts w:ascii="Avenir Next" w:hAnsi="Avenir Next" w:cs="Arial"/>
          <w:sz w:val="22"/>
          <w:szCs w:val="22"/>
          <w:highlight w:val="yellow"/>
          <w:lang w:val="en-GB"/>
        </w:rPr>
      </w:pPr>
      <w:r w:rsidRPr="00493784">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493784" w:rsidRDefault="00161F1B" w:rsidP="009E1027">
      <w:pPr>
        <w:pStyle w:val="ListParagraph"/>
        <w:numPr>
          <w:ilvl w:val="0"/>
          <w:numId w:val="13"/>
        </w:numPr>
        <w:ind w:left="426"/>
        <w:jc w:val="both"/>
        <w:rPr>
          <w:rFonts w:ascii="Avenir Next" w:hAnsi="Avenir Next" w:cs="Arial"/>
          <w:sz w:val="22"/>
          <w:szCs w:val="22"/>
          <w:highlight w:val="yellow"/>
          <w:lang w:val="en-GB"/>
        </w:rPr>
      </w:pPr>
      <w:r w:rsidRPr="00493784">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93784" w:rsidRDefault="009E2E27" w:rsidP="008031A7">
      <w:pPr>
        <w:pStyle w:val="ListParagraph"/>
        <w:numPr>
          <w:ilvl w:val="0"/>
          <w:numId w:val="14"/>
        </w:numPr>
        <w:ind w:left="426"/>
        <w:jc w:val="both"/>
        <w:rPr>
          <w:rFonts w:ascii="Avenir Next" w:hAnsi="Avenir Next" w:cs="Arial"/>
          <w:sz w:val="22"/>
          <w:szCs w:val="22"/>
          <w:highlight w:val="yellow"/>
          <w:lang w:val="en-GB"/>
        </w:rPr>
      </w:pPr>
      <w:r w:rsidRPr="00493784">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493784" w:rsidRDefault="009E2E27" w:rsidP="008031A7">
      <w:pPr>
        <w:pStyle w:val="ListParagraph"/>
        <w:numPr>
          <w:ilvl w:val="0"/>
          <w:numId w:val="15"/>
        </w:numPr>
        <w:ind w:left="426"/>
        <w:jc w:val="both"/>
        <w:rPr>
          <w:rFonts w:ascii="Avenir Next" w:hAnsi="Avenir Next" w:cs="Arial"/>
          <w:sz w:val="22"/>
          <w:szCs w:val="22"/>
          <w:highlight w:val="yellow"/>
          <w:lang w:val="en-GB"/>
        </w:rPr>
      </w:pPr>
      <w:r w:rsidRPr="00493784">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BC15BA" w:rsidRDefault="00A235B7" w:rsidP="006D01C2">
      <w:pPr>
        <w:pStyle w:val="ListParagraph"/>
        <w:numPr>
          <w:ilvl w:val="0"/>
          <w:numId w:val="16"/>
        </w:numPr>
        <w:ind w:left="426"/>
        <w:jc w:val="both"/>
        <w:rPr>
          <w:rFonts w:ascii="Avenir Next" w:hAnsi="Avenir Next" w:cs="Arial"/>
          <w:sz w:val="22"/>
          <w:szCs w:val="22"/>
          <w:highlight w:val="yellow"/>
          <w:lang w:val="en-GB"/>
        </w:rPr>
      </w:pPr>
      <w:r w:rsidRPr="00BC15BA">
        <w:rPr>
          <w:rFonts w:ascii="Avenir Next" w:hAnsi="Avenir Next" w:cs="Arial"/>
          <w:sz w:val="22"/>
          <w:szCs w:val="22"/>
          <w:highlight w:val="yellow"/>
          <w:lang w:val="en-GB"/>
        </w:rPr>
        <w:t>The statement</w:t>
      </w:r>
      <w:r w:rsidR="0037465A" w:rsidRPr="00BC15BA">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BC15BA"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BC15BA">
        <w:rPr>
          <w:rFonts w:ascii="Avenir Next" w:eastAsiaTheme="minorHAnsi" w:hAnsi="Avenir Next" w:cs="Arial"/>
          <w:sz w:val="22"/>
          <w:szCs w:val="22"/>
          <w:highlight w:val="yellow"/>
          <w:lang w:val="en-GB"/>
        </w:rPr>
        <w:t>Public International Law</w:t>
      </w:r>
      <w:r w:rsidR="00991428" w:rsidRPr="00BC15BA">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BC15BA"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BC15BA">
        <w:rPr>
          <w:rFonts w:ascii="Avenir Next" w:eastAsiaTheme="minorHAnsi" w:hAnsi="Avenir Next" w:cs="Arial"/>
          <w:sz w:val="22"/>
          <w:szCs w:val="22"/>
          <w:lang w:val="en-GB"/>
        </w:rPr>
        <w:t>Private International Law</w:t>
      </w:r>
      <w:r w:rsidR="00991428" w:rsidRPr="00BC15BA">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5E4949" w:rsidRDefault="004D1A5A" w:rsidP="006D01C2">
      <w:pPr>
        <w:pStyle w:val="ListParagraph"/>
        <w:numPr>
          <w:ilvl w:val="0"/>
          <w:numId w:val="18"/>
        </w:numPr>
        <w:ind w:left="426"/>
        <w:jc w:val="both"/>
        <w:rPr>
          <w:rFonts w:ascii="Avenir Next" w:hAnsi="Avenir Next" w:cs="Arial"/>
          <w:sz w:val="22"/>
          <w:szCs w:val="22"/>
          <w:highlight w:val="yellow"/>
          <w:lang w:val="en-GB"/>
        </w:rPr>
      </w:pPr>
      <w:r w:rsidRPr="005E4949">
        <w:rPr>
          <w:rFonts w:ascii="Avenir Next" w:hAnsi="Avenir Next" w:cs="Arial"/>
          <w:sz w:val="22"/>
          <w:szCs w:val="22"/>
          <w:highlight w:val="yellow"/>
          <w:lang w:val="en-GB"/>
        </w:rPr>
        <w:t>UNCITRAL Model Law on Cross-border Insolvency (1997)</w:t>
      </w:r>
      <w:r w:rsidR="00912C79" w:rsidRPr="005E4949">
        <w:rPr>
          <w:rFonts w:ascii="Avenir Next" w:hAnsi="Avenir Next" w:cs="Arial"/>
          <w:sz w:val="22"/>
          <w:szCs w:val="22"/>
          <w:highlight w:val="yellow"/>
          <w:lang w:val="en-GB"/>
        </w:rPr>
        <w:t>.</w:t>
      </w:r>
      <w:r w:rsidRPr="005E4949">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5E4949"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5E4949">
        <w:rPr>
          <w:rFonts w:ascii="Avenir Next" w:hAnsi="Avenir Next" w:cs="Arial"/>
          <w:sz w:val="22"/>
          <w:szCs w:val="22"/>
          <w:highlight w:val="yellow"/>
          <w:lang w:val="en-GB"/>
        </w:rPr>
        <w:t>Havana Convention on Private International Law (1928)</w:t>
      </w:r>
      <w:r w:rsidRPr="005E4949">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C22D99" w:rsidRDefault="0082483F" w:rsidP="006D01C2">
      <w:pPr>
        <w:pStyle w:val="ListParagraph"/>
        <w:numPr>
          <w:ilvl w:val="0"/>
          <w:numId w:val="20"/>
        </w:numPr>
        <w:ind w:left="426"/>
        <w:jc w:val="both"/>
        <w:rPr>
          <w:rFonts w:ascii="Avenir Next" w:hAnsi="Avenir Next" w:cs="Arial"/>
          <w:sz w:val="22"/>
          <w:szCs w:val="22"/>
          <w:highlight w:val="yellow"/>
          <w:lang w:val="en-GB"/>
        </w:rPr>
      </w:pPr>
      <w:r w:rsidRPr="00C22D99">
        <w:rPr>
          <w:rFonts w:ascii="Avenir Next" w:hAnsi="Avenir Next" w:cs="Arial"/>
          <w:sz w:val="22"/>
          <w:szCs w:val="22"/>
          <w:highlight w:val="yellow"/>
          <w:lang w:val="en-GB"/>
        </w:rPr>
        <w:t>A centralised insolvency register of insolvency proceedings opened in member states</w:t>
      </w:r>
      <w:r w:rsidR="003A2F8D" w:rsidRPr="00C22D99">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A03160">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EA50632" w:rsidR="009B07AD" w:rsidRPr="00827D56" w:rsidRDefault="00B04EC4"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is a body of laws, comprised of both hard and soft laws, meant to address instances in which an insolvency proceeding transcends national borders. International insolvency law is inherently limited because it cannot be enforced directly, but rather must be adopted into the domestic laws of each state in order to be enforceable.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359D84C2" w:rsidR="009B07AD" w:rsidRDefault="00B04EC4"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 relies on the idea that a Debtor’s insolvency and attendant legal issues should be addressed by a single proceeding that governs all disputes, assets, and liabilities, regardless of their location. Some suggest that this can be achieved through the universal adoption of a single body of insolvency law, while others suggest that foreign states should adopt and enforce the result of</w:t>
      </w:r>
      <w:r w:rsidR="005977F7">
        <w:rPr>
          <w:rFonts w:ascii="Avenir Next" w:hAnsi="Avenir Next" w:cs="Arial"/>
          <w:color w:val="7B7B7B" w:themeColor="accent3" w:themeShade="BF"/>
          <w:sz w:val="22"/>
          <w:szCs w:val="22"/>
          <w:lang w:val="en-GB"/>
        </w:rPr>
        <w:t xml:space="preserve"> the single proceeding governed by the domestic law of the jurisdiction where the proceeding occurred. </w:t>
      </w:r>
    </w:p>
    <w:p w14:paraId="76FACF61" w14:textId="21BF6AED" w:rsidR="005977F7" w:rsidRDefault="005977F7"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Conversely, territoriality relies of the idea that the effect of a proceeding should not reach beyond its borders and rather than establishing one insolvency proceeding, a new proceeding should be initiated in every relevant jurisdiction where domestic law will govern the asset or liability contained within that state’s borders. </w:t>
      </w:r>
    </w:p>
    <w:p w14:paraId="4775C9E8" w14:textId="1CD711DD" w:rsidR="005977F7" w:rsidRPr="00827D56" w:rsidRDefault="005977F7"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Less strict variations of each concept exist. For example, modified universalism relies on the idea that, rather than a single proceeding, a primary proceeding would be opened with secondary proceedings in foreign jurisdictions supporting the work of the primary proceeding.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718C753" w14:textId="77777777" w:rsidR="00935B85" w:rsidRDefault="0030233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Recently, the Model Law on Cross-Border Insolvency (MBCLI) was adopted in Bahrain and Dubai. Such model law is intended to foster cross-border cooperation in insolvency proceedings. </w:t>
      </w:r>
    </w:p>
    <w:p w14:paraId="0C88300C" w14:textId="77777777" w:rsidR="001A3928" w:rsidRDefault="0030233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 developments have transpired in the UAE, </w:t>
      </w:r>
      <w:r w:rsidR="001A3928">
        <w:rPr>
          <w:rFonts w:ascii="Avenir Next" w:hAnsi="Avenir Next" w:cs="Arial"/>
          <w:color w:val="7B7B7B" w:themeColor="accent3" w:themeShade="BF"/>
          <w:sz w:val="22"/>
          <w:szCs w:val="22"/>
          <w:lang w:val="en-GB"/>
        </w:rPr>
        <w:t xml:space="preserve">specifically a new insolvency system that applies to individuals, which became effective in late 2019. Baker McKenzie, “The New Insolvency Regime in the UAW” </w:t>
      </w:r>
      <w:hyperlink r:id="rId9" w:history="1">
        <w:r w:rsidR="001A3928" w:rsidRPr="00057787">
          <w:rPr>
            <w:rStyle w:val="Hyperlink"/>
            <w:rFonts w:ascii="Avenir Next" w:hAnsi="Avenir Next" w:cs="Arial"/>
            <w:sz w:val="22"/>
            <w:szCs w:val="22"/>
            <w:lang w:val="en-GB"/>
          </w:rPr>
          <w:t>https://www.bakermckenzie.com/en//-/media/images/insight/publications/2020/02/the_new_insolvency_regime_in_the_uae.pdf</w:t>
        </w:r>
      </w:hyperlink>
      <w:r w:rsidR="001A3928">
        <w:rPr>
          <w:rFonts w:ascii="Avenir Next" w:hAnsi="Avenir Next" w:cs="Arial"/>
          <w:color w:val="7B7B7B" w:themeColor="accent3" w:themeShade="BF"/>
          <w:sz w:val="22"/>
          <w:szCs w:val="22"/>
          <w:lang w:val="en-GB"/>
        </w:rPr>
        <w:t xml:space="preserve"> (Accessed 13 October, 2022). </w:t>
      </w:r>
    </w:p>
    <w:p w14:paraId="78DB9FD8" w14:textId="7D3244D9" w:rsidR="00C72848" w:rsidRDefault="001A3928"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and in response to Covid19, the UAE further amended their insolvency laws to provide for protections in emergency situations to facilitate consensual restructurings. Freshfields Bruckhaus Deringer, “Restructuring in the Middle East: developments in the UAW and KSA” </w:t>
      </w:r>
      <w:hyperlink r:id="rId10" w:history="1">
        <w:r w:rsidRPr="00057787">
          <w:rPr>
            <w:rStyle w:val="Hyperlink"/>
            <w:rFonts w:ascii="Avenir Next" w:hAnsi="Avenir Next" w:cs="Arial"/>
            <w:sz w:val="22"/>
            <w:szCs w:val="22"/>
            <w:lang w:val="en-GB"/>
          </w:rPr>
          <w:t>https://transactions.freshfields.com/post/102h5y2/restructuring-in-the-middle-east-developments-in-the-uae-and-ksa</w:t>
        </w:r>
      </w:hyperlink>
      <w:r>
        <w:rPr>
          <w:rFonts w:ascii="Avenir Next" w:hAnsi="Avenir Next" w:cs="Arial"/>
          <w:color w:val="7B7B7B" w:themeColor="accent3" w:themeShade="BF"/>
          <w:sz w:val="22"/>
          <w:szCs w:val="22"/>
          <w:lang w:val="en-GB"/>
        </w:rPr>
        <w:t xml:space="preserve"> (Accessed 13, October 2022) </w:t>
      </w:r>
    </w:p>
    <w:p w14:paraId="45570920" w14:textId="77777777" w:rsidR="001A3928" w:rsidRPr="00827D56" w:rsidRDefault="001A3928" w:rsidP="00C053F7">
      <w:pPr>
        <w:ind w:left="720" w:hanging="720"/>
        <w:jc w:val="both"/>
        <w:rPr>
          <w:rFonts w:ascii="Avenir Next" w:hAnsi="Avenir Next" w:cs="Arial"/>
          <w:sz w:val="22"/>
          <w:szCs w:val="22"/>
          <w:lang w:val="en-GB"/>
        </w:rPr>
      </w:pPr>
    </w:p>
    <w:p w14:paraId="608DD0BD" w14:textId="53A95707" w:rsidR="00286AE6" w:rsidRPr="00827D56" w:rsidRDefault="00286AE6">
      <w:pPr>
        <w:rPr>
          <w:rFonts w:ascii="Avenir Next" w:hAnsi="Avenir Next" w:cs="Arial"/>
          <w:b/>
          <w:sz w:val="22"/>
          <w:szCs w:val="22"/>
          <w:lang w:val="en-GB"/>
        </w:rPr>
      </w:pP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008E32AF" w14:textId="62A1A869" w:rsidR="00F53F49" w:rsidRPr="00F53F49" w:rsidRDefault="00146B59" w:rsidP="00F53F49">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Individual insolvency focuses on the protection of the individual debtor and ensuring their fresh start. Conversely, corporate insolvency focuses</w:t>
      </w:r>
      <w:r w:rsidR="00F53F49">
        <w:rPr>
          <w:rFonts w:ascii="Avenir Next" w:hAnsi="Avenir Next" w:cs="Arial"/>
          <w:color w:val="7B7B7B" w:themeColor="accent3" w:themeShade="BF"/>
          <w:sz w:val="22"/>
          <w:szCs w:val="22"/>
          <w:lang w:val="en-GB"/>
        </w:rPr>
        <w:t xml:space="preserve"> on rescuing viable portions of the business, but does not necessarily value the continued operation of the business itself. </w:t>
      </w:r>
      <w:r w:rsidR="0007225B">
        <w:rPr>
          <w:rFonts w:ascii="Avenir Next" w:hAnsi="Avenir Next" w:cs="Arial"/>
          <w:color w:val="7B7B7B" w:themeColor="accent3" w:themeShade="BF"/>
          <w:sz w:val="22"/>
          <w:szCs w:val="22"/>
          <w:lang w:val="en-GB"/>
        </w:rPr>
        <w:t xml:space="preserve">Corporate rescue also does not focus on protection of the officers or directors. </w:t>
      </w:r>
      <w:r w:rsidR="00F53F49">
        <w:rPr>
          <w:rFonts w:ascii="Avenir Next" w:hAnsi="Avenir Next" w:cs="Arial"/>
          <w:color w:val="7B7B7B" w:themeColor="accent3" w:themeShade="BF"/>
          <w:sz w:val="22"/>
          <w:szCs w:val="22"/>
          <w:lang w:val="en-GB"/>
        </w:rPr>
        <w:t xml:space="preserve">While an individual debtor’s circumstances, especially circumstances reducing their culpability, may be taken into account in directing the insolvency proceeding, corporate insolvency may have a specific objective of imposing blame on misbehaving officers or directors, depending on the circumstances. Finally, in support of the objective of protecting an individual debtor and ensuring they receive a fresh start, individual insolvency proceedings will remove or exempt certain needed assets from the insolvency estate, such as a home or retirement savings. In corporate insolvency, there is no notion of exempt assets. </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3DAA6780" w14:textId="6F94631A" w:rsidR="00962045" w:rsidRDefault="00962045" w:rsidP="00C053F7">
      <w:pPr>
        <w:jc w:val="both"/>
        <w:rPr>
          <w:rFonts w:ascii="Avenir Next" w:hAnsi="Avenir Next" w:cs="Arial"/>
          <w:sz w:val="22"/>
          <w:szCs w:val="22"/>
          <w:lang w:val="en-GB"/>
        </w:rPr>
      </w:pPr>
    </w:p>
    <w:p w14:paraId="2AAADFA5" w14:textId="550477F8" w:rsidR="00650055" w:rsidRPr="00827D56" w:rsidRDefault="00650055" w:rsidP="00C053F7">
      <w:pPr>
        <w:jc w:val="both"/>
        <w:rPr>
          <w:rFonts w:ascii="Avenir Next" w:hAnsi="Avenir Next" w:cs="Arial"/>
          <w:sz w:val="22"/>
          <w:szCs w:val="22"/>
          <w:shd w:val="clear" w:color="auto" w:fill="FFFFFF"/>
          <w:lang w:val="en-GB"/>
        </w:rPr>
      </w:pPr>
      <w:r>
        <w:rPr>
          <w:rFonts w:ascii="Avenir Next" w:hAnsi="Avenir Next" w:cs="Arial"/>
          <w:sz w:val="22"/>
          <w:szCs w:val="22"/>
          <w:lang w:val="en-GB"/>
        </w:rPr>
        <w:t xml:space="preserve">Dealing with insolvency law in a cross-border context may be challenging because each domestic system has its own values, goals, and definitions. At the most basic level, the definition of what it means to be insolvent may differ. For example, balance sheet insolvency may qualify a debtor for relief </w:t>
      </w:r>
      <w:r>
        <w:rPr>
          <w:rFonts w:ascii="Avenir Next" w:hAnsi="Avenir Next" w:cs="Arial"/>
          <w:sz w:val="22"/>
          <w:szCs w:val="22"/>
          <w:lang w:val="en-GB"/>
        </w:rPr>
        <w:lastRenderedPageBreak/>
        <w:t xml:space="preserve">in one county, while simple cash flow insolvency may be enough in another jurisdiction. This would be particularly difficult where the potential debtor was insolvent under one definition and not the other. Furthermore, different insolvency systems may have different goals and values – for example, some countries have an insolvency system that is very pro-debtor, with a broad and sweeping discharge, while others may be more pro-creditor. Another example may be how different creditor rights are treated, such as the rights of employees or a secured creditor. </w:t>
      </w:r>
      <w:r w:rsidR="00542019">
        <w:rPr>
          <w:rFonts w:ascii="Avenir Next" w:hAnsi="Avenir Next" w:cs="Arial"/>
          <w:sz w:val="22"/>
          <w:szCs w:val="22"/>
          <w:lang w:val="en-GB"/>
        </w:rPr>
        <w:t>Furthermore, actions available to the estate, such as the ability to avoid certain transfers, may vary between jurisdictions. Finally, the ability or desire of the domestic courts to collaborate, cooperate, and recognize the validity of each other’s judgments may vary</w:t>
      </w:r>
      <w:r w:rsidR="0037752A">
        <w:rPr>
          <w:rFonts w:ascii="Avenir Next" w:hAnsi="Avenir Next" w:cs="Arial"/>
          <w:sz w:val="22"/>
          <w:szCs w:val="22"/>
          <w:lang w:val="en-GB"/>
        </w:rPr>
        <w:t xml:space="preserve">, making cross-border insolvency quite unpredictable in some contexts. </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6844717C" w:rsidR="00DF75F8" w:rsidRDefault="0013264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early 21</w:t>
      </w:r>
      <w:r w:rsidRPr="00132646">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UNCITRAL’s </w:t>
      </w:r>
      <w:r>
        <w:rPr>
          <w:rFonts w:ascii="Avenir Next" w:hAnsi="Avenir Next" w:cs="Arial"/>
          <w:i/>
          <w:iCs/>
          <w:color w:val="7B7B7B" w:themeColor="accent3" w:themeShade="BF"/>
          <w:sz w:val="22"/>
          <w:szCs w:val="22"/>
          <w:lang w:val="en-GB"/>
        </w:rPr>
        <w:t>Legislative Guide on Insolvency Law</w:t>
      </w:r>
      <w:r>
        <w:rPr>
          <w:rFonts w:ascii="Avenir Next" w:hAnsi="Avenir Next" w:cs="Arial"/>
          <w:color w:val="7B7B7B" w:themeColor="accent3" w:themeShade="BF"/>
          <w:sz w:val="22"/>
          <w:szCs w:val="22"/>
          <w:lang w:val="en-GB"/>
        </w:rPr>
        <w:t xml:space="preserve"> was prepared and released in order to guide international legislatures to adopt best practices in their domestic insolvency laws and create more uniformity across varying domestic insolvency laws. The </w:t>
      </w:r>
      <w:r>
        <w:rPr>
          <w:rFonts w:ascii="Avenir Next" w:hAnsi="Avenir Next" w:cs="Arial"/>
          <w:i/>
          <w:iCs/>
          <w:color w:val="7B7B7B" w:themeColor="accent3" w:themeShade="BF"/>
          <w:sz w:val="22"/>
          <w:szCs w:val="22"/>
          <w:lang w:val="en-GB"/>
        </w:rPr>
        <w:t>Legislative Guide</w:t>
      </w:r>
      <w:r>
        <w:rPr>
          <w:rFonts w:ascii="Avenir Next" w:hAnsi="Avenir Next" w:cs="Arial"/>
          <w:color w:val="7B7B7B" w:themeColor="accent3" w:themeShade="BF"/>
          <w:sz w:val="22"/>
          <w:szCs w:val="22"/>
          <w:lang w:val="en-GB"/>
        </w:rPr>
        <w:t xml:space="preserve"> has been a prolific resource for insolvency practitioners and legislatures. The World Bank also promulgated guidelines for insolvency laws, outlining best practices. The European Commission has similarly identified areas for increased harmonisation amongst the countries of the European Union. </w:t>
      </w:r>
    </w:p>
    <w:p w14:paraId="24C29FB4" w14:textId="59758751" w:rsidR="00132646" w:rsidRDefault="00132646" w:rsidP="00C053F7">
      <w:pPr>
        <w:jc w:val="both"/>
        <w:rPr>
          <w:rFonts w:ascii="Avenir Next" w:hAnsi="Avenir Next" w:cs="Arial"/>
          <w:color w:val="7B7B7B" w:themeColor="accent3" w:themeShade="BF"/>
          <w:sz w:val="22"/>
          <w:szCs w:val="22"/>
          <w:lang w:val="en-GB"/>
        </w:rPr>
      </w:pPr>
    </w:p>
    <w:p w14:paraId="4AE7EA78" w14:textId="6A940C48" w:rsidR="007D7C92" w:rsidRPr="00827D56" w:rsidRDefault="00132646" w:rsidP="00132646">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my opinion, I believe that these guides and suggestions for best practices will primarily increase harmonisation across countries that either (a) lack existing insolvency law, or (b) are governed by an overarching supranational body, like the European Union. I think this is the most likely outcome because countries with existing insolvency regimes, which may be based on entirely differing principles and historical roots, will be unmotivated to overhaul their insolvency regimes absent additional motivating circumstances, like the common governance of the EU or the possibility of economic investment from more developed countries. Additionally, because insolvency regimes often reflect national values (for example – France’s value for labour rights), I think individual value-shifts are unlikely absent additional motivation.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lastRenderedPageBreak/>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34D13F3F" w:rsidR="002F75A3" w:rsidRPr="00827D56" w:rsidRDefault="00987DB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Because the UNCITRAL Model Law on Cross-Border Insolvency was adopted in Utopia, the Utopian Court will be required to cooperation and communicate with both the foreign Court in Erewhon and the Erewhon Liquidator, as representative. For this reason, I would recommend to the Erewhon Liquidator that they approach Nadir and negotiate a Protocol for coordinating </w:t>
      </w:r>
      <w:r w:rsidR="00B70FAF">
        <w:rPr>
          <w:rFonts w:ascii="Avenir Next" w:hAnsi="Avenir Next" w:cs="Arial"/>
          <w:color w:val="7B7B7B" w:themeColor="accent3" w:themeShade="BF"/>
          <w:sz w:val="22"/>
          <w:szCs w:val="22"/>
          <w:lang w:val="en-GB"/>
        </w:rPr>
        <w:t>the insolvency case and collection case</w:t>
      </w:r>
      <w:r>
        <w:rPr>
          <w:rFonts w:ascii="Avenir Next" w:hAnsi="Avenir Next" w:cs="Arial"/>
          <w:color w:val="7B7B7B" w:themeColor="accent3" w:themeShade="BF"/>
          <w:sz w:val="22"/>
          <w:szCs w:val="22"/>
          <w:lang w:val="en-GB"/>
        </w:rPr>
        <w:t xml:space="preserve"> or staying the Utopian </w:t>
      </w:r>
      <w:r w:rsidR="00B70FAF">
        <w:rPr>
          <w:rFonts w:ascii="Avenir Next" w:hAnsi="Avenir Next" w:cs="Arial"/>
          <w:color w:val="7B7B7B" w:themeColor="accent3" w:themeShade="BF"/>
          <w:sz w:val="22"/>
          <w:szCs w:val="22"/>
          <w:lang w:val="en-GB"/>
        </w:rPr>
        <w:t>collection case</w:t>
      </w:r>
      <w:r>
        <w:rPr>
          <w:rFonts w:ascii="Avenir Next" w:hAnsi="Avenir Next" w:cs="Arial"/>
          <w:color w:val="7B7B7B" w:themeColor="accent3" w:themeShade="BF"/>
          <w:sz w:val="22"/>
          <w:szCs w:val="22"/>
          <w:lang w:val="en-GB"/>
        </w:rPr>
        <w:t xml:space="preserve">. </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26FA5C6" w14:textId="1D58D537" w:rsidR="002D3473" w:rsidRDefault="002D3473" w:rsidP="00B70FAF">
      <w:pPr>
        <w:autoSpaceDE w:val="0"/>
        <w:autoSpaceDN w:val="0"/>
        <w:adjustRightInd w:val="0"/>
        <w:spacing w:line="276" w:lineRule="auto"/>
        <w:jc w:val="both"/>
        <w:rPr>
          <w:rFonts w:ascii="Avenir Next" w:hAnsi="Avenir Next" w:cs="Arial"/>
          <w:sz w:val="22"/>
          <w:szCs w:val="22"/>
          <w:lang w:val="en-GB"/>
        </w:rPr>
      </w:pPr>
    </w:p>
    <w:p w14:paraId="73F8620A" w14:textId="047ABAEF" w:rsidR="00B70FAF" w:rsidRPr="00B70FAF" w:rsidRDefault="00B70FAF" w:rsidP="00B70FAF">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If the wind-up proceedings in Nadir had been filed, but the matter had not yet been heard, this would not affect my answer because no insolvency proceedings have been commenced in Utopia. </w:t>
      </w:r>
    </w:p>
    <w:p w14:paraId="1B5E2F08" w14:textId="4440F69D" w:rsidR="002D3473" w:rsidRDefault="002D3473" w:rsidP="00C053F7">
      <w:pPr>
        <w:autoSpaceDE w:val="0"/>
        <w:autoSpaceDN w:val="0"/>
        <w:adjustRightInd w:val="0"/>
        <w:spacing w:line="276" w:lineRule="auto"/>
        <w:jc w:val="both"/>
        <w:rPr>
          <w:rFonts w:ascii="Avenir Next" w:hAnsi="Avenir Next" w:cs="Arial"/>
          <w:sz w:val="22"/>
          <w:szCs w:val="22"/>
          <w:lang w:val="en-GB"/>
        </w:rPr>
      </w:pPr>
    </w:p>
    <w:p w14:paraId="0B41B2BD" w14:textId="0102C5D5" w:rsidR="00B70FAF" w:rsidRPr="00827D56" w:rsidRDefault="00B70FAF"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 xml:space="preserve">Assuming the Erewhon had similar laws requiring the coordination, communication, and cooperation with foreign courts, I would advise the Erewhon liquidator that the Utopian proceeding should be the primary proceeding and the Erewhon Liquidator should approach the Utopian court or liquidator about staying the Erewhon case or putting a Protocol in place. This is because, under the MLCBI approach, the Utopian case would better represent the centre of main interest for Nadir because it is registered in Utopia, has its principal place of business in Utopia, and </w:t>
      </w:r>
      <w:r w:rsidR="00BF0A79">
        <w:rPr>
          <w:rFonts w:ascii="Avenir Next" w:hAnsi="Avenir Next" w:cs="Arial"/>
          <w:sz w:val="22"/>
          <w:szCs w:val="22"/>
          <w:lang w:val="en-GB"/>
        </w:rPr>
        <w:t xml:space="preserve">has at least one creditor in Utopia. </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84B7650" w:rsidR="0077498C" w:rsidRDefault="00E824E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For the purposes of my answer, the country of incorporation is France. One key international insolvency issue facing the insolvency representative is the issue of executory contracts for labour/employment. Under French law, these contracts will be highly protected, whereas under laws that apply to other establishments of the debtor may not protect the contracts. Because France is a member of the EU, the European Insolvency Regulation (EIR) will assist the insolvency representative in selecting applicable law. </w:t>
      </w:r>
    </w:p>
    <w:p w14:paraId="0206D14E" w14:textId="5A9842B9" w:rsidR="00E824E8" w:rsidRDefault="00E824E8" w:rsidP="00C053F7">
      <w:pPr>
        <w:jc w:val="both"/>
        <w:rPr>
          <w:rFonts w:ascii="Avenir Next" w:hAnsi="Avenir Next" w:cs="Arial"/>
          <w:color w:val="7B7B7B" w:themeColor="accent3" w:themeShade="BF"/>
          <w:sz w:val="22"/>
          <w:szCs w:val="22"/>
          <w:lang w:val="en-GB"/>
        </w:rPr>
      </w:pPr>
    </w:p>
    <w:p w14:paraId="1E44A58D" w14:textId="764FA270" w:rsidR="00E824E8" w:rsidRDefault="00E824E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Additionally, the issue of concurrent proceedings in foreign jurisdictions will face the French insolvency representative. Again, the EIR, which allows for concurrent independent proceedings or secondary proceedings, will assist the French insolvency representative in coordinating the various concurrent proceedings. </w:t>
      </w:r>
    </w:p>
    <w:p w14:paraId="6817A5CF" w14:textId="6E40F19B" w:rsidR="00E824E8" w:rsidRDefault="00E824E8" w:rsidP="00C053F7">
      <w:pPr>
        <w:jc w:val="both"/>
        <w:rPr>
          <w:rFonts w:ascii="Avenir Next" w:hAnsi="Avenir Next" w:cs="Arial"/>
          <w:color w:val="7B7B7B" w:themeColor="accent3" w:themeShade="BF"/>
          <w:sz w:val="22"/>
          <w:szCs w:val="22"/>
          <w:lang w:val="en-GB"/>
        </w:rPr>
      </w:pPr>
    </w:p>
    <w:p w14:paraId="4C81A75E" w14:textId="373CC029" w:rsidR="00E824E8" w:rsidRDefault="00E824E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Applicable law will be another issue facing the French insolvency representative. </w:t>
      </w:r>
      <w:r w:rsidR="004700B1">
        <w:rPr>
          <w:rFonts w:ascii="Avenir Next" w:hAnsi="Avenir Next" w:cs="Arial"/>
          <w:color w:val="7B7B7B" w:themeColor="accent3" w:themeShade="BF"/>
          <w:sz w:val="22"/>
          <w:szCs w:val="22"/>
          <w:lang w:val="en-GB"/>
        </w:rPr>
        <w:t xml:space="preserve">The company has multiple types of assets, including real property and intangible assets, and creditors from multiple jurisdictions. The EIR will guide the French insolvency representative in selecting the applicable law with regard to each type of asset or claim. </w:t>
      </w:r>
    </w:p>
    <w:p w14:paraId="30A4BEBC" w14:textId="3B3603F8" w:rsidR="004700B1" w:rsidRDefault="004700B1" w:rsidP="00C053F7">
      <w:pPr>
        <w:jc w:val="both"/>
        <w:rPr>
          <w:rFonts w:ascii="Avenir Next" w:hAnsi="Avenir Next" w:cs="Arial"/>
          <w:color w:val="7B7B7B" w:themeColor="accent3" w:themeShade="BF"/>
          <w:sz w:val="22"/>
          <w:szCs w:val="22"/>
          <w:lang w:val="en-GB"/>
        </w:rPr>
      </w:pPr>
    </w:p>
    <w:p w14:paraId="22431A7C" w14:textId="50B3E1C0" w:rsidR="004700B1" w:rsidRPr="00827D56" w:rsidRDefault="004700B1" w:rsidP="00C053F7">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Finally, the effect of the French insolvency proceeding in other jurisdictions may affect the French insolvency representative</w:t>
      </w:r>
      <w:r w:rsidR="0011231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s strategy. Amongst European countries, the EIR will guide the insolvency representative. To the extent there are assets or creditors outside of the EU, other model laws, treaties, agreements, and domestic laws will affect the insolvency representative’s strategy. </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97F4" w14:textId="77777777" w:rsidR="00951263" w:rsidRDefault="00951263" w:rsidP="00241B44">
      <w:r>
        <w:separator/>
      </w:r>
    </w:p>
  </w:endnote>
  <w:endnote w:type="continuationSeparator" w:id="0">
    <w:p w14:paraId="526F8546" w14:textId="77777777" w:rsidR="00951263" w:rsidRDefault="009512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D9689EC" w:rsidR="00AD6A7D" w:rsidRPr="009634F4" w:rsidRDefault="00493784" w:rsidP="00AD6A7D">
    <w:pPr>
      <w:pStyle w:val="Footer"/>
      <w:ind w:right="360"/>
      <w:rPr>
        <w:rFonts w:ascii="Avenir Next" w:hAnsi="Avenir Next" w:cs="Arial"/>
        <w:sz w:val="22"/>
        <w:szCs w:val="22"/>
      </w:rPr>
    </w:pPr>
    <w:r w:rsidRPr="00493784">
      <w:rPr>
        <w:rFonts w:ascii="Avenir Next" w:hAnsi="Avenir Next" w:cs="Arial"/>
        <w:sz w:val="22"/>
        <w:szCs w:val="22"/>
      </w:rPr>
      <w:t>202223-948</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F96B" w14:textId="77777777" w:rsidR="00D35A60" w:rsidRDefault="00D3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57BA" w14:textId="77777777" w:rsidR="00951263" w:rsidRDefault="00951263" w:rsidP="00241B44">
      <w:r>
        <w:separator/>
      </w:r>
    </w:p>
  </w:footnote>
  <w:footnote w:type="continuationSeparator" w:id="0">
    <w:p w14:paraId="03B54476" w14:textId="77777777" w:rsidR="00951263" w:rsidRDefault="0095126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1AE7" w14:textId="77777777" w:rsidR="00D35A60" w:rsidRDefault="00D35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351F" w14:textId="77777777" w:rsidR="00D35A60" w:rsidRDefault="00D35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D774" w14:textId="77777777" w:rsidR="00D35A60" w:rsidRDefault="00D35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B2FC2"/>
    <w:multiLevelType w:val="hybridMultilevel"/>
    <w:tmpl w:val="3976F6E4"/>
    <w:lvl w:ilvl="0" w:tplc="9BFEE88E">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6"/>
  </w:num>
  <w:num w:numId="4">
    <w:abstractNumId w:val="2"/>
  </w:num>
  <w:num w:numId="5">
    <w:abstractNumId w:val="9"/>
  </w:num>
  <w:num w:numId="6">
    <w:abstractNumId w:val="15"/>
  </w:num>
  <w:num w:numId="7">
    <w:abstractNumId w:val="21"/>
  </w:num>
  <w:num w:numId="8">
    <w:abstractNumId w:val="14"/>
  </w:num>
  <w:num w:numId="9">
    <w:abstractNumId w:val="5"/>
  </w:num>
  <w:num w:numId="10">
    <w:abstractNumId w:val="8"/>
  </w:num>
  <w:num w:numId="11">
    <w:abstractNumId w:val="7"/>
  </w:num>
  <w:num w:numId="12">
    <w:abstractNumId w:val="4"/>
  </w:num>
  <w:num w:numId="13">
    <w:abstractNumId w:val="12"/>
  </w:num>
  <w:num w:numId="14">
    <w:abstractNumId w:val="0"/>
  </w:num>
  <w:num w:numId="15">
    <w:abstractNumId w:val="1"/>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7225B"/>
    <w:rsid w:val="00082609"/>
    <w:rsid w:val="000851CC"/>
    <w:rsid w:val="00093BE8"/>
    <w:rsid w:val="000A68ED"/>
    <w:rsid w:val="000B5FF1"/>
    <w:rsid w:val="000B609F"/>
    <w:rsid w:val="000D55A8"/>
    <w:rsid w:val="000E329C"/>
    <w:rsid w:val="000E4841"/>
    <w:rsid w:val="000F1677"/>
    <w:rsid w:val="000F3D6C"/>
    <w:rsid w:val="00101707"/>
    <w:rsid w:val="00110DA3"/>
    <w:rsid w:val="0011231E"/>
    <w:rsid w:val="0011473D"/>
    <w:rsid w:val="00115C85"/>
    <w:rsid w:val="00123661"/>
    <w:rsid w:val="00123855"/>
    <w:rsid w:val="00126A4D"/>
    <w:rsid w:val="00132646"/>
    <w:rsid w:val="0014622C"/>
    <w:rsid w:val="00146B59"/>
    <w:rsid w:val="00152348"/>
    <w:rsid w:val="0015456D"/>
    <w:rsid w:val="00161F1B"/>
    <w:rsid w:val="00162829"/>
    <w:rsid w:val="00180548"/>
    <w:rsid w:val="001807C1"/>
    <w:rsid w:val="00180CCE"/>
    <w:rsid w:val="0018267A"/>
    <w:rsid w:val="00182779"/>
    <w:rsid w:val="001830DF"/>
    <w:rsid w:val="001966D9"/>
    <w:rsid w:val="001A3928"/>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233F"/>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7752A"/>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07FAB"/>
    <w:rsid w:val="00411B48"/>
    <w:rsid w:val="00415F1F"/>
    <w:rsid w:val="0042108F"/>
    <w:rsid w:val="00430FED"/>
    <w:rsid w:val="0043427C"/>
    <w:rsid w:val="00434A8C"/>
    <w:rsid w:val="00444284"/>
    <w:rsid w:val="00445CE6"/>
    <w:rsid w:val="004534C2"/>
    <w:rsid w:val="0045683E"/>
    <w:rsid w:val="004700B1"/>
    <w:rsid w:val="00491675"/>
    <w:rsid w:val="00493784"/>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4799"/>
    <w:rsid w:val="005177FE"/>
    <w:rsid w:val="0052263B"/>
    <w:rsid w:val="00524728"/>
    <w:rsid w:val="005331CA"/>
    <w:rsid w:val="00537970"/>
    <w:rsid w:val="00542019"/>
    <w:rsid w:val="00544127"/>
    <w:rsid w:val="00553EB2"/>
    <w:rsid w:val="00560534"/>
    <w:rsid w:val="0056391B"/>
    <w:rsid w:val="005650E2"/>
    <w:rsid w:val="00567075"/>
    <w:rsid w:val="00575B2D"/>
    <w:rsid w:val="005833D0"/>
    <w:rsid w:val="005846F3"/>
    <w:rsid w:val="0058622F"/>
    <w:rsid w:val="00592F82"/>
    <w:rsid w:val="005977F7"/>
    <w:rsid w:val="005A0CCA"/>
    <w:rsid w:val="005A726D"/>
    <w:rsid w:val="005B67AC"/>
    <w:rsid w:val="005D43E0"/>
    <w:rsid w:val="005D58A3"/>
    <w:rsid w:val="005E1B79"/>
    <w:rsid w:val="005E4949"/>
    <w:rsid w:val="005F026D"/>
    <w:rsid w:val="005F2D0B"/>
    <w:rsid w:val="005F4B31"/>
    <w:rsid w:val="005F6250"/>
    <w:rsid w:val="00610388"/>
    <w:rsid w:val="00612CA5"/>
    <w:rsid w:val="006153EC"/>
    <w:rsid w:val="00621065"/>
    <w:rsid w:val="00621A17"/>
    <w:rsid w:val="00627CC9"/>
    <w:rsid w:val="00627E7B"/>
    <w:rsid w:val="00630542"/>
    <w:rsid w:val="00632E44"/>
    <w:rsid w:val="00634622"/>
    <w:rsid w:val="00636110"/>
    <w:rsid w:val="00636808"/>
    <w:rsid w:val="00641515"/>
    <w:rsid w:val="0065005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60CB"/>
    <w:rsid w:val="0082483F"/>
    <w:rsid w:val="008279C0"/>
    <w:rsid w:val="00827D56"/>
    <w:rsid w:val="00865857"/>
    <w:rsid w:val="008723F3"/>
    <w:rsid w:val="00875FCA"/>
    <w:rsid w:val="00881DE6"/>
    <w:rsid w:val="008837A6"/>
    <w:rsid w:val="0089145D"/>
    <w:rsid w:val="008A6CFE"/>
    <w:rsid w:val="008B5333"/>
    <w:rsid w:val="008B6223"/>
    <w:rsid w:val="008C66E0"/>
    <w:rsid w:val="008E3339"/>
    <w:rsid w:val="008F20FC"/>
    <w:rsid w:val="008F6301"/>
    <w:rsid w:val="009019AB"/>
    <w:rsid w:val="00905A43"/>
    <w:rsid w:val="00912C79"/>
    <w:rsid w:val="00914D30"/>
    <w:rsid w:val="00935B85"/>
    <w:rsid w:val="00942123"/>
    <w:rsid w:val="00951263"/>
    <w:rsid w:val="0095207B"/>
    <w:rsid w:val="00955AF1"/>
    <w:rsid w:val="00962045"/>
    <w:rsid w:val="009634F4"/>
    <w:rsid w:val="00987DBB"/>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3160"/>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04EC4"/>
    <w:rsid w:val="00B14819"/>
    <w:rsid w:val="00B17AA9"/>
    <w:rsid w:val="00B20713"/>
    <w:rsid w:val="00B70FAF"/>
    <w:rsid w:val="00B72AE1"/>
    <w:rsid w:val="00B736DF"/>
    <w:rsid w:val="00B74FBD"/>
    <w:rsid w:val="00B82586"/>
    <w:rsid w:val="00B86DB1"/>
    <w:rsid w:val="00B87869"/>
    <w:rsid w:val="00BB0F2B"/>
    <w:rsid w:val="00BC15BA"/>
    <w:rsid w:val="00BF0A79"/>
    <w:rsid w:val="00BF1C6F"/>
    <w:rsid w:val="00BF50F7"/>
    <w:rsid w:val="00C02F29"/>
    <w:rsid w:val="00C053F7"/>
    <w:rsid w:val="00C22A25"/>
    <w:rsid w:val="00C22D99"/>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35A60"/>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824E8"/>
    <w:rsid w:val="00E909F0"/>
    <w:rsid w:val="00E93993"/>
    <w:rsid w:val="00EA0913"/>
    <w:rsid w:val="00EB45AC"/>
    <w:rsid w:val="00ED0BC4"/>
    <w:rsid w:val="00EE4971"/>
    <w:rsid w:val="00EE744D"/>
    <w:rsid w:val="00EF090E"/>
    <w:rsid w:val="00F033DA"/>
    <w:rsid w:val="00F04677"/>
    <w:rsid w:val="00F27CD8"/>
    <w:rsid w:val="00F30351"/>
    <w:rsid w:val="00F3323E"/>
    <w:rsid w:val="00F341F4"/>
    <w:rsid w:val="00F35CCE"/>
    <w:rsid w:val="00F44220"/>
    <w:rsid w:val="00F53F49"/>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1A3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ransactions.freshfields.com/post/102h5y2/restructuring-in-the-middle-east-developments-in-the-uae-and-ksa" TargetMode="External"/><Relationship Id="rId4" Type="http://schemas.openxmlformats.org/officeDocument/2006/relationships/settings" Target="settings.xml"/><Relationship Id="rId9" Type="http://schemas.openxmlformats.org/officeDocument/2006/relationships/hyperlink" Target="https://www.bakermckenzie.com/en//-/media/images/insight/publications/2020/02/the_new_insolvency_regime_in_the_ua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10</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L. Grube</cp:lastModifiedBy>
  <cp:revision>21</cp:revision>
  <cp:lastPrinted>2019-09-04T15:45:00Z</cp:lastPrinted>
  <dcterms:created xsi:type="dcterms:W3CDTF">2022-10-13T02:07:00Z</dcterms:created>
  <dcterms:modified xsi:type="dcterms:W3CDTF">2022-10-15T12:54:00Z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ngId">
    <vt:lpwstr>94d16365-ecdf-465e-8eb7-329f0fe2b3e5</vt:lpwstr>
  </property>
</Properties>
</file>