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4768B7" w:rsidRDefault="00B736DF" w:rsidP="009E1027">
      <w:pPr>
        <w:pStyle w:val="ListParagraph"/>
        <w:numPr>
          <w:ilvl w:val="0"/>
          <w:numId w:val="12"/>
        </w:numPr>
        <w:ind w:left="426"/>
        <w:jc w:val="both"/>
        <w:rPr>
          <w:rFonts w:ascii="Avenir Next" w:hAnsi="Avenir Next" w:cs="Arial"/>
          <w:sz w:val="22"/>
          <w:szCs w:val="22"/>
          <w:highlight w:val="yellow"/>
          <w:lang w:val="en-GB"/>
        </w:rPr>
      </w:pPr>
      <w:r w:rsidRPr="004768B7">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4768B7">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4768B7" w:rsidRDefault="009E2E27" w:rsidP="008031A7">
      <w:pPr>
        <w:pStyle w:val="ListParagraph"/>
        <w:numPr>
          <w:ilvl w:val="0"/>
          <w:numId w:val="14"/>
        </w:numPr>
        <w:ind w:left="426"/>
        <w:jc w:val="both"/>
        <w:rPr>
          <w:rFonts w:ascii="Avenir Next" w:hAnsi="Avenir Next" w:cs="Arial"/>
          <w:sz w:val="22"/>
          <w:szCs w:val="22"/>
          <w:highlight w:val="yellow"/>
          <w:lang w:val="en-GB"/>
        </w:rPr>
      </w:pPr>
      <w:r w:rsidRPr="004768B7">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4768B7" w:rsidRDefault="009E2E27" w:rsidP="008031A7">
      <w:pPr>
        <w:pStyle w:val="ListParagraph"/>
        <w:numPr>
          <w:ilvl w:val="0"/>
          <w:numId w:val="15"/>
        </w:numPr>
        <w:ind w:left="426"/>
        <w:jc w:val="both"/>
        <w:rPr>
          <w:rFonts w:ascii="Avenir Next" w:hAnsi="Avenir Next" w:cs="Arial"/>
          <w:sz w:val="22"/>
          <w:szCs w:val="22"/>
          <w:highlight w:val="yellow"/>
          <w:lang w:val="en-GB"/>
        </w:rPr>
      </w:pPr>
      <w:r w:rsidRPr="004768B7">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4768B7" w:rsidRDefault="00A235B7" w:rsidP="006D01C2">
      <w:pPr>
        <w:pStyle w:val="ListParagraph"/>
        <w:numPr>
          <w:ilvl w:val="0"/>
          <w:numId w:val="16"/>
        </w:numPr>
        <w:ind w:left="426"/>
        <w:jc w:val="both"/>
        <w:rPr>
          <w:rFonts w:ascii="Avenir Next" w:hAnsi="Avenir Next" w:cs="Arial"/>
          <w:sz w:val="22"/>
          <w:szCs w:val="22"/>
          <w:highlight w:val="yellow"/>
          <w:lang w:val="en-GB"/>
        </w:rPr>
      </w:pPr>
      <w:r w:rsidRPr="004768B7">
        <w:rPr>
          <w:rFonts w:ascii="Avenir Next" w:hAnsi="Avenir Next" w:cs="Arial"/>
          <w:sz w:val="22"/>
          <w:szCs w:val="22"/>
          <w:highlight w:val="yellow"/>
          <w:lang w:val="en-GB"/>
        </w:rPr>
        <w:t>The statement</w:t>
      </w:r>
      <w:r w:rsidR="0037465A" w:rsidRPr="004768B7">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4768B7"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4768B7">
        <w:rPr>
          <w:rFonts w:ascii="Avenir Next" w:eastAsiaTheme="minorHAnsi" w:hAnsi="Avenir Next" w:cs="Arial"/>
          <w:sz w:val="22"/>
          <w:szCs w:val="22"/>
          <w:highlight w:val="yellow"/>
          <w:lang w:val="en-GB"/>
        </w:rPr>
        <w:t>Public International Law</w:t>
      </w:r>
      <w:r w:rsidR="00991428" w:rsidRPr="004768B7">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4768B7" w:rsidRDefault="004D1A5A" w:rsidP="006D01C2">
      <w:pPr>
        <w:pStyle w:val="ListParagraph"/>
        <w:numPr>
          <w:ilvl w:val="0"/>
          <w:numId w:val="18"/>
        </w:numPr>
        <w:ind w:left="426"/>
        <w:jc w:val="both"/>
        <w:rPr>
          <w:rFonts w:ascii="Avenir Next" w:hAnsi="Avenir Next" w:cs="Arial"/>
          <w:sz w:val="22"/>
          <w:szCs w:val="22"/>
          <w:highlight w:val="yellow"/>
          <w:lang w:val="en-GB"/>
        </w:rPr>
      </w:pPr>
      <w:r w:rsidRPr="004768B7">
        <w:rPr>
          <w:rFonts w:ascii="Avenir Next" w:hAnsi="Avenir Next" w:cs="Arial"/>
          <w:sz w:val="22"/>
          <w:szCs w:val="22"/>
          <w:highlight w:val="yellow"/>
          <w:lang w:val="en-GB"/>
        </w:rPr>
        <w:t>UNCITRAL Model Law on Cross-border Insolvency (1997)</w:t>
      </w:r>
      <w:r w:rsidR="00912C79" w:rsidRPr="004768B7">
        <w:rPr>
          <w:rFonts w:ascii="Avenir Next" w:hAnsi="Avenir Next" w:cs="Arial"/>
          <w:sz w:val="22"/>
          <w:szCs w:val="22"/>
          <w:highlight w:val="yellow"/>
          <w:lang w:val="en-GB"/>
        </w:rPr>
        <w:t>.</w:t>
      </w:r>
      <w:r w:rsidRPr="004768B7">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4768B7"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4768B7">
        <w:rPr>
          <w:rFonts w:ascii="Avenir Next" w:hAnsi="Avenir Next" w:cs="Arial"/>
          <w:sz w:val="22"/>
          <w:szCs w:val="22"/>
          <w:highlight w:val="yellow"/>
          <w:lang w:val="en-GB"/>
        </w:rPr>
        <w:t>Havana Convention on Private International Law (1928)</w:t>
      </w:r>
      <w:r w:rsidRPr="004768B7">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4768B7" w:rsidRDefault="0082483F" w:rsidP="006D01C2">
      <w:pPr>
        <w:pStyle w:val="ListParagraph"/>
        <w:numPr>
          <w:ilvl w:val="0"/>
          <w:numId w:val="20"/>
        </w:numPr>
        <w:ind w:left="426"/>
        <w:jc w:val="both"/>
        <w:rPr>
          <w:rFonts w:ascii="Avenir Next" w:hAnsi="Avenir Next" w:cs="Arial"/>
          <w:sz w:val="22"/>
          <w:szCs w:val="22"/>
          <w:highlight w:val="yellow"/>
          <w:lang w:val="en-GB"/>
        </w:rPr>
      </w:pPr>
      <w:r w:rsidRPr="004768B7">
        <w:rPr>
          <w:rFonts w:ascii="Avenir Next" w:hAnsi="Avenir Next" w:cs="Arial"/>
          <w:sz w:val="22"/>
          <w:szCs w:val="22"/>
          <w:highlight w:val="yellow"/>
          <w:lang w:val="en-GB"/>
        </w:rPr>
        <w:lastRenderedPageBreak/>
        <w:t>A centralised insolvency register of insolvency proceedings opened in member states</w:t>
      </w:r>
      <w:r w:rsidR="003A2F8D" w:rsidRPr="004768B7">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4768B7"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4768B7">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223A1EBA" w14:textId="70DC7285" w:rsidR="00B26B88" w:rsidRDefault="00664BCD" w:rsidP="00B26B8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Based on guidance from</w:t>
      </w:r>
      <w:r w:rsidR="00B26B88">
        <w:rPr>
          <w:rFonts w:ascii="Avenir Next" w:hAnsi="Avenir Next" w:cs="Arial"/>
          <w:color w:val="7B7B7B" w:themeColor="accent3" w:themeShade="BF"/>
          <w:sz w:val="22"/>
          <w:szCs w:val="22"/>
          <w:lang w:val="en-GB"/>
        </w:rPr>
        <w:t xml:space="preserve"> Wessels, it</w:t>
      </w:r>
      <w:r>
        <w:rPr>
          <w:rFonts w:ascii="Avenir Next" w:hAnsi="Avenir Next" w:cs="Arial"/>
          <w:color w:val="7B7B7B" w:themeColor="accent3" w:themeShade="BF"/>
          <w:sz w:val="22"/>
          <w:szCs w:val="22"/>
          <w:lang w:val="en-GB"/>
        </w:rPr>
        <w:t xml:space="preserve"> can be said to be</w:t>
      </w:r>
      <w:r w:rsidR="00B26B88">
        <w:rPr>
          <w:rFonts w:ascii="Avenir Next" w:hAnsi="Avenir Next" w:cs="Arial"/>
          <w:color w:val="7B7B7B" w:themeColor="accent3" w:themeShade="BF"/>
          <w:sz w:val="22"/>
          <w:szCs w:val="22"/>
          <w:lang w:val="en-GB"/>
        </w:rPr>
        <w:t xml:space="preserve"> a normative framework for insolvency processes in circumstances where the relevant domestic law cannot be properly applied in isolation of the international issues in a matter.</w:t>
      </w:r>
    </w:p>
    <w:p w14:paraId="214B903F" w14:textId="77777777" w:rsidR="00B26B88" w:rsidRDefault="00B26B88" w:rsidP="00B26B88">
      <w:pPr>
        <w:jc w:val="both"/>
        <w:rPr>
          <w:rFonts w:ascii="Avenir Next" w:hAnsi="Avenir Next" w:cs="Arial"/>
          <w:color w:val="7B7B7B" w:themeColor="accent3" w:themeShade="BF"/>
          <w:sz w:val="22"/>
          <w:szCs w:val="22"/>
          <w:lang w:val="en-GB"/>
        </w:rPr>
      </w:pPr>
    </w:p>
    <w:p w14:paraId="57BCFC30" w14:textId="37350F6B" w:rsidR="009B07AD" w:rsidRPr="00827D56" w:rsidRDefault="00B26B88" w:rsidP="00B26B88">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Ano</w:t>
      </w:r>
      <w:r w:rsidR="00664BCD">
        <w:rPr>
          <w:rFonts w:ascii="Avenir Next" w:hAnsi="Avenir Next" w:cs="Arial"/>
          <w:color w:val="7B7B7B" w:themeColor="accent3" w:themeShade="BF"/>
          <w:sz w:val="22"/>
          <w:szCs w:val="22"/>
          <w:lang w:val="en-GB"/>
        </w:rPr>
        <w:t xml:space="preserve">ther authoritative view point is credited to </w:t>
      </w:r>
      <w:r>
        <w:rPr>
          <w:rFonts w:ascii="Avenir Next" w:hAnsi="Avenir Next" w:cs="Arial"/>
          <w:color w:val="7B7B7B" w:themeColor="accent3" w:themeShade="BF"/>
          <w:sz w:val="22"/>
          <w:szCs w:val="22"/>
          <w:lang w:val="en-GB"/>
        </w:rPr>
        <w:t>Fletcher</w:t>
      </w:r>
      <w:r w:rsidR="00664BCD">
        <w:rPr>
          <w:rFonts w:ascii="Avenir Next" w:hAnsi="Avenir Next" w:cs="Arial"/>
          <w:color w:val="7B7B7B" w:themeColor="accent3" w:themeShade="BF"/>
          <w:sz w:val="22"/>
          <w:szCs w:val="22"/>
          <w:lang w:val="en-GB"/>
        </w:rPr>
        <w:t xml:space="preserve"> in which he </w:t>
      </w:r>
      <w:r>
        <w:rPr>
          <w:rFonts w:ascii="Avenir Next" w:hAnsi="Avenir Next" w:cs="Arial"/>
          <w:color w:val="7B7B7B" w:themeColor="accent3" w:themeShade="BF"/>
          <w:sz w:val="22"/>
          <w:szCs w:val="22"/>
          <w:lang w:val="en-GB"/>
        </w:rPr>
        <w:t>uses the term ‘</w:t>
      </w:r>
      <w:r w:rsidRPr="00664BCD">
        <w:rPr>
          <w:rFonts w:ascii="Avenir Next" w:hAnsi="Avenir Next" w:cs="Arial"/>
          <w:i/>
          <w:color w:val="7B7B7B" w:themeColor="accent3" w:themeShade="BF"/>
          <w:sz w:val="22"/>
          <w:szCs w:val="22"/>
          <w:lang w:val="en-GB"/>
        </w:rPr>
        <w:t>cross border insolvency</w:t>
      </w:r>
      <w:r>
        <w:rPr>
          <w:rFonts w:ascii="Avenir Next" w:hAnsi="Avenir Next" w:cs="Arial"/>
          <w:color w:val="7B7B7B" w:themeColor="accent3" w:themeShade="BF"/>
          <w:sz w:val="22"/>
          <w:szCs w:val="22"/>
          <w:lang w:val="en-GB"/>
        </w:rPr>
        <w:t>’ synonymously with ‘</w:t>
      </w:r>
      <w:r w:rsidRPr="00664BCD">
        <w:rPr>
          <w:rFonts w:ascii="Avenir Next" w:hAnsi="Avenir Next" w:cs="Arial"/>
          <w:i/>
          <w:color w:val="7B7B7B" w:themeColor="accent3" w:themeShade="BF"/>
          <w:sz w:val="22"/>
          <w:szCs w:val="22"/>
          <w:lang w:val="en-GB"/>
        </w:rPr>
        <w:t>international insolvency</w:t>
      </w:r>
      <w:r>
        <w:rPr>
          <w:rFonts w:ascii="Avenir Next" w:hAnsi="Avenir Next" w:cs="Arial"/>
          <w:color w:val="7B7B7B" w:themeColor="accent3" w:themeShade="BF"/>
          <w:sz w:val="22"/>
          <w:szCs w:val="22"/>
          <w:lang w:val="en-GB"/>
        </w:rPr>
        <w:t>’</w:t>
      </w:r>
      <w:r w:rsidR="00664BCD">
        <w:rPr>
          <w:rFonts w:ascii="Avenir Next" w:hAnsi="Avenir Next" w:cs="Arial"/>
          <w:color w:val="7B7B7B" w:themeColor="accent3" w:themeShade="BF"/>
          <w:sz w:val="22"/>
          <w:szCs w:val="22"/>
          <w:lang w:val="en-GB"/>
        </w:rPr>
        <w:t>. Guided by his views, it can also be said that</w:t>
      </w:r>
      <w:r>
        <w:rPr>
          <w:rFonts w:ascii="Avenir Next" w:hAnsi="Avenir Next" w:cs="Arial"/>
          <w:color w:val="7B7B7B" w:themeColor="accent3" w:themeShade="BF"/>
          <w:sz w:val="22"/>
          <w:szCs w:val="22"/>
          <w:lang w:val="en-GB"/>
        </w:rPr>
        <w:t xml:space="preserve"> the term international insolvency law </w:t>
      </w:r>
      <w:r w:rsidR="00664BCD">
        <w:rPr>
          <w:rFonts w:ascii="Avenir Next" w:hAnsi="Avenir Next" w:cs="Arial"/>
          <w:color w:val="7B7B7B" w:themeColor="accent3" w:themeShade="BF"/>
          <w:sz w:val="22"/>
          <w:szCs w:val="22"/>
          <w:lang w:val="en-GB"/>
        </w:rPr>
        <w:t>relates</w:t>
      </w:r>
      <w:r>
        <w:rPr>
          <w:rFonts w:ascii="Avenir Next" w:hAnsi="Avenir Next" w:cs="Arial"/>
          <w:color w:val="7B7B7B" w:themeColor="accent3" w:themeShade="BF"/>
          <w:sz w:val="22"/>
          <w:szCs w:val="22"/>
          <w:lang w:val="en-GB"/>
        </w:rPr>
        <w:t xml:space="preserve"> to an insolvency scenario where the issues extend beyond the remit of a </w:t>
      </w:r>
      <w:r w:rsidR="00BD12E2">
        <w:rPr>
          <w:rFonts w:ascii="Avenir Next" w:hAnsi="Avenir Next" w:cs="Arial"/>
          <w:color w:val="7B7B7B" w:themeColor="accent3" w:themeShade="BF"/>
          <w:sz w:val="22"/>
          <w:szCs w:val="22"/>
          <w:lang w:val="en-GB"/>
        </w:rPr>
        <w:t>local legal system such that the domestic</w:t>
      </w:r>
      <w:r>
        <w:rPr>
          <w:rFonts w:ascii="Avenir Next" w:hAnsi="Avenir Next" w:cs="Arial"/>
          <w:color w:val="7B7B7B" w:themeColor="accent3" w:themeShade="BF"/>
          <w:sz w:val="22"/>
          <w:szCs w:val="22"/>
          <w:lang w:val="en-GB"/>
        </w:rPr>
        <w:t xml:space="preserve"> provisions are rendered deficient in the absence of due regard to the international aspects of a matter.</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6AC5EF30" w:rsidR="009B07AD" w:rsidRDefault="00334470"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These are two converse theories for dealing with cross border insolvency.</w:t>
      </w:r>
    </w:p>
    <w:p w14:paraId="4675FCD9" w14:textId="7C7428D8" w:rsidR="00334470" w:rsidRDefault="00334470" w:rsidP="00C053F7">
      <w:pPr>
        <w:ind w:left="720" w:hanging="720"/>
        <w:jc w:val="both"/>
        <w:rPr>
          <w:rFonts w:ascii="Avenir Next" w:hAnsi="Avenir Next" w:cs="Arial"/>
          <w:color w:val="7B7B7B" w:themeColor="accent3" w:themeShade="BF"/>
          <w:sz w:val="22"/>
          <w:szCs w:val="22"/>
          <w:lang w:val="en-GB"/>
        </w:rPr>
      </w:pPr>
    </w:p>
    <w:p w14:paraId="0F4FE866" w14:textId="61695D53" w:rsidR="00334470" w:rsidRDefault="00334470" w:rsidP="0033447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Universality or universalism is an umbrella type approach focussed on (i) one action / insolvency pro</w:t>
      </w:r>
      <w:r w:rsidR="00025432">
        <w:rPr>
          <w:rFonts w:ascii="Avenir Next" w:hAnsi="Avenir Next" w:cs="Arial"/>
          <w:color w:val="7B7B7B" w:themeColor="accent3" w:themeShade="BF"/>
          <w:sz w:val="22"/>
          <w:szCs w:val="22"/>
          <w:lang w:val="en-GB"/>
        </w:rPr>
        <w:t>ceeding; (ii) taken out in one s</w:t>
      </w:r>
      <w:r>
        <w:rPr>
          <w:rFonts w:ascii="Avenir Next" w:hAnsi="Avenir Next" w:cs="Arial"/>
          <w:color w:val="7B7B7B" w:themeColor="accent3" w:themeShade="BF"/>
          <w:sz w:val="22"/>
          <w:szCs w:val="22"/>
          <w:lang w:val="en-GB"/>
        </w:rPr>
        <w:t>tate; (iii) under one insolvency law; (iv) to deal with all the debtor</w:t>
      </w:r>
      <w:r w:rsidR="0002543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s assets; and (v) with a right to all creditors and interested persons to be heard on equal footing.</w:t>
      </w:r>
    </w:p>
    <w:p w14:paraId="0622378B" w14:textId="30CD6701" w:rsidR="00334470" w:rsidRDefault="00334470" w:rsidP="0033447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choice of that one state can be influenced by the location of the debtor’s centre of main interest.</w:t>
      </w:r>
    </w:p>
    <w:p w14:paraId="52F557A5" w14:textId="6C7C8873" w:rsidR="00334470" w:rsidRDefault="00334470" w:rsidP="00334470">
      <w:pPr>
        <w:jc w:val="both"/>
        <w:rPr>
          <w:rFonts w:ascii="Avenir Next" w:hAnsi="Avenir Next" w:cs="Arial"/>
          <w:color w:val="7B7B7B" w:themeColor="accent3" w:themeShade="BF"/>
          <w:sz w:val="22"/>
          <w:szCs w:val="22"/>
          <w:lang w:val="en-GB"/>
        </w:rPr>
      </w:pPr>
    </w:p>
    <w:p w14:paraId="1D3AB845" w14:textId="77777777" w:rsidR="006276D8" w:rsidRDefault="00334470" w:rsidP="0033447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Territoriality or territorialism</w:t>
      </w:r>
      <w:r w:rsidR="006276D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by contrast</w:t>
      </w:r>
      <w:r w:rsidR="006276D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is a scattered approach allowing for (i) multiple concurrent insolvency proceedings; (ii) in different states; and (iii) under different insolvency laws.</w:t>
      </w:r>
      <w:r w:rsidR="006276D8">
        <w:rPr>
          <w:rFonts w:ascii="Avenir Next" w:hAnsi="Avenir Next" w:cs="Arial"/>
          <w:color w:val="7B7B7B" w:themeColor="accent3" w:themeShade="BF"/>
          <w:sz w:val="22"/>
          <w:szCs w:val="22"/>
          <w:lang w:val="en-GB"/>
        </w:rPr>
        <w:t xml:space="preserve"> </w:t>
      </w:r>
    </w:p>
    <w:p w14:paraId="2C9F28DE" w14:textId="77777777" w:rsidR="006276D8" w:rsidRDefault="006276D8" w:rsidP="00334470">
      <w:pPr>
        <w:jc w:val="both"/>
        <w:rPr>
          <w:rFonts w:ascii="Avenir Next" w:hAnsi="Avenir Next" w:cs="Arial"/>
          <w:color w:val="7B7B7B" w:themeColor="accent3" w:themeShade="BF"/>
          <w:sz w:val="22"/>
          <w:szCs w:val="22"/>
          <w:lang w:val="en-GB"/>
        </w:rPr>
      </w:pPr>
    </w:p>
    <w:p w14:paraId="008BA435" w14:textId="3D778110" w:rsidR="00334470" w:rsidRPr="00827D56" w:rsidRDefault="006276D8" w:rsidP="00334470">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choice of states can be influenced by where the debtor’s assets are or its fixed interests. This approach thrives and depends on international cooperation and coordination.</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3F2029BC" w:rsidR="00C72848" w:rsidRPr="00827D56" w:rsidRDefault="00EE494E" w:rsidP="00EE494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2016 and 2019, the United Arab Emirates reformed its domestic insolvency laws. In 2018 Bahrain adopted the UNCITRAL Model Law on Cross Border Insolvency while the Dubai International Finance Centre did so too in 2019.</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5326FD6D" w14:textId="77777777" w:rsidR="00D45D72" w:rsidRDefault="00D45D7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Seal and Hooley speak of t</w:t>
      </w:r>
      <w:r w:rsidR="00752E1F">
        <w:rPr>
          <w:rFonts w:ascii="Avenir Next" w:hAnsi="Avenir Next" w:cs="Arial"/>
          <w:color w:val="7B7B7B" w:themeColor="accent3" w:themeShade="BF"/>
          <w:sz w:val="22"/>
          <w:szCs w:val="22"/>
          <w:lang w:val="en-GB"/>
        </w:rPr>
        <w:t xml:space="preserve">he objectives of insolvency for individuals </w:t>
      </w:r>
      <w:r>
        <w:rPr>
          <w:rFonts w:ascii="Avenir Next" w:hAnsi="Avenir Next" w:cs="Arial"/>
          <w:color w:val="7B7B7B" w:themeColor="accent3" w:themeShade="BF"/>
          <w:sz w:val="22"/>
          <w:szCs w:val="22"/>
          <w:lang w:val="en-GB"/>
        </w:rPr>
        <w:t>as:</w:t>
      </w:r>
    </w:p>
    <w:p w14:paraId="234A6D94" w14:textId="77777777" w:rsidR="00D45D72" w:rsidRDefault="00D45D72" w:rsidP="00C053F7">
      <w:pPr>
        <w:jc w:val="both"/>
        <w:rPr>
          <w:rFonts w:ascii="Avenir Next" w:hAnsi="Avenir Next" w:cs="Arial"/>
          <w:color w:val="7B7B7B" w:themeColor="accent3" w:themeShade="BF"/>
          <w:sz w:val="22"/>
          <w:szCs w:val="22"/>
          <w:lang w:val="en-GB"/>
        </w:rPr>
      </w:pPr>
    </w:p>
    <w:p w14:paraId="201EB47B" w14:textId="2E4BA94B" w:rsidR="00D45D72" w:rsidRDefault="00363499" w:rsidP="00C82878">
      <w:pPr>
        <w:pStyle w:val="ListParagraph"/>
        <w:numPr>
          <w:ilvl w:val="0"/>
          <w:numId w:val="24"/>
        </w:numPr>
        <w:ind w:left="567"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conferring some protection against harassment by creditors</w:t>
      </w:r>
      <w:r w:rsidR="00D45D72">
        <w:rPr>
          <w:rFonts w:ascii="Avenir Next" w:hAnsi="Avenir Next" w:cs="Arial"/>
          <w:color w:val="7B7B7B" w:themeColor="accent3" w:themeShade="BF"/>
          <w:sz w:val="22"/>
          <w:szCs w:val="22"/>
          <w:lang w:val="en-GB"/>
        </w:rPr>
        <w:t>;</w:t>
      </w:r>
    </w:p>
    <w:p w14:paraId="6A6BBD63" w14:textId="2899AAD1" w:rsidR="00D45D72" w:rsidRDefault="00363499" w:rsidP="00C82878">
      <w:pPr>
        <w:pStyle w:val="ListParagraph"/>
        <w:numPr>
          <w:ilvl w:val="0"/>
          <w:numId w:val="24"/>
        </w:numPr>
        <w:ind w:left="567"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allowing</w:t>
      </w:r>
      <w:r w:rsidR="00E97761">
        <w:rPr>
          <w:rFonts w:ascii="Avenir Next" w:hAnsi="Avenir Next" w:cs="Arial"/>
          <w:color w:val="7B7B7B" w:themeColor="accent3" w:themeShade="BF"/>
          <w:sz w:val="22"/>
          <w:szCs w:val="22"/>
          <w:lang w:val="en-GB"/>
        </w:rPr>
        <w:t xml:space="preserve"> some leverage for a fresh</w:t>
      </w:r>
      <w:r>
        <w:rPr>
          <w:rFonts w:ascii="Avenir Next" w:hAnsi="Avenir Next" w:cs="Arial"/>
          <w:color w:val="7B7B7B" w:themeColor="accent3" w:themeShade="BF"/>
          <w:sz w:val="22"/>
          <w:szCs w:val="22"/>
          <w:lang w:val="en-GB"/>
        </w:rPr>
        <w:t xml:space="preserve"> start</w:t>
      </w:r>
      <w:r w:rsidR="00D45D72">
        <w:rPr>
          <w:rFonts w:ascii="Avenir Next" w:hAnsi="Avenir Next" w:cs="Arial"/>
          <w:color w:val="7B7B7B" w:themeColor="accent3" w:themeShade="BF"/>
          <w:sz w:val="22"/>
          <w:szCs w:val="22"/>
          <w:lang w:val="en-GB"/>
        </w:rPr>
        <w:t>; and</w:t>
      </w:r>
    </w:p>
    <w:p w14:paraId="1FAF58BF" w14:textId="7E158759" w:rsidR="00D45D72" w:rsidRDefault="00363499" w:rsidP="00C82878">
      <w:pPr>
        <w:pStyle w:val="ListParagraph"/>
        <w:numPr>
          <w:ilvl w:val="0"/>
          <w:numId w:val="24"/>
        </w:numPr>
        <w:ind w:left="567"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facilitating debt repayment from the individual’s current and future means with due regard to their situational means</w:t>
      </w:r>
      <w:r w:rsidR="00D45D72">
        <w:rPr>
          <w:rFonts w:ascii="Avenir Next" w:hAnsi="Avenir Next" w:cs="Arial"/>
          <w:color w:val="7B7B7B" w:themeColor="accent3" w:themeShade="BF"/>
          <w:sz w:val="22"/>
          <w:szCs w:val="22"/>
          <w:lang w:val="en-GB"/>
        </w:rPr>
        <w:t>.</w:t>
      </w:r>
    </w:p>
    <w:p w14:paraId="3EC34A7C" w14:textId="77777777" w:rsidR="00D45D72" w:rsidRDefault="00D45D72" w:rsidP="00D45D72">
      <w:pPr>
        <w:jc w:val="both"/>
        <w:rPr>
          <w:rFonts w:ascii="Avenir Next" w:hAnsi="Avenir Next" w:cs="Arial"/>
          <w:color w:val="7B7B7B" w:themeColor="accent3" w:themeShade="BF"/>
          <w:sz w:val="22"/>
          <w:szCs w:val="22"/>
          <w:lang w:val="en-GB"/>
        </w:rPr>
      </w:pPr>
    </w:p>
    <w:p w14:paraId="3259A7F4" w14:textId="3645EAE3" w:rsidR="00752E1F" w:rsidRPr="00D45D72" w:rsidRDefault="00D45D72" w:rsidP="00D45D7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Based on the views of Seal and Hooley the objectives of corporate insolvency can be said to be</w:t>
      </w:r>
      <w:r w:rsidR="00A74E20">
        <w:rPr>
          <w:rFonts w:ascii="Avenir Next" w:hAnsi="Avenir Next" w:cs="Arial"/>
          <w:color w:val="7B7B7B" w:themeColor="accent3" w:themeShade="BF"/>
          <w:sz w:val="22"/>
          <w:szCs w:val="22"/>
          <w:lang w:val="en-GB"/>
        </w:rPr>
        <w:t xml:space="preserve"> targeted at preservation of</w:t>
      </w:r>
      <w:r w:rsidR="00752E1F" w:rsidRPr="00D45D72">
        <w:rPr>
          <w:rFonts w:ascii="Avenir Next" w:hAnsi="Avenir Next" w:cs="Arial"/>
          <w:color w:val="7B7B7B" w:themeColor="accent3" w:themeShade="BF"/>
          <w:sz w:val="22"/>
          <w:szCs w:val="22"/>
          <w:lang w:val="en-GB"/>
        </w:rPr>
        <w:t xml:space="preserve"> the</w:t>
      </w:r>
      <w:r w:rsidR="00A0328D">
        <w:rPr>
          <w:rFonts w:ascii="Avenir Next" w:hAnsi="Avenir Next" w:cs="Arial"/>
          <w:color w:val="7B7B7B" w:themeColor="accent3" w:themeShade="BF"/>
          <w:sz w:val="22"/>
          <w:szCs w:val="22"/>
          <w:lang w:val="en-GB"/>
        </w:rPr>
        <w:t xml:space="preserve"> company’s</w:t>
      </w:r>
      <w:r w:rsidR="00752E1F" w:rsidRPr="00D45D72">
        <w:rPr>
          <w:rFonts w:ascii="Avenir Next" w:hAnsi="Avenir Next" w:cs="Arial"/>
          <w:color w:val="7B7B7B" w:themeColor="accent3" w:themeShade="BF"/>
          <w:sz w:val="22"/>
          <w:szCs w:val="22"/>
          <w:lang w:val="en-GB"/>
        </w:rPr>
        <w:t xml:space="preserve"> business</w:t>
      </w:r>
      <w:r w:rsidR="007B50EA">
        <w:rPr>
          <w:rFonts w:ascii="Avenir Next" w:hAnsi="Avenir Next" w:cs="Arial"/>
          <w:color w:val="7B7B7B" w:themeColor="accent3" w:themeShade="BF"/>
          <w:sz w:val="22"/>
          <w:szCs w:val="22"/>
          <w:lang w:val="en-GB"/>
        </w:rPr>
        <w:t xml:space="preserve"> </w:t>
      </w:r>
      <w:r w:rsidR="00752E1F" w:rsidRPr="00D45D72">
        <w:rPr>
          <w:rFonts w:ascii="Avenir Next" w:hAnsi="Avenir Next" w:cs="Arial"/>
          <w:color w:val="7B7B7B" w:themeColor="accent3" w:themeShade="BF"/>
          <w:sz w:val="22"/>
          <w:szCs w:val="22"/>
          <w:lang w:val="en-GB"/>
        </w:rPr>
        <w:t xml:space="preserve">or </w:t>
      </w:r>
      <w:r w:rsidR="007B50EA">
        <w:rPr>
          <w:rFonts w:ascii="Avenir Next" w:hAnsi="Avenir Next" w:cs="Arial"/>
          <w:color w:val="7B7B7B" w:themeColor="accent3" w:themeShade="BF"/>
          <w:sz w:val="22"/>
          <w:szCs w:val="22"/>
          <w:lang w:val="en-GB"/>
        </w:rPr>
        <w:t xml:space="preserve">the profitable components </w:t>
      </w:r>
      <w:r w:rsidR="00752E1F" w:rsidRPr="00D45D72">
        <w:rPr>
          <w:rFonts w:ascii="Avenir Next" w:hAnsi="Avenir Next" w:cs="Arial"/>
          <w:color w:val="7B7B7B" w:themeColor="accent3" w:themeShade="BF"/>
          <w:sz w:val="22"/>
          <w:szCs w:val="22"/>
          <w:lang w:val="en-GB"/>
        </w:rPr>
        <w:t>of it</w:t>
      </w:r>
      <w:r w:rsidR="003B0FBC">
        <w:rPr>
          <w:rFonts w:ascii="Avenir Next" w:hAnsi="Avenir Next" w:cs="Arial"/>
          <w:color w:val="7B7B7B" w:themeColor="accent3" w:themeShade="BF"/>
          <w:sz w:val="22"/>
          <w:szCs w:val="22"/>
          <w:lang w:val="en-GB"/>
        </w:rPr>
        <w:t xml:space="preserve">. Also, where there </w:t>
      </w:r>
      <w:r w:rsidR="00A0328D">
        <w:rPr>
          <w:rFonts w:ascii="Avenir Next" w:hAnsi="Avenir Next" w:cs="Arial"/>
          <w:color w:val="7B7B7B" w:themeColor="accent3" w:themeShade="BF"/>
          <w:sz w:val="22"/>
          <w:szCs w:val="22"/>
          <w:lang w:val="en-GB"/>
        </w:rPr>
        <w:t>have been blameworthy wrongs by the company,</w:t>
      </w:r>
      <w:r w:rsidR="003B0FBC">
        <w:rPr>
          <w:rFonts w:ascii="Avenir Next" w:hAnsi="Avenir Next" w:cs="Arial"/>
          <w:color w:val="7B7B7B" w:themeColor="accent3" w:themeShade="BF"/>
          <w:sz w:val="22"/>
          <w:szCs w:val="22"/>
          <w:lang w:val="en-GB"/>
        </w:rPr>
        <w:t xml:space="preserve"> </w:t>
      </w:r>
      <w:r w:rsidR="00595C1D">
        <w:rPr>
          <w:rFonts w:ascii="Avenir Next" w:hAnsi="Avenir Next" w:cs="Arial"/>
          <w:color w:val="7B7B7B" w:themeColor="accent3" w:themeShade="BF"/>
          <w:sz w:val="22"/>
          <w:szCs w:val="22"/>
          <w:lang w:val="en-GB"/>
        </w:rPr>
        <w:t xml:space="preserve">to hold </w:t>
      </w:r>
      <w:r w:rsidR="00A0328D">
        <w:rPr>
          <w:rFonts w:ascii="Avenir Next" w:hAnsi="Avenir Next" w:cs="Arial"/>
          <w:color w:val="7B7B7B" w:themeColor="accent3" w:themeShade="BF"/>
          <w:sz w:val="22"/>
          <w:szCs w:val="22"/>
          <w:lang w:val="en-GB"/>
        </w:rPr>
        <w:t>the natural persons involved personally liable.</w:t>
      </w:r>
    </w:p>
    <w:p w14:paraId="11809256" w14:textId="77777777" w:rsidR="00752E1F" w:rsidRDefault="00752E1F" w:rsidP="00C053F7">
      <w:pPr>
        <w:jc w:val="both"/>
        <w:rPr>
          <w:rFonts w:ascii="Avenir Next" w:hAnsi="Avenir Next" w:cs="Arial"/>
          <w:color w:val="7B7B7B" w:themeColor="accent3" w:themeShade="BF"/>
          <w:sz w:val="22"/>
          <w:szCs w:val="22"/>
          <w:lang w:val="en-GB"/>
        </w:rPr>
      </w:pPr>
    </w:p>
    <w:p w14:paraId="4024A332" w14:textId="4C0468CC" w:rsidR="00544127" w:rsidRDefault="00D45D7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Other </w:t>
      </w:r>
      <w:r w:rsidR="00A00752">
        <w:rPr>
          <w:rFonts w:ascii="Avenir Next" w:hAnsi="Avenir Next" w:cs="Arial"/>
          <w:color w:val="7B7B7B" w:themeColor="accent3" w:themeShade="BF"/>
          <w:sz w:val="22"/>
          <w:szCs w:val="22"/>
          <w:lang w:val="en-GB"/>
        </w:rPr>
        <w:t>differences between the two types of insolvency (natural person versus artificial person)</w:t>
      </w:r>
      <w:r w:rsidR="00752E1F">
        <w:rPr>
          <w:rFonts w:ascii="Avenir Next" w:hAnsi="Avenir Next" w:cs="Arial"/>
          <w:color w:val="7B7B7B" w:themeColor="accent3" w:themeShade="BF"/>
          <w:sz w:val="22"/>
          <w:szCs w:val="22"/>
          <w:lang w:val="en-GB"/>
        </w:rPr>
        <w:t xml:space="preserve"> </w:t>
      </w:r>
      <w:r w:rsidR="00A00752">
        <w:rPr>
          <w:rFonts w:ascii="Avenir Next" w:hAnsi="Avenir Next" w:cs="Arial"/>
          <w:color w:val="7B7B7B" w:themeColor="accent3" w:themeShade="BF"/>
          <w:sz w:val="22"/>
          <w:szCs w:val="22"/>
          <w:lang w:val="en-GB"/>
        </w:rPr>
        <w:t>include mode of commencement</w:t>
      </w:r>
      <w:r w:rsidR="00C82878">
        <w:rPr>
          <w:rFonts w:ascii="Avenir Next" w:hAnsi="Avenir Next" w:cs="Arial"/>
          <w:color w:val="7B7B7B" w:themeColor="accent3" w:themeShade="BF"/>
          <w:sz w:val="22"/>
          <w:szCs w:val="22"/>
          <w:lang w:val="en-GB"/>
        </w:rPr>
        <w:t xml:space="preserve"> of proceedings</w:t>
      </w:r>
      <w:r w:rsidR="00A00752">
        <w:rPr>
          <w:rFonts w:ascii="Avenir Next" w:hAnsi="Avenir Next" w:cs="Arial"/>
          <w:color w:val="7B7B7B" w:themeColor="accent3" w:themeShade="BF"/>
          <w:sz w:val="22"/>
          <w:szCs w:val="22"/>
          <w:lang w:val="en-GB"/>
        </w:rPr>
        <w:t>; assets that can be affected</w:t>
      </w:r>
      <w:r w:rsidR="00113DCC">
        <w:rPr>
          <w:rFonts w:ascii="Avenir Next" w:hAnsi="Avenir Next" w:cs="Arial"/>
          <w:color w:val="7B7B7B" w:themeColor="accent3" w:themeShade="BF"/>
          <w:sz w:val="22"/>
          <w:szCs w:val="22"/>
          <w:lang w:val="en-GB"/>
        </w:rPr>
        <w:t>;</w:t>
      </w:r>
      <w:r w:rsidR="00A00752">
        <w:rPr>
          <w:rFonts w:ascii="Avenir Next" w:hAnsi="Avenir Next" w:cs="Arial"/>
          <w:color w:val="7B7B7B" w:themeColor="accent3" w:themeShade="BF"/>
          <w:sz w:val="22"/>
          <w:szCs w:val="22"/>
          <w:lang w:val="en-GB"/>
        </w:rPr>
        <w:t xml:space="preserve"> and possible effects</w:t>
      </w:r>
      <w:r w:rsidR="00DC5E49">
        <w:rPr>
          <w:rFonts w:ascii="Avenir Next" w:hAnsi="Avenir Next" w:cs="Arial"/>
          <w:color w:val="7B7B7B" w:themeColor="accent3" w:themeShade="BF"/>
          <w:sz w:val="22"/>
          <w:szCs w:val="22"/>
          <w:lang w:val="en-GB"/>
        </w:rPr>
        <w:t xml:space="preserve"> of the proceedings</w:t>
      </w:r>
      <w:r w:rsidR="00A00752">
        <w:rPr>
          <w:rFonts w:ascii="Avenir Next" w:hAnsi="Avenir Next" w:cs="Arial"/>
          <w:color w:val="7B7B7B" w:themeColor="accent3" w:themeShade="BF"/>
          <w:sz w:val="22"/>
          <w:szCs w:val="22"/>
          <w:lang w:val="en-GB"/>
        </w:rPr>
        <w:t>.</w:t>
      </w:r>
    </w:p>
    <w:p w14:paraId="58658932" w14:textId="6610D5A9" w:rsidR="00A00752" w:rsidRDefault="00A00752" w:rsidP="00C053F7">
      <w:pPr>
        <w:jc w:val="both"/>
        <w:rPr>
          <w:rFonts w:ascii="Avenir Next" w:hAnsi="Avenir Next" w:cs="Arial"/>
          <w:color w:val="7B7B7B" w:themeColor="accent3" w:themeShade="BF"/>
          <w:sz w:val="22"/>
          <w:szCs w:val="22"/>
          <w:lang w:val="en-GB"/>
        </w:rPr>
      </w:pPr>
    </w:p>
    <w:p w14:paraId="2EE18F0F" w14:textId="43861BB1" w:rsidR="00A00752" w:rsidRDefault="00A0075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Whereas</w:t>
      </w:r>
      <w:r w:rsidR="005A5E48">
        <w:rPr>
          <w:rFonts w:ascii="Avenir Next" w:hAnsi="Avenir Next" w:cs="Arial"/>
          <w:color w:val="7B7B7B" w:themeColor="accent3" w:themeShade="BF"/>
          <w:sz w:val="22"/>
          <w:szCs w:val="22"/>
          <w:lang w:val="en-GB"/>
        </w:rPr>
        <w:t xml:space="preserve"> commencement of</w:t>
      </w:r>
      <w:r>
        <w:rPr>
          <w:rFonts w:ascii="Avenir Next" w:hAnsi="Avenir Next" w:cs="Arial"/>
          <w:color w:val="7B7B7B" w:themeColor="accent3" w:themeShade="BF"/>
          <w:sz w:val="22"/>
          <w:szCs w:val="22"/>
          <w:lang w:val="en-GB"/>
        </w:rPr>
        <w:t xml:space="preserve"> insolvency proceedings against individuals </w:t>
      </w:r>
      <w:r w:rsidR="005A5E48">
        <w:rPr>
          <w:rFonts w:ascii="Avenir Next" w:hAnsi="Avenir Next" w:cs="Arial"/>
          <w:color w:val="7B7B7B" w:themeColor="accent3" w:themeShade="BF"/>
          <w:sz w:val="22"/>
          <w:szCs w:val="22"/>
          <w:lang w:val="en-GB"/>
        </w:rPr>
        <w:t xml:space="preserve">typically require formal court process, insolvency proceedings against corporations can be commenced through court process or </w:t>
      </w:r>
      <w:r w:rsidR="00433960">
        <w:rPr>
          <w:rFonts w:ascii="Avenir Next" w:hAnsi="Avenir Next" w:cs="Arial"/>
          <w:color w:val="7B7B7B" w:themeColor="accent3" w:themeShade="BF"/>
          <w:sz w:val="22"/>
          <w:szCs w:val="22"/>
          <w:lang w:val="en-GB"/>
        </w:rPr>
        <w:t xml:space="preserve">by administrative steps </w:t>
      </w:r>
      <w:r w:rsidR="005A5E48">
        <w:rPr>
          <w:rFonts w:ascii="Avenir Next" w:hAnsi="Avenir Next" w:cs="Arial"/>
          <w:color w:val="7B7B7B" w:themeColor="accent3" w:themeShade="BF"/>
          <w:sz w:val="22"/>
          <w:szCs w:val="22"/>
          <w:lang w:val="en-GB"/>
        </w:rPr>
        <w:t>out of court (such as by a resolution of the company to begin business rescue proceedings or voluntary liquidation; as well as by exercise of a power of appointment contained in a deed e.g debenture holder appointing a receiver).</w:t>
      </w:r>
    </w:p>
    <w:p w14:paraId="77F6604E" w14:textId="010569F0" w:rsidR="005A5E48" w:rsidRDefault="005A5E48" w:rsidP="00C053F7">
      <w:pPr>
        <w:jc w:val="both"/>
        <w:rPr>
          <w:rFonts w:ascii="Avenir Next" w:hAnsi="Avenir Next" w:cs="Arial"/>
          <w:color w:val="7B7B7B" w:themeColor="accent3" w:themeShade="BF"/>
          <w:sz w:val="22"/>
          <w:szCs w:val="22"/>
          <w:lang w:val="en-GB"/>
        </w:rPr>
      </w:pPr>
    </w:p>
    <w:p w14:paraId="79FA4847" w14:textId="00AC85C5" w:rsidR="00EC06AB" w:rsidRDefault="005A5E4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for </w:t>
      </w:r>
      <w:r w:rsidR="00EC0D9E">
        <w:rPr>
          <w:rFonts w:ascii="Avenir Next" w:hAnsi="Avenir Next" w:cs="Arial"/>
          <w:color w:val="7B7B7B" w:themeColor="accent3" w:themeShade="BF"/>
          <w:sz w:val="22"/>
          <w:szCs w:val="22"/>
          <w:lang w:val="en-GB"/>
        </w:rPr>
        <w:t>assets that can be affected, generally speaking, insolvency proceedings can affect all traceable assets of a corporation unless they are encumbered. On the other hand it is not unheard of for the laws of a land to</w:t>
      </w:r>
      <w:r w:rsidR="00EC06AB">
        <w:rPr>
          <w:rFonts w:ascii="Avenir Next" w:hAnsi="Avenir Next" w:cs="Arial"/>
          <w:color w:val="7B7B7B" w:themeColor="accent3" w:themeShade="BF"/>
          <w:sz w:val="22"/>
          <w:szCs w:val="22"/>
          <w:lang w:val="en-GB"/>
        </w:rPr>
        <w:t xml:space="preserve"> give a blanket</w:t>
      </w:r>
      <w:r w:rsidR="00EC0D9E">
        <w:rPr>
          <w:rFonts w:ascii="Avenir Next" w:hAnsi="Avenir Next" w:cs="Arial"/>
          <w:color w:val="7B7B7B" w:themeColor="accent3" w:themeShade="BF"/>
          <w:sz w:val="22"/>
          <w:szCs w:val="22"/>
          <w:lang w:val="en-GB"/>
        </w:rPr>
        <w:t xml:space="preserve"> e</w:t>
      </w:r>
      <w:r w:rsidR="00EC06AB">
        <w:rPr>
          <w:rFonts w:ascii="Avenir Next" w:hAnsi="Avenir Next" w:cs="Arial"/>
          <w:color w:val="7B7B7B" w:themeColor="accent3" w:themeShade="BF"/>
          <w:sz w:val="22"/>
          <w:szCs w:val="22"/>
          <w:lang w:val="en-GB"/>
        </w:rPr>
        <w:t xml:space="preserve">xemption of the essential household goods </w:t>
      </w:r>
      <w:r w:rsidR="006566D2">
        <w:rPr>
          <w:rFonts w:ascii="Avenir Next" w:hAnsi="Avenir Next" w:cs="Arial"/>
          <w:color w:val="7B7B7B" w:themeColor="accent3" w:themeShade="BF"/>
          <w:sz w:val="22"/>
          <w:szCs w:val="22"/>
          <w:lang w:val="en-GB"/>
        </w:rPr>
        <w:t>(</w:t>
      </w:r>
      <w:r w:rsidR="00EC06AB">
        <w:rPr>
          <w:rFonts w:ascii="Avenir Next" w:hAnsi="Avenir Next" w:cs="Arial"/>
          <w:color w:val="7B7B7B" w:themeColor="accent3" w:themeShade="BF"/>
          <w:sz w:val="22"/>
          <w:szCs w:val="22"/>
          <w:lang w:val="en-GB"/>
        </w:rPr>
        <w:t>of an individual</w:t>
      </w:r>
      <w:r w:rsidR="006566D2">
        <w:rPr>
          <w:rFonts w:ascii="Avenir Next" w:hAnsi="Avenir Next" w:cs="Arial"/>
          <w:color w:val="7B7B7B" w:themeColor="accent3" w:themeShade="BF"/>
          <w:sz w:val="22"/>
          <w:szCs w:val="22"/>
          <w:lang w:val="en-GB"/>
        </w:rPr>
        <w:t>)</w:t>
      </w:r>
      <w:r w:rsidR="00EC06AB">
        <w:rPr>
          <w:rFonts w:ascii="Avenir Next" w:hAnsi="Avenir Next" w:cs="Arial"/>
          <w:color w:val="7B7B7B" w:themeColor="accent3" w:themeShade="BF"/>
          <w:sz w:val="22"/>
          <w:szCs w:val="22"/>
          <w:lang w:val="en-GB"/>
        </w:rPr>
        <w:t xml:space="preserve"> from execution.</w:t>
      </w:r>
    </w:p>
    <w:p w14:paraId="0EA58C91" w14:textId="77777777" w:rsidR="00EC06AB" w:rsidRDefault="00EC06AB" w:rsidP="00C053F7">
      <w:pPr>
        <w:jc w:val="both"/>
        <w:rPr>
          <w:rFonts w:ascii="Avenir Next" w:hAnsi="Avenir Next" w:cs="Arial"/>
          <w:color w:val="7B7B7B" w:themeColor="accent3" w:themeShade="BF"/>
          <w:sz w:val="22"/>
          <w:szCs w:val="22"/>
          <w:lang w:val="en-GB"/>
        </w:rPr>
      </w:pPr>
    </w:p>
    <w:p w14:paraId="47BDBDE8" w14:textId="0F35D9F2" w:rsidR="005A5E48" w:rsidRPr="00827D56" w:rsidRDefault="00EC06AB"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Another area of distinction between the two is on possible effects. Insolvency proceedings can threaten the very existence of a corporation in that it can be dissolved after a winding up and its stakeholders (directors and shareholders) can su</w:t>
      </w:r>
      <w:r w:rsidR="004D2AF9">
        <w:rPr>
          <w:rFonts w:ascii="Avenir Next" w:hAnsi="Avenir Next" w:cs="Arial"/>
          <w:color w:val="7B7B7B" w:themeColor="accent3" w:themeShade="BF"/>
          <w:sz w:val="22"/>
          <w:szCs w:val="22"/>
          <w:lang w:val="en-GB"/>
        </w:rPr>
        <w:t>ffer personal liability for the acts of the corporation</w:t>
      </w:r>
      <w:r>
        <w:rPr>
          <w:rFonts w:ascii="Avenir Next" w:hAnsi="Avenir Next" w:cs="Arial"/>
          <w:color w:val="7B7B7B" w:themeColor="accent3" w:themeShade="BF"/>
          <w:sz w:val="22"/>
          <w:szCs w:val="22"/>
          <w:lang w:val="en-GB"/>
        </w:rPr>
        <w:t>.</w:t>
      </w:r>
      <w:r w:rsidR="004D2AF9">
        <w:rPr>
          <w:rFonts w:ascii="Avenir Next" w:hAnsi="Avenir Next" w:cs="Arial"/>
          <w:color w:val="7B7B7B" w:themeColor="accent3" w:themeShade="BF"/>
          <w:sz w:val="22"/>
          <w:szCs w:val="22"/>
          <w:lang w:val="en-GB"/>
        </w:rPr>
        <w:t xml:space="preserve"> By contrast, an individual’s existence cannot be terminated by insolvency proceedings but their capacity to lead a normal life can be affected e.g contractual capacity taken away and eligibility for public office and offices of a fiduciary nature can also be</w:t>
      </w:r>
      <w:r w:rsidR="00BF1F2D">
        <w:rPr>
          <w:rFonts w:ascii="Avenir Next" w:hAnsi="Avenir Next" w:cs="Arial"/>
          <w:color w:val="7B7B7B" w:themeColor="accent3" w:themeShade="BF"/>
          <w:sz w:val="22"/>
          <w:szCs w:val="22"/>
          <w:lang w:val="en-GB"/>
        </w:rPr>
        <w:t xml:space="preserve"> eroded</w:t>
      </w:r>
      <w:r w:rsidR="004D2AF9">
        <w:rPr>
          <w:rFonts w:ascii="Avenir Next" w:hAnsi="Avenir Next" w:cs="Arial"/>
          <w:color w:val="7B7B7B" w:themeColor="accent3" w:themeShade="BF"/>
          <w:sz w:val="22"/>
          <w:szCs w:val="22"/>
          <w:lang w:val="en-GB"/>
        </w:rPr>
        <w:t>.</w:t>
      </w:r>
    </w:p>
    <w:p w14:paraId="5D5A1FA5" w14:textId="52F08AE0" w:rsidR="00D17FDC" w:rsidRDefault="00D17FDC" w:rsidP="00EC06AB">
      <w:pPr>
        <w:jc w:val="both"/>
        <w:rPr>
          <w:rFonts w:ascii="Avenir Next" w:hAnsi="Avenir Next" w:cs="Arial"/>
          <w:sz w:val="22"/>
          <w:szCs w:val="22"/>
          <w:lang w:val="en-GB"/>
        </w:rPr>
      </w:pPr>
    </w:p>
    <w:p w14:paraId="55FFFB1B" w14:textId="77777777" w:rsidR="00EC06AB" w:rsidRPr="00827D56" w:rsidRDefault="00EC06AB"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59FA1329" w14:textId="5EB24CD6" w:rsidR="002F6E50" w:rsidRDefault="00225E4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absence of uniformity</w:t>
      </w:r>
      <w:r w:rsidR="00692AAB">
        <w:rPr>
          <w:rFonts w:ascii="Avenir Next" w:hAnsi="Avenir Next" w:cs="Arial"/>
          <w:color w:val="7B7B7B" w:themeColor="accent3" w:themeShade="BF"/>
          <w:sz w:val="22"/>
          <w:szCs w:val="22"/>
          <w:lang w:val="en-GB"/>
        </w:rPr>
        <w:t xml:space="preserve"> and harmonisation</w:t>
      </w:r>
      <w:r w:rsidR="002F6E50">
        <w:rPr>
          <w:rFonts w:ascii="Avenir Next" w:hAnsi="Avenir Next" w:cs="Arial"/>
          <w:color w:val="7B7B7B" w:themeColor="accent3" w:themeShade="BF"/>
          <w:sz w:val="22"/>
          <w:szCs w:val="22"/>
          <w:lang w:val="en-GB"/>
        </w:rPr>
        <w:t xml:space="preserve"> between states</w:t>
      </w:r>
      <w:r>
        <w:rPr>
          <w:rFonts w:ascii="Avenir Next" w:hAnsi="Avenir Next" w:cs="Arial"/>
          <w:color w:val="7B7B7B" w:themeColor="accent3" w:themeShade="BF"/>
          <w:sz w:val="22"/>
          <w:szCs w:val="22"/>
          <w:lang w:val="en-GB"/>
        </w:rPr>
        <w:t xml:space="preserve"> in insolvency law; insolvency principles and cross border insolvency rules </w:t>
      </w:r>
      <w:r w:rsidR="002F6E50">
        <w:rPr>
          <w:rFonts w:ascii="Avenir Next" w:hAnsi="Avenir Next" w:cs="Arial"/>
          <w:color w:val="7B7B7B" w:themeColor="accent3" w:themeShade="BF"/>
          <w:sz w:val="22"/>
          <w:szCs w:val="22"/>
          <w:lang w:val="en-GB"/>
        </w:rPr>
        <w:t>can pose</w:t>
      </w:r>
      <w:r>
        <w:rPr>
          <w:rFonts w:ascii="Avenir Next" w:hAnsi="Avenir Next" w:cs="Arial"/>
          <w:color w:val="7B7B7B" w:themeColor="accent3" w:themeShade="BF"/>
          <w:sz w:val="22"/>
          <w:szCs w:val="22"/>
          <w:lang w:val="en-GB"/>
        </w:rPr>
        <w:t xml:space="preserve"> difficulties. </w:t>
      </w:r>
    </w:p>
    <w:p w14:paraId="41B629C4" w14:textId="77777777" w:rsidR="002F6E50" w:rsidRDefault="002F6E50" w:rsidP="00C053F7">
      <w:pPr>
        <w:jc w:val="both"/>
        <w:rPr>
          <w:rFonts w:ascii="Avenir Next" w:hAnsi="Avenir Next" w:cs="Arial"/>
          <w:color w:val="7B7B7B" w:themeColor="accent3" w:themeShade="BF"/>
          <w:sz w:val="22"/>
          <w:szCs w:val="22"/>
          <w:lang w:val="en-GB"/>
        </w:rPr>
      </w:pPr>
    </w:p>
    <w:p w14:paraId="0974406B" w14:textId="0A160A54" w:rsidR="002F6E50" w:rsidRDefault="00225E4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Real differences in approach can be impacted</w:t>
      </w:r>
      <w:r w:rsidR="002F6E50">
        <w:rPr>
          <w:rFonts w:ascii="Avenir Next" w:hAnsi="Avenir Next" w:cs="Arial"/>
          <w:color w:val="7B7B7B" w:themeColor="accent3" w:themeShade="BF"/>
          <w:sz w:val="22"/>
          <w:szCs w:val="22"/>
          <w:lang w:val="en-GB"/>
        </w:rPr>
        <w:t xml:space="preserve">: by the general </w:t>
      </w:r>
      <w:r w:rsidR="00EE5533">
        <w:rPr>
          <w:rFonts w:ascii="Avenir Next" w:hAnsi="Avenir Next" w:cs="Arial"/>
          <w:color w:val="7B7B7B" w:themeColor="accent3" w:themeShade="BF"/>
          <w:sz w:val="22"/>
          <w:szCs w:val="22"/>
          <w:lang w:val="en-GB"/>
        </w:rPr>
        <w:t>orientation of their systems (e.</w:t>
      </w:r>
      <w:r w:rsidR="002F6E50">
        <w:rPr>
          <w:rFonts w:ascii="Avenir Next" w:hAnsi="Avenir Next" w:cs="Arial"/>
          <w:color w:val="7B7B7B" w:themeColor="accent3" w:themeShade="BF"/>
          <w:sz w:val="22"/>
          <w:szCs w:val="22"/>
          <w:lang w:val="en-GB"/>
        </w:rPr>
        <w:t>g civil law versus common law);</w:t>
      </w:r>
      <w:r>
        <w:rPr>
          <w:rFonts w:ascii="Avenir Next" w:hAnsi="Avenir Next" w:cs="Arial"/>
          <w:color w:val="7B7B7B" w:themeColor="accent3" w:themeShade="BF"/>
          <w:sz w:val="22"/>
          <w:szCs w:val="22"/>
          <w:lang w:val="en-GB"/>
        </w:rPr>
        <w:t xml:space="preserve"> by their local legal culture; by the way they deal with security rights and </w:t>
      </w:r>
      <w:r>
        <w:rPr>
          <w:rFonts w:ascii="Avenir Next" w:hAnsi="Avenir Next" w:cs="Arial"/>
          <w:color w:val="7B7B7B" w:themeColor="accent3" w:themeShade="BF"/>
          <w:sz w:val="22"/>
          <w:szCs w:val="22"/>
          <w:lang w:val="en-GB"/>
        </w:rPr>
        <w:lastRenderedPageBreak/>
        <w:t>labour issues; by their adopted terminolog</w:t>
      </w:r>
      <w:r w:rsidR="002F6E50">
        <w:rPr>
          <w:rFonts w:ascii="Avenir Next" w:hAnsi="Avenir Next" w:cs="Arial"/>
          <w:color w:val="7B7B7B" w:themeColor="accent3" w:themeShade="BF"/>
          <w:sz w:val="22"/>
          <w:szCs w:val="22"/>
          <w:lang w:val="en-GB"/>
        </w:rPr>
        <w:t>y; by their policy considerations (eg pro-debtor versus pro-creditor).</w:t>
      </w:r>
    </w:p>
    <w:p w14:paraId="02E4C1CE" w14:textId="77777777" w:rsidR="002F6E50" w:rsidRDefault="002F6E50" w:rsidP="00C053F7">
      <w:pPr>
        <w:jc w:val="both"/>
        <w:rPr>
          <w:rFonts w:ascii="Avenir Next" w:hAnsi="Avenir Next" w:cs="Arial"/>
          <w:color w:val="7B7B7B" w:themeColor="accent3" w:themeShade="BF"/>
          <w:sz w:val="22"/>
          <w:szCs w:val="22"/>
          <w:lang w:val="en-GB"/>
        </w:rPr>
      </w:pPr>
    </w:p>
    <w:p w14:paraId="7940D274" w14:textId="08C8039E" w:rsidR="00DF75F8" w:rsidRPr="002F6E50" w:rsidRDefault="002F6E5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Such differences can even result in the same debtor being found to be insolvent in one state but solvent in another. It can also make it difficult</w:t>
      </w:r>
      <w:r w:rsidR="00EE72BC">
        <w:rPr>
          <w:rFonts w:ascii="Avenir Next" w:hAnsi="Avenir Next" w:cs="Arial"/>
          <w:color w:val="7B7B7B" w:themeColor="accent3" w:themeShade="BF"/>
          <w:sz w:val="22"/>
          <w:szCs w:val="22"/>
          <w:lang w:val="en-GB"/>
        </w:rPr>
        <w:t xml:space="preserve"> for a foreign representative to have access in another state and also impede efforts</w:t>
      </w:r>
      <w:r>
        <w:rPr>
          <w:rFonts w:ascii="Avenir Next" w:hAnsi="Avenir Next" w:cs="Arial"/>
          <w:color w:val="7B7B7B" w:themeColor="accent3" w:themeShade="BF"/>
          <w:sz w:val="22"/>
          <w:szCs w:val="22"/>
          <w:lang w:val="en-GB"/>
        </w:rPr>
        <w:t xml:space="preserve"> to coordinate and cooperate between courts and authorities of different states over the assets of a common debtor</w:t>
      </w:r>
      <w:r w:rsidR="00456C73">
        <w:rPr>
          <w:rFonts w:ascii="Avenir Next" w:hAnsi="Avenir Next" w:cs="Arial"/>
          <w:color w:val="7B7B7B" w:themeColor="accent3" w:themeShade="BF"/>
          <w:sz w:val="22"/>
          <w:szCs w:val="22"/>
          <w:lang w:val="en-GB"/>
        </w:rPr>
        <w:t xml:space="preserve"> and general recognition and enforcement of their judgments and orders</w:t>
      </w:r>
      <w:r>
        <w:rPr>
          <w:rFonts w:ascii="Avenir Next" w:hAnsi="Avenir Next" w:cs="Arial"/>
          <w:color w:val="7B7B7B" w:themeColor="accent3" w:themeShade="BF"/>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E97761">
      <w:pPr>
        <w:ind w:firstLine="720"/>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757346CE" w:rsidR="00DF75F8" w:rsidRDefault="00F678A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At multilateral level, the United Nations Commission for International Trade Law (UNCITRAL) </w:t>
      </w:r>
      <w:r w:rsidR="00927433">
        <w:rPr>
          <w:rFonts w:ascii="Avenir Next" w:hAnsi="Avenir Next" w:cs="Arial"/>
          <w:color w:val="7B7B7B" w:themeColor="accent3" w:themeShade="BF"/>
          <w:sz w:val="22"/>
          <w:szCs w:val="22"/>
          <w:lang w:val="en-GB"/>
        </w:rPr>
        <w:t xml:space="preserve">has </w:t>
      </w:r>
      <w:r>
        <w:rPr>
          <w:rFonts w:ascii="Avenir Next" w:hAnsi="Avenir Next" w:cs="Arial"/>
          <w:color w:val="7B7B7B" w:themeColor="accent3" w:themeShade="BF"/>
          <w:sz w:val="22"/>
          <w:szCs w:val="22"/>
          <w:lang w:val="en-GB"/>
        </w:rPr>
        <w:t>devised</w:t>
      </w:r>
      <w:r w:rsidR="00927433">
        <w:rPr>
          <w:rFonts w:ascii="Avenir Next" w:hAnsi="Avenir Next" w:cs="Arial"/>
          <w:color w:val="7B7B7B" w:themeColor="accent3" w:themeShade="BF"/>
          <w:sz w:val="22"/>
          <w:szCs w:val="22"/>
          <w:lang w:val="en-GB"/>
        </w:rPr>
        <w:t xml:space="preserve"> soft law </w:t>
      </w:r>
      <w:r w:rsidR="002520AD">
        <w:rPr>
          <w:rFonts w:ascii="Avenir Next" w:hAnsi="Avenir Next" w:cs="Arial"/>
          <w:color w:val="7B7B7B" w:themeColor="accent3" w:themeShade="BF"/>
          <w:sz w:val="22"/>
          <w:szCs w:val="22"/>
          <w:lang w:val="en-GB"/>
        </w:rPr>
        <w:t>solutions such as</w:t>
      </w:r>
      <w:r>
        <w:rPr>
          <w:rFonts w:ascii="Avenir Next" w:hAnsi="Avenir Next" w:cs="Arial"/>
          <w:color w:val="7B7B7B" w:themeColor="accent3" w:themeShade="BF"/>
          <w:sz w:val="22"/>
          <w:szCs w:val="22"/>
          <w:lang w:val="en-GB"/>
        </w:rPr>
        <w:t xml:space="preserve"> the UNCITRAL Legislative Guide on Insolvency Law in 2004, which serves as a useful benchmark for member states in their quest to frame or update their insolvency laws.</w:t>
      </w:r>
      <w:r w:rsidR="002520AD">
        <w:rPr>
          <w:rFonts w:ascii="Avenir Next" w:hAnsi="Avenir Next" w:cs="Arial"/>
          <w:color w:val="7B7B7B" w:themeColor="accent3" w:themeShade="BF"/>
          <w:sz w:val="22"/>
          <w:szCs w:val="22"/>
          <w:lang w:val="en-GB"/>
        </w:rPr>
        <w:t xml:space="preserve"> </w:t>
      </w:r>
    </w:p>
    <w:p w14:paraId="0D367DFC" w14:textId="50522F20" w:rsidR="00F678A2" w:rsidRDefault="00F678A2" w:rsidP="00C053F7">
      <w:pPr>
        <w:jc w:val="both"/>
        <w:rPr>
          <w:rFonts w:ascii="Avenir Next" w:hAnsi="Avenir Next" w:cs="Arial"/>
          <w:color w:val="7B7B7B" w:themeColor="accent3" w:themeShade="BF"/>
          <w:sz w:val="22"/>
          <w:szCs w:val="22"/>
          <w:lang w:val="en-GB"/>
        </w:rPr>
      </w:pPr>
    </w:p>
    <w:p w14:paraId="2C6466EC" w14:textId="487EE968" w:rsidR="00927433" w:rsidRDefault="00F678A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International organisations such as the World Bank also devised the Principles for Effective Insolvency and Creditor/Debtor Regimes in 2001 (later revised in 2005,2011 and 2015). The World Bank and UNCITRAL have collaborated to ensure uniformity in approach between the Legislative Guide and the </w:t>
      </w:r>
      <w:r w:rsidR="003771E2">
        <w:rPr>
          <w:rFonts w:ascii="Avenir Next" w:hAnsi="Avenir Next" w:cs="Arial"/>
          <w:color w:val="7B7B7B" w:themeColor="accent3" w:themeShade="BF"/>
          <w:sz w:val="22"/>
          <w:szCs w:val="22"/>
          <w:lang w:val="en-GB"/>
        </w:rPr>
        <w:t xml:space="preserve">ICR </w:t>
      </w:r>
      <w:r>
        <w:rPr>
          <w:rFonts w:ascii="Avenir Next" w:hAnsi="Avenir Next" w:cs="Arial"/>
          <w:color w:val="7B7B7B" w:themeColor="accent3" w:themeShade="BF"/>
          <w:sz w:val="22"/>
          <w:szCs w:val="22"/>
          <w:lang w:val="en-GB"/>
        </w:rPr>
        <w:t>Principles. The two have</w:t>
      </w:r>
      <w:r w:rsidR="00927433">
        <w:rPr>
          <w:rFonts w:ascii="Avenir Next" w:hAnsi="Avenir Next" w:cs="Arial"/>
          <w:color w:val="7B7B7B" w:themeColor="accent3" w:themeShade="BF"/>
          <w:sz w:val="22"/>
          <w:szCs w:val="22"/>
          <w:lang w:val="en-GB"/>
        </w:rPr>
        <w:t xml:space="preserve"> been used by the World Bank as tools of law reform in states as part of the conditions for assistance.</w:t>
      </w:r>
      <w:r w:rsidR="006A7970">
        <w:rPr>
          <w:rFonts w:ascii="Avenir Next" w:hAnsi="Avenir Next" w:cs="Arial"/>
          <w:color w:val="7B7B7B" w:themeColor="accent3" w:themeShade="BF"/>
          <w:sz w:val="22"/>
          <w:szCs w:val="22"/>
          <w:lang w:val="en-GB"/>
        </w:rPr>
        <w:t xml:space="preserve"> Such reforms where implemented arguably add the relevant states to the pool of uniformity</w:t>
      </w:r>
      <w:r w:rsidR="00270058">
        <w:rPr>
          <w:rFonts w:ascii="Avenir Next" w:hAnsi="Avenir Next" w:cs="Arial"/>
          <w:color w:val="7B7B7B" w:themeColor="accent3" w:themeShade="BF"/>
          <w:sz w:val="22"/>
          <w:szCs w:val="22"/>
          <w:lang w:val="en-GB"/>
        </w:rPr>
        <w:t xml:space="preserve"> comprising other states </w:t>
      </w:r>
      <w:r w:rsidR="008A0BE3">
        <w:rPr>
          <w:rFonts w:ascii="Avenir Next" w:hAnsi="Avenir Next" w:cs="Arial"/>
          <w:color w:val="7B7B7B" w:themeColor="accent3" w:themeShade="BF"/>
          <w:sz w:val="22"/>
          <w:szCs w:val="22"/>
          <w:lang w:val="en-GB"/>
        </w:rPr>
        <w:t xml:space="preserve">that have embraced the </w:t>
      </w:r>
      <w:r w:rsidR="001E4514">
        <w:rPr>
          <w:rFonts w:ascii="Avenir Next" w:hAnsi="Avenir Next" w:cs="Arial"/>
          <w:color w:val="7B7B7B" w:themeColor="accent3" w:themeShade="BF"/>
          <w:sz w:val="22"/>
          <w:szCs w:val="22"/>
          <w:lang w:val="en-GB"/>
        </w:rPr>
        <w:t>Legislative Guide and the ICR Principles.</w:t>
      </w:r>
    </w:p>
    <w:p w14:paraId="470E9BBD" w14:textId="77777777" w:rsidR="00927433" w:rsidRDefault="00927433" w:rsidP="00C053F7">
      <w:pPr>
        <w:jc w:val="both"/>
        <w:rPr>
          <w:rFonts w:ascii="Avenir Next" w:hAnsi="Avenir Next" w:cs="Arial"/>
          <w:color w:val="7B7B7B" w:themeColor="accent3" w:themeShade="BF"/>
          <w:sz w:val="22"/>
          <w:szCs w:val="22"/>
          <w:lang w:val="en-GB"/>
        </w:rPr>
      </w:pPr>
    </w:p>
    <w:p w14:paraId="489D4922" w14:textId="77777777" w:rsidR="003771E2" w:rsidRDefault="0092743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Regional bodies such as the European Union have managed to implement hard law solutions such as promulgation of the European Insolvency Regulation in 2000, later recast in 2015 and amended in 2021</w:t>
      </w:r>
      <w:r w:rsidR="003771E2">
        <w:rPr>
          <w:rFonts w:ascii="Avenir Next" w:hAnsi="Avenir Next" w:cs="Arial"/>
          <w:color w:val="7B7B7B" w:themeColor="accent3" w:themeShade="BF"/>
          <w:sz w:val="22"/>
          <w:szCs w:val="22"/>
          <w:lang w:val="en-GB"/>
        </w:rPr>
        <w:t>.</w:t>
      </w:r>
    </w:p>
    <w:p w14:paraId="298CA535" w14:textId="79660965" w:rsidR="00241DAE" w:rsidRDefault="00241DAE" w:rsidP="00C053F7">
      <w:pPr>
        <w:jc w:val="both"/>
        <w:rPr>
          <w:rFonts w:ascii="Avenir Next" w:hAnsi="Avenir Next" w:cs="Arial"/>
          <w:color w:val="7B7B7B" w:themeColor="accent3" w:themeShade="BF"/>
          <w:sz w:val="22"/>
          <w:szCs w:val="22"/>
          <w:lang w:val="en-GB"/>
        </w:rPr>
      </w:pPr>
    </w:p>
    <w:p w14:paraId="7BE6B95C" w14:textId="697EA9BD" w:rsidR="00F678A2" w:rsidRDefault="003771E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Legislative Guide and the ICR Principles are very comprehensive and practical materials such that if properly internalised and implemented by states they can be an effective tool for a harmonised and orderly approach</w:t>
      </w:r>
      <w:r w:rsidR="00241DAE">
        <w:rPr>
          <w:rFonts w:ascii="Avenir Next" w:hAnsi="Avenir Next" w:cs="Arial"/>
          <w:color w:val="7B7B7B" w:themeColor="accent3" w:themeShade="BF"/>
          <w:sz w:val="22"/>
          <w:szCs w:val="22"/>
          <w:lang w:val="en-GB"/>
        </w:rPr>
        <w:t xml:space="preserve"> to international insolvency issues in many parts of the world, given the wide membership of the UN and wide coverage of the World Bank’s work</w:t>
      </w:r>
      <w:r w:rsidR="00927433">
        <w:rPr>
          <w:rFonts w:ascii="Avenir Next" w:hAnsi="Avenir Next" w:cs="Arial"/>
          <w:color w:val="7B7B7B" w:themeColor="accent3" w:themeShade="BF"/>
          <w:sz w:val="22"/>
          <w:szCs w:val="22"/>
          <w:lang w:val="en-GB"/>
        </w:rPr>
        <w:t>.</w:t>
      </w:r>
      <w:r w:rsidR="00241DAE">
        <w:rPr>
          <w:rFonts w:ascii="Avenir Next" w:hAnsi="Avenir Next" w:cs="Arial"/>
          <w:color w:val="7B7B7B" w:themeColor="accent3" w:themeShade="BF"/>
          <w:sz w:val="22"/>
          <w:szCs w:val="22"/>
          <w:lang w:val="en-GB"/>
        </w:rPr>
        <w:t xml:space="preserve"> However, there is need for sensitisation and awareness to foster buy-in from key stakeholders in states as they may be either oblivious to or unwilling to embrace the Legislative Guide and ICR Principles</w:t>
      </w:r>
      <w:r w:rsidR="00927433">
        <w:rPr>
          <w:rFonts w:ascii="Avenir Next" w:hAnsi="Avenir Next" w:cs="Arial"/>
          <w:color w:val="7B7B7B" w:themeColor="accent3" w:themeShade="BF"/>
          <w:sz w:val="22"/>
          <w:szCs w:val="22"/>
          <w:lang w:val="en-GB"/>
        </w:rPr>
        <w:t>.</w:t>
      </w:r>
    </w:p>
    <w:p w14:paraId="3B45384A" w14:textId="604C60D6" w:rsidR="00241DAE" w:rsidRDefault="00241DAE" w:rsidP="00C053F7">
      <w:pPr>
        <w:jc w:val="both"/>
        <w:rPr>
          <w:rFonts w:ascii="Avenir Next" w:hAnsi="Avenir Next" w:cs="Arial"/>
          <w:color w:val="7B7B7B" w:themeColor="accent3" w:themeShade="BF"/>
          <w:sz w:val="22"/>
          <w:szCs w:val="22"/>
          <w:lang w:val="en-GB"/>
        </w:rPr>
      </w:pPr>
    </w:p>
    <w:p w14:paraId="6D2BD851" w14:textId="1BA0C027" w:rsidR="00241DAE" w:rsidRPr="00827D56" w:rsidRDefault="00241DAE"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regional hard law may be effective for a harmonised approach in the member states (e.g the E</w:t>
      </w:r>
      <w:r w:rsidR="002A77F8">
        <w:rPr>
          <w:rFonts w:ascii="Avenir Next" w:hAnsi="Avenir Next" w:cs="Arial"/>
          <w:color w:val="7B7B7B" w:themeColor="accent3" w:themeShade="BF"/>
          <w:sz w:val="22"/>
          <w:szCs w:val="22"/>
          <w:lang w:val="en-GB"/>
        </w:rPr>
        <w:t xml:space="preserve">uropean </w:t>
      </w:r>
      <w:r>
        <w:rPr>
          <w:rFonts w:ascii="Avenir Next" w:hAnsi="Avenir Next" w:cs="Arial"/>
          <w:color w:val="7B7B7B" w:themeColor="accent3" w:themeShade="BF"/>
          <w:sz w:val="22"/>
          <w:szCs w:val="22"/>
          <w:lang w:val="en-GB"/>
        </w:rPr>
        <w:t>U</w:t>
      </w:r>
      <w:r w:rsidR="002A77F8">
        <w:rPr>
          <w:rFonts w:ascii="Avenir Next" w:hAnsi="Avenir Next" w:cs="Arial"/>
          <w:color w:val="7B7B7B" w:themeColor="accent3" w:themeShade="BF"/>
          <w:sz w:val="22"/>
          <w:szCs w:val="22"/>
          <w:lang w:val="en-GB"/>
        </w:rPr>
        <w:t>nion</w:t>
      </w:r>
      <w:r>
        <w:rPr>
          <w:rFonts w:ascii="Avenir Next" w:hAnsi="Avenir Next" w:cs="Arial"/>
          <w:color w:val="7B7B7B" w:themeColor="accent3" w:themeShade="BF"/>
          <w:sz w:val="22"/>
          <w:szCs w:val="22"/>
          <w:lang w:val="en-GB"/>
        </w:rPr>
        <w:t xml:space="preserve">) but is of no application outside of the region and thus of limited impact in addressing international insolvency issues on a global scale. </w:t>
      </w:r>
    </w:p>
    <w:p w14:paraId="4AE7EA78" w14:textId="3EDA121B" w:rsidR="007D7C92" w:rsidRDefault="007D7C92" w:rsidP="00C053F7">
      <w:pPr>
        <w:ind w:left="720" w:hanging="720"/>
        <w:jc w:val="both"/>
        <w:rPr>
          <w:rFonts w:ascii="Avenir Next" w:hAnsi="Avenir Next" w:cs="Arial"/>
          <w:sz w:val="22"/>
          <w:szCs w:val="22"/>
          <w:lang w:val="en-GB"/>
        </w:rPr>
      </w:pPr>
    </w:p>
    <w:p w14:paraId="4EF57318" w14:textId="64F3925A" w:rsidR="003771E2" w:rsidRPr="00827D56" w:rsidRDefault="003771E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w:t>
      </w:r>
      <w:r w:rsidRPr="00827D56">
        <w:rPr>
          <w:rFonts w:ascii="Avenir Next" w:hAnsi="Avenir Next" w:cs="Arial"/>
          <w:sz w:val="22"/>
          <w:szCs w:val="22"/>
          <w:lang w:val="en-GB"/>
        </w:rPr>
        <w:lastRenderedPageBreak/>
        <w:t xml:space="preserve">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4C75A4CE" w:rsidR="002F75A3" w:rsidRDefault="00061B5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the Cross-border Insolvency Act of Utopia, the liquidator would qualify as a foreign representative within the meaning of article 2(d).  It would thus be</w:t>
      </w:r>
      <w:r w:rsidR="00346F44">
        <w:rPr>
          <w:rFonts w:ascii="Avenir Next" w:hAnsi="Avenir Next" w:cs="Arial"/>
          <w:color w:val="7B7B7B" w:themeColor="accent3" w:themeShade="BF"/>
          <w:sz w:val="22"/>
          <w:szCs w:val="22"/>
          <w:lang w:val="en-GB"/>
        </w:rPr>
        <w:t xml:space="preserve"> possible and</w:t>
      </w:r>
      <w:r>
        <w:rPr>
          <w:rFonts w:ascii="Avenir Next" w:hAnsi="Avenir Next" w:cs="Arial"/>
          <w:color w:val="7B7B7B" w:themeColor="accent3" w:themeShade="BF"/>
          <w:sz w:val="22"/>
          <w:szCs w:val="22"/>
          <w:lang w:val="en-GB"/>
        </w:rPr>
        <w:t xml:space="preserve"> prudent to:</w:t>
      </w:r>
    </w:p>
    <w:p w14:paraId="395A34DF" w14:textId="5FBFB1C1" w:rsidR="00061B59" w:rsidRDefault="00061B59" w:rsidP="00C053F7">
      <w:pPr>
        <w:jc w:val="both"/>
        <w:rPr>
          <w:rFonts w:ascii="Avenir Next" w:hAnsi="Avenir Next" w:cs="Arial"/>
          <w:color w:val="7B7B7B" w:themeColor="accent3" w:themeShade="BF"/>
          <w:sz w:val="22"/>
          <w:szCs w:val="22"/>
          <w:lang w:val="en-GB"/>
        </w:rPr>
      </w:pPr>
    </w:p>
    <w:p w14:paraId="58132FE0" w14:textId="5A70176E" w:rsidR="00061B59" w:rsidRPr="00346F44" w:rsidRDefault="00061B59" w:rsidP="00061B59">
      <w:pPr>
        <w:pStyle w:val="ListParagraph"/>
        <w:numPr>
          <w:ilvl w:val="0"/>
          <w:numId w:val="23"/>
        </w:numPr>
        <w:jc w:val="both"/>
        <w:rPr>
          <w:rFonts w:ascii="Avenir Next" w:hAnsi="Avenir Next" w:cs="Arial"/>
          <w:sz w:val="22"/>
          <w:szCs w:val="22"/>
          <w:lang w:val="en-GB"/>
        </w:rPr>
      </w:pPr>
      <w:r w:rsidRPr="00061B59">
        <w:rPr>
          <w:rFonts w:ascii="Avenir Next" w:hAnsi="Avenir Next" w:cs="Arial"/>
          <w:color w:val="7B7B7B" w:themeColor="accent3" w:themeShade="BF"/>
          <w:sz w:val="22"/>
          <w:szCs w:val="22"/>
          <w:lang w:val="en-GB"/>
        </w:rPr>
        <w:t>apply under article 15(1) for recognition of the Erewhon case as a foreign proceeding albeit a foreign</w:t>
      </w:r>
      <w:r>
        <w:rPr>
          <w:rFonts w:ascii="Avenir Next" w:hAnsi="Avenir Next" w:cs="Arial"/>
          <w:color w:val="7B7B7B" w:themeColor="accent3" w:themeShade="BF"/>
          <w:sz w:val="22"/>
          <w:szCs w:val="22"/>
          <w:lang w:val="en-GB"/>
        </w:rPr>
        <w:t xml:space="preserve"> non-main proceeding (under article 15(2)(b) ) since Nadia’s centre of main interest appears from the facts to be in Utopia not Erewhon;</w:t>
      </w:r>
    </w:p>
    <w:p w14:paraId="193FC615" w14:textId="77777777" w:rsidR="00346F44" w:rsidRPr="00FC3961" w:rsidRDefault="00346F44" w:rsidP="00346F44">
      <w:pPr>
        <w:pStyle w:val="ListParagraph"/>
        <w:ind w:left="1080"/>
        <w:jc w:val="both"/>
        <w:rPr>
          <w:rFonts w:ascii="Avenir Next" w:hAnsi="Avenir Next" w:cs="Arial"/>
          <w:sz w:val="16"/>
          <w:szCs w:val="16"/>
          <w:lang w:val="en-GB"/>
        </w:rPr>
      </w:pPr>
    </w:p>
    <w:p w14:paraId="672B0B09" w14:textId="4E52CCBB" w:rsidR="00061B59" w:rsidRPr="00346F44" w:rsidRDefault="00061B59" w:rsidP="00061B59">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after recognition, apply for a stay of</w:t>
      </w:r>
      <w:r w:rsidR="00CD3EB9">
        <w:rPr>
          <w:rFonts w:ascii="Avenir Next" w:hAnsi="Avenir Next" w:cs="Arial"/>
          <w:color w:val="7B7B7B" w:themeColor="accent3" w:themeShade="BF"/>
          <w:sz w:val="22"/>
          <w:szCs w:val="22"/>
          <w:lang w:val="en-GB"/>
        </w:rPr>
        <w:t xml:space="preserve"> continuation of the case in Utopia and of</w:t>
      </w:r>
      <w:r>
        <w:rPr>
          <w:rFonts w:ascii="Avenir Next" w:hAnsi="Avenir Next" w:cs="Arial"/>
          <w:color w:val="7B7B7B" w:themeColor="accent3" w:themeShade="BF"/>
          <w:sz w:val="22"/>
          <w:szCs w:val="22"/>
          <w:lang w:val="en-GB"/>
        </w:rPr>
        <w:t xml:space="preserve"> any execution against Nadia’s assets in Utopia and for a suspension of any right of disposal of Nadia’s assets in Utopia (pursuant to article 21(1)</w:t>
      </w:r>
      <w:r w:rsidR="00CD3EB9">
        <w:rPr>
          <w:rFonts w:ascii="Avenir Next" w:hAnsi="Avenir Next" w:cs="Arial"/>
          <w:color w:val="7B7B7B" w:themeColor="accent3" w:themeShade="BF"/>
          <w:sz w:val="22"/>
          <w:szCs w:val="22"/>
          <w:lang w:val="en-GB"/>
        </w:rPr>
        <w:t xml:space="preserve">(a), </w:t>
      </w:r>
      <w:r>
        <w:rPr>
          <w:rFonts w:ascii="Avenir Next" w:hAnsi="Avenir Next" w:cs="Arial"/>
          <w:color w:val="7B7B7B" w:themeColor="accent3" w:themeShade="BF"/>
          <w:sz w:val="22"/>
          <w:szCs w:val="22"/>
          <w:lang w:val="en-GB"/>
        </w:rPr>
        <w:t>(b) and (c) and article 23);</w:t>
      </w:r>
    </w:p>
    <w:p w14:paraId="621F2938" w14:textId="64396135" w:rsidR="00346F44" w:rsidRPr="00FC3961" w:rsidRDefault="00346F44" w:rsidP="00346F44">
      <w:pPr>
        <w:jc w:val="both"/>
        <w:rPr>
          <w:rFonts w:ascii="Avenir Next" w:hAnsi="Avenir Next" w:cs="Arial"/>
          <w:sz w:val="16"/>
          <w:szCs w:val="16"/>
          <w:lang w:val="en-GB"/>
        </w:rPr>
      </w:pPr>
    </w:p>
    <w:p w14:paraId="43DBE3EE" w14:textId="0CDECADF" w:rsidR="00346F44" w:rsidRPr="00346F44" w:rsidRDefault="00CD3EB9" w:rsidP="00061B59">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if the stay of proceedings is refused, </w:t>
      </w:r>
      <w:r w:rsidR="00061B59">
        <w:rPr>
          <w:rFonts w:ascii="Avenir Next" w:hAnsi="Avenir Next" w:cs="Arial"/>
          <w:color w:val="7B7B7B" w:themeColor="accent3" w:themeShade="BF"/>
          <w:sz w:val="22"/>
          <w:szCs w:val="22"/>
          <w:lang w:val="en-GB"/>
        </w:rPr>
        <w:t xml:space="preserve">participate in the substantive case in Utopia as an intervener to ensure that nothing happens which would render the liquidation process in Erewhon academic as far as gathering and realising the assets of Nadia is concerned (pursuant to </w:t>
      </w:r>
      <w:r w:rsidR="00134423">
        <w:rPr>
          <w:rFonts w:ascii="Avenir Next" w:hAnsi="Avenir Next" w:cs="Arial"/>
          <w:color w:val="7B7B7B" w:themeColor="accent3" w:themeShade="BF"/>
          <w:sz w:val="22"/>
          <w:szCs w:val="22"/>
          <w:lang w:val="en-GB"/>
        </w:rPr>
        <w:t>article 24</w:t>
      </w:r>
      <w:r w:rsidR="00061B59">
        <w:rPr>
          <w:rFonts w:ascii="Avenir Next" w:hAnsi="Avenir Next" w:cs="Arial"/>
          <w:color w:val="7B7B7B" w:themeColor="accent3" w:themeShade="BF"/>
          <w:sz w:val="22"/>
          <w:szCs w:val="22"/>
          <w:lang w:val="en-GB"/>
        </w:rPr>
        <w:t>)</w:t>
      </w:r>
      <w:r w:rsidR="00346F44">
        <w:rPr>
          <w:rFonts w:ascii="Avenir Next" w:hAnsi="Avenir Next" w:cs="Arial"/>
          <w:color w:val="7B7B7B" w:themeColor="accent3" w:themeShade="BF"/>
          <w:sz w:val="22"/>
          <w:szCs w:val="22"/>
          <w:lang w:val="en-GB"/>
        </w:rPr>
        <w:t>;</w:t>
      </w:r>
    </w:p>
    <w:p w14:paraId="7ECCB44D" w14:textId="0C19DEBB" w:rsidR="00346F44" w:rsidRPr="00FC3961" w:rsidRDefault="00346F44" w:rsidP="00346F44">
      <w:pPr>
        <w:jc w:val="both"/>
        <w:rPr>
          <w:rFonts w:ascii="Avenir Next" w:hAnsi="Avenir Next" w:cs="Arial"/>
          <w:sz w:val="16"/>
          <w:szCs w:val="16"/>
          <w:lang w:val="en-GB"/>
        </w:rPr>
      </w:pPr>
    </w:p>
    <w:p w14:paraId="688DC389" w14:textId="589FB75F" w:rsidR="00346F44" w:rsidRPr="00346F44" w:rsidRDefault="00346F44" w:rsidP="00346F44">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seek, pursuant to article 21(2) for an order to allow </w:t>
      </w:r>
      <w:r w:rsidR="00CD3EB9">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liquidator to be entrusted to gather, realise and distribute Nadia’s assets in Utopia after the winding up is complete in Erewhon; and</w:t>
      </w:r>
    </w:p>
    <w:p w14:paraId="75938033" w14:textId="0B80C76D" w:rsidR="00346F44" w:rsidRPr="00FC3961" w:rsidRDefault="00346F44" w:rsidP="00FC3961">
      <w:pPr>
        <w:jc w:val="both"/>
        <w:rPr>
          <w:rFonts w:ascii="Avenir Next" w:hAnsi="Avenir Next" w:cs="Arial"/>
          <w:sz w:val="16"/>
          <w:szCs w:val="16"/>
          <w:lang w:val="en-GB"/>
        </w:rPr>
      </w:pPr>
    </w:p>
    <w:p w14:paraId="50D0D25E" w14:textId="1F5D6DD8" w:rsidR="00061B59" w:rsidRPr="00061B59" w:rsidRDefault="00346F44" w:rsidP="00061B59">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seek </w:t>
      </w:r>
      <w:r w:rsidR="00F753F1">
        <w:rPr>
          <w:rFonts w:ascii="Avenir Next" w:hAnsi="Avenir Next" w:cs="Arial"/>
          <w:color w:val="7B7B7B" w:themeColor="accent3" w:themeShade="BF"/>
          <w:sz w:val="22"/>
          <w:szCs w:val="22"/>
          <w:lang w:val="en-GB"/>
        </w:rPr>
        <w:t xml:space="preserve">any necessary </w:t>
      </w:r>
      <w:r>
        <w:rPr>
          <w:rFonts w:ascii="Avenir Next" w:hAnsi="Avenir Next" w:cs="Arial"/>
          <w:color w:val="7B7B7B" w:themeColor="accent3" w:themeShade="BF"/>
          <w:sz w:val="22"/>
          <w:szCs w:val="22"/>
          <w:lang w:val="en-GB"/>
        </w:rPr>
        <w:t>cooperation between the Courts of Erewhon and Utopia in ways provided under article 27</w:t>
      </w:r>
      <w:r w:rsidR="00482EB6">
        <w:rPr>
          <w:rFonts w:ascii="Avenir Next" w:hAnsi="Avenir Next" w:cs="Arial"/>
          <w:color w:val="7B7B7B" w:themeColor="accent3" w:themeShade="BF"/>
          <w:sz w:val="22"/>
          <w:szCs w:val="22"/>
          <w:lang w:val="en-GB"/>
        </w:rPr>
        <w:t xml:space="preserve"> and</w:t>
      </w:r>
      <w:r w:rsidR="00EF2861">
        <w:rPr>
          <w:rFonts w:ascii="Avenir Next" w:hAnsi="Avenir Next" w:cs="Arial"/>
          <w:color w:val="7B7B7B" w:themeColor="accent3" w:themeShade="BF"/>
          <w:sz w:val="22"/>
          <w:szCs w:val="22"/>
          <w:lang w:val="en-GB"/>
        </w:rPr>
        <w:t xml:space="preserve"> for purposes of recognition and enforcement of the Erewhon court judgment and orders</w:t>
      </w:r>
      <w:r>
        <w:rPr>
          <w:rFonts w:ascii="Avenir Next" w:hAnsi="Avenir Next" w:cs="Arial"/>
          <w:color w:val="7B7B7B" w:themeColor="accent3" w:themeShade="BF"/>
          <w:sz w:val="22"/>
          <w:szCs w:val="22"/>
          <w:lang w:val="en-GB"/>
        </w:rPr>
        <w:t>.</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0E931577" w:rsidR="002D3473" w:rsidRPr="00827D56" w:rsidRDefault="00B45725"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the scenario under 4.2 (a)</w:t>
      </w:r>
      <w:r w:rsidR="00016534">
        <w:rPr>
          <w:rFonts w:ascii="Avenir Next" w:hAnsi="Avenir Next" w:cs="Arial"/>
          <w:color w:val="7B7B7B" w:themeColor="accent3" w:themeShade="BF"/>
          <w:sz w:val="22"/>
          <w:szCs w:val="22"/>
          <w:lang w:val="en-GB"/>
        </w:rPr>
        <w:t xml:space="preserve"> my advice would be different from 4.1 as it would be premature for then prospective liquidator to approach the Utopian Court since the definition of ‘foreign representative’ and standing conferred thereby (article 2(d) and recognition under article 15) is limited to actual appointees not intended appointees.</w:t>
      </w:r>
      <w:r w:rsidR="00BC49A0">
        <w:rPr>
          <w:rFonts w:ascii="Avenir Next" w:hAnsi="Avenir Next" w:cs="Arial"/>
          <w:color w:val="7B7B7B" w:themeColor="accent3" w:themeShade="BF"/>
          <w:sz w:val="22"/>
          <w:szCs w:val="22"/>
          <w:lang w:val="en-GB"/>
        </w:rPr>
        <w:t xml:space="preserve"> I would thus advise that</w:t>
      </w:r>
      <w:r w:rsidR="00F753F1">
        <w:rPr>
          <w:rFonts w:ascii="Avenir Next" w:hAnsi="Avenir Next" w:cs="Arial"/>
          <w:color w:val="7B7B7B" w:themeColor="accent3" w:themeShade="BF"/>
          <w:sz w:val="22"/>
          <w:szCs w:val="22"/>
          <w:lang w:val="en-GB"/>
        </w:rPr>
        <w:t xml:space="preserve"> he gets</w:t>
      </w:r>
      <w:r w:rsidR="00BC49A0">
        <w:rPr>
          <w:rFonts w:ascii="Avenir Next" w:hAnsi="Avenir Next" w:cs="Arial"/>
          <w:color w:val="7B7B7B" w:themeColor="accent3" w:themeShade="BF"/>
          <w:sz w:val="22"/>
          <w:szCs w:val="22"/>
          <w:lang w:val="en-GB"/>
        </w:rPr>
        <w:t xml:space="preserve"> his principal</w:t>
      </w:r>
      <w:r w:rsidR="00F753F1">
        <w:rPr>
          <w:rFonts w:ascii="Avenir Next" w:hAnsi="Avenir Next" w:cs="Arial"/>
          <w:color w:val="7B7B7B" w:themeColor="accent3" w:themeShade="BF"/>
          <w:sz w:val="22"/>
          <w:szCs w:val="22"/>
          <w:lang w:val="en-GB"/>
        </w:rPr>
        <w:t xml:space="preserve"> to</w:t>
      </w:r>
      <w:r w:rsidR="00BC49A0">
        <w:rPr>
          <w:rFonts w:ascii="Avenir Next" w:hAnsi="Avenir Next" w:cs="Arial"/>
          <w:color w:val="7B7B7B" w:themeColor="accent3" w:themeShade="BF"/>
          <w:sz w:val="22"/>
          <w:szCs w:val="22"/>
          <w:lang w:val="en-GB"/>
        </w:rPr>
        <w:t xml:space="preserve"> fast </w:t>
      </w:r>
      <w:r w:rsidR="00F753F1">
        <w:rPr>
          <w:rFonts w:ascii="Avenir Next" w:hAnsi="Avenir Next" w:cs="Arial"/>
          <w:color w:val="7B7B7B" w:themeColor="accent3" w:themeShade="BF"/>
          <w:sz w:val="22"/>
          <w:szCs w:val="22"/>
          <w:lang w:val="en-GB"/>
        </w:rPr>
        <w:t>track</w:t>
      </w:r>
      <w:r w:rsidR="00BC49A0">
        <w:rPr>
          <w:rFonts w:ascii="Avenir Next" w:hAnsi="Avenir Next" w:cs="Arial"/>
          <w:color w:val="7B7B7B" w:themeColor="accent3" w:themeShade="BF"/>
          <w:sz w:val="22"/>
          <w:szCs w:val="22"/>
          <w:lang w:val="en-GB"/>
        </w:rPr>
        <w:t xml:space="preserve"> the Erewhon case </w:t>
      </w:r>
      <w:r w:rsidR="00F2328A">
        <w:rPr>
          <w:rFonts w:ascii="Avenir Next" w:hAnsi="Avenir Next" w:cs="Arial"/>
          <w:color w:val="7B7B7B" w:themeColor="accent3" w:themeShade="BF"/>
          <w:sz w:val="22"/>
          <w:szCs w:val="22"/>
          <w:lang w:val="en-GB"/>
        </w:rPr>
        <w:t xml:space="preserve">up </w:t>
      </w:r>
      <w:r w:rsidR="00BC49A0">
        <w:rPr>
          <w:rFonts w:ascii="Avenir Next" w:hAnsi="Avenir Next" w:cs="Arial"/>
          <w:color w:val="7B7B7B" w:themeColor="accent3" w:themeShade="BF"/>
          <w:sz w:val="22"/>
          <w:szCs w:val="22"/>
          <w:lang w:val="en-GB"/>
        </w:rPr>
        <w:t>to point of formal appointment of the liquidator.</w:t>
      </w:r>
    </w:p>
    <w:p w14:paraId="5308299C" w14:textId="77777777" w:rsidR="00876D14" w:rsidRDefault="00876D14" w:rsidP="00876D14">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1A44FACD" w14:textId="77777777" w:rsidR="00FB0B28" w:rsidRDefault="00876D14" w:rsidP="00876D14">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scenario under 4.2 (b) my advice would differ from 4.1 to the extent that I would end at recommending</w:t>
      </w:r>
      <w:r w:rsidR="00FB0B2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FB0B28">
        <w:rPr>
          <w:rFonts w:ascii="Avenir Next" w:hAnsi="Avenir Next" w:cs="Arial"/>
          <w:color w:val="7B7B7B" w:themeColor="accent3" w:themeShade="BF"/>
          <w:sz w:val="22"/>
          <w:szCs w:val="22"/>
          <w:lang w:val="en-GB"/>
        </w:rPr>
        <w:t xml:space="preserve">(i) </w:t>
      </w:r>
      <w:r>
        <w:rPr>
          <w:rFonts w:ascii="Avenir Next" w:hAnsi="Avenir Next" w:cs="Arial"/>
          <w:color w:val="7B7B7B" w:themeColor="accent3" w:themeShade="BF"/>
          <w:sz w:val="22"/>
          <w:szCs w:val="22"/>
          <w:lang w:val="en-GB"/>
        </w:rPr>
        <w:t>intervening and being heard in the winding up proceedings in Utopia (pursuant to article 24) to register and safeguard Apex’s interests as a creditor</w:t>
      </w:r>
      <w:r w:rsidR="00FB0B2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and </w:t>
      </w:r>
      <w:r w:rsidR="00FB0B28">
        <w:rPr>
          <w:rFonts w:ascii="Avenir Next" w:hAnsi="Avenir Next" w:cs="Arial"/>
          <w:color w:val="7B7B7B" w:themeColor="accent3" w:themeShade="BF"/>
          <w:sz w:val="22"/>
          <w:szCs w:val="22"/>
          <w:lang w:val="en-GB"/>
        </w:rPr>
        <w:t xml:space="preserve">(ii) </w:t>
      </w:r>
      <w:r>
        <w:rPr>
          <w:rFonts w:ascii="Avenir Next" w:hAnsi="Avenir Next" w:cs="Arial"/>
          <w:color w:val="7B7B7B" w:themeColor="accent3" w:themeShade="BF"/>
          <w:sz w:val="22"/>
          <w:szCs w:val="22"/>
          <w:lang w:val="en-GB"/>
        </w:rPr>
        <w:t xml:space="preserve">also for cooperation between the Courts in the two states. </w:t>
      </w:r>
    </w:p>
    <w:p w14:paraId="5E8BE405" w14:textId="77777777" w:rsidR="00FB0B28" w:rsidRDefault="00FB0B28" w:rsidP="00876D14">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5345B930" w14:textId="5573244D" w:rsidR="00FB0B28" w:rsidRDefault="00FB0B28" w:rsidP="00876D14">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different approach is because the</w:t>
      </w:r>
      <w:r w:rsidR="0059345C">
        <w:rPr>
          <w:rFonts w:ascii="Avenir Next" w:hAnsi="Avenir Next" w:cs="Arial"/>
          <w:color w:val="7B7B7B" w:themeColor="accent3" w:themeShade="BF"/>
          <w:sz w:val="22"/>
          <w:szCs w:val="22"/>
          <w:lang w:val="en-GB"/>
        </w:rPr>
        <w:t xml:space="preserve"> centre of main interest of Nadia appears from the facts</w:t>
      </w:r>
      <w:r>
        <w:rPr>
          <w:rFonts w:ascii="Avenir Next" w:hAnsi="Avenir Next" w:cs="Arial"/>
          <w:color w:val="7B7B7B" w:themeColor="accent3" w:themeShade="BF"/>
          <w:sz w:val="22"/>
          <w:szCs w:val="22"/>
          <w:lang w:val="en-GB"/>
        </w:rPr>
        <w:t xml:space="preserve"> to </w:t>
      </w:r>
      <w:r w:rsidR="00671998">
        <w:rPr>
          <w:rFonts w:ascii="Avenir Next" w:hAnsi="Avenir Next" w:cs="Arial"/>
          <w:color w:val="7B7B7B" w:themeColor="accent3" w:themeShade="BF"/>
          <w:sz w:val="22"/>
          <w:szCs w:val="22"/>
          <w:lang w:val="en-GB"/>
        </w:rPr>
        <w:t>be in Utopia such that the earlier</w:t>
      </w:r>
      <w:r>
        <w:rPr>
          <w:rFonts w:ascii="Avenir Next" w:hAnsi="Avenir Next" w:cs="Arial"/>
          <w:color w:val="7B7B7B" w:themeColor="accent3" w:themeShade="BF"/>
          <w:sz w:val="22"/>
          <w:szCs w:val="22"/>
          <w:lang w:val="en-GB"/>
        </w:rPr>
        <w:t xml:space="preserve"> </w:t>
      </w:r>
      <w:r w:rsidR="00671998">
        <w:rPr>
          <w:rFonts w:ascii="Avenir Next" w:hAnsi="Avenir Next" w:cs="Arial"/>
          <w:color w:val="7B7B7B" w:themeColor="accent3" w:themeShade="BF"/>
          <w:sz w:val="22"/>
          <w:szCs w:val="22"/>
          <w:lang w:val="en-GB"/>
        </w:rPr>
        <w:t>case</w:t>
      </w:r>
      <w:r>
        <w:rPr>
          <w:rFonts w:ascii="Avenir Next" w:hAnsi="Avenir Next" w:cs="Arial"/>
          <w:color w:val="7B7B7B" w:themeColor="accent3" w:themeShade="BF"/>
          <w:sz w:val="22"/>
          <w:szCs w:val="22"/>
          <w:lang w:val="en-GB"/>
        </w:rPr>
        <w:t xml:space="preserve"> in Utopia would be a foreign main proceeding in relation to the case in Erewhon. Consequently, rather than taking the lead role</w:t>
      </w:r>
      <w:r w:rsidR="0073096D">
        <w:rPr>
          <w:rFonts w:ascii="Avenir Next" w:hAnsi="Avenir Next" w:cs="Arial"/>
          <w:color w:val="7B7B7B" w:themeColor="accent3" w:themeShade="BF"/>
          <w:sz w:val="22"/>
          <w:szCs w:val="22"/>
          <w:lang w:val="en-GB"/>
        </w:rPr>
        <w:t xml:space="preserve"> for the Utopia case to cede to the Erewhon case</w:t>
      </w:r>
      <w:r>
        <w:rPr>
          <w:rFonts w:ascii="Avenir Next" w:hAnsi="Avenir Next" w:cs="Arial"/>
          <w:color w:val="7B7B7B" w:themeColor="accent3" w:themeShade="BF"/>
          <w:sz w:val="22"/>
          <w:szCs w:val="22"/>
          <w:lang w:val="en-GB"/>
        </w:rPr>
        <w:t xml:space="preserve"> like in 4.1, the Erewhon liquidator would </w:t>
      </w:r>
      <w:r w:rsidR="009D4E8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in scenario 4.2(b)</w:t>
      </w:r>
      <w:r w:rsidR="009D4E84">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 do well to closely watch the Utopia liquidator </w:t>
      </w:r>
      <w:r w:rsidR="009D4E84">
        <w:rPr>
          <w:rFonts w:ascii="Avenir Next" w:hAnsi="Avenir Next" w:cs="Arial"/>
          <w:color w:val="7B7B7B" w:themeColor="accent3" w:themeShade="BF"/>
          <w:sz w:val="22"/>
          <w:szCs w:val="22"/>
          <w:lang w:val="en-GB"/>
        </w:rPr>
        <w:t>play</w:t>
      </w:r>
      <w:r>
        <w:rPr>
          <w:rFonts w:ascii="Avenir Next" w:hAnsi="Avenir Next" w:cs="Arial"/>
          <w:color w:val="7B7B7B" w:themeColor="accent3" w:themeShade="BF"/>
          <w:sz w:val="22"/>
          <w:szCs w:val="22"/>
          <w:lang w:val="en-GB"/>
        </w:rPr>
        <w:t xml:space="preserve"> lead over the assets of Nadia but also</w:t>
      </w:r>
      <w:r w:rsidR="00832C13">
        <w:rPr>
          <w:rFonts w:ascii="Avenir Next" w:hAnsi="Avenir Next" w:cs="Arial"/>
          <w:color w:val="7B7B7B" w:themeColor="accent3" w:themeShade="BF"/>
          <w:sz w:val="22"/>
          <w:szCs w:val="22"/>
          <w:lang w:val="en-GB"/>
        </w:rPr>
        <w:t xml:space="preserve"> to</w:t>
      </w:r>
      <w:r>
        <w:rPr>
          <w:rFonts w:ascii="Avenir Next" w:hAnsi="Avenir Next" w:cs="Arial"/>
          <w:color w:val="7B7B7B" w:themeColor="accent3" w:themeShade="BF"/>
          <w:sz w:val="22"/>
          <w:szCs w:val="22"/>
          <w:lang w:val="en-GB"/>
        </w:rPr>
        <w:t xml:space="preserve"> be on standby to take out any requisite application (pursuant to article 23) to curtail </w:t>
      </w:r>
      <w:r w:rsidR="009D4E84">
        <w:rPr>
          <w:rFonts w:ascii="Avenir Next" w:hAnsi="Avenir Next" w:cs="Arial"/>
          <w:color w:val="7B7B7B" w:themeColor="accent3" w:themeShade="BF"/>
          <w:sz w:val="22"/>
          <w:szCs w:val="22"/>
          <w:lang w:val="en-GB"/>
        </w:rPr>
        <w:t xml:space="preserve">any occurrences </w:t>
      </w:r>
      <w:r>
        <w:rPr>
          <w:rFonts w:ascii="Avenir Next" w:hAnsi="Avenir Next" w:cs="Arial"/>
          <w:color w:val="7B7B7B" w:themeColor="accent3" w:themeShade="BF"/>
          <w:sz w:val="22"/>
          <w:szCs w:val="22"/>
          <w:lang w:val="en-GB"/>
        </w:rPr>
        <w:t xml:space="preserve">detrimental to the </w:t>
      </w:r>
      <w:r w:rsidR="009D4E84">
        <w:rPr>
          <w:rFonts w:ascii="Avenir Next" w:hAnsi="Avenir Next" w:cs="Arial"/>
          <w:color w:val="7B7B7B" w:themeColor="accent3" w:themeShade="BF"/>
          <w:sz w:val="22"/>
          <w:szCs w:val="22"/>
          <w:lang w:val="en-GB"/>
        </w:rPr>
        <w:t xml:space="preserve">interests of </w:t>
      </w:r>
      <w:r>
        <w:rPr>
          <w:rFonts w:ascii="Avenir Next" w:hAnsi="Avenir Next" w:cs="Arial"/>
          <w:color w:val="7B7B7B" w:themeColor="accent3" w:themeShade="BF"/>
          <w:sz w:val="22"/>
          <w:szCs w:val="22"/>
          <w:lang w:val="en-GB"/>
        </w:rPr>
        <w:t xml:space="preserve">Apex as a creditor. </w:t>
      </w:r>
    </w:p>
    <w:p w14:paraId="70C6A8B6" w14:textId="681140AC"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1F5ADF88" w:rsidR="0077498C" w:rsidRDefault="0049250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selected country is Australia which (according to the Module 1 Guidance Text at p</w:t>
      </w:r>
      <w:r w:rsidR="00BF427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8) has adopted the UNCITRAL Model Law on Cross-Border Insolvency (MLCBI)</w:t>
      </w:r>
      <w:r w:rsidR="00DE7C85">
        <w:rPr>
          <w:rFonts w:ascii="Avenir Next" w:hAnsi="Avenir Next" w:cs="Arial"/>
          <w:color w:val="7B7B7B" w:themeColor="accent3" w:themeShade="BF"/>
          <w:sz w:val="22"/>
          <w:szCs w:val="22"/>
          <w:lang w:val="en-GB"/>
        </w:rPr>
        <w:t>.</w:t>
      </w:r>
    </w:p>
    <w:p w14:paraId="73F05431" w14:textId="2DC9FECE" w:rsidR="00DE7C85" w:rsidRDefault="00DE7C85" w:rsidP="00C053F7">
      <w:pPr>
        <w:jc w:val="both"/>
        <w:rPr>
          <w:rFonts w:ascii="Avenir Next" w:hAnsi="Avenir Next" w:cs="Arial"/>
          <w:color w:val="7B7B7B" w:themeColor="accent3" w:themeShade="BF"/>
          <w:sz w:val="22"/>
          <w:szCs w:val="22"/>
          <w:lang w:val="en-GB"/>
        </w:rPr>
      </w:pPr>
    </w:p>
    <w:p w14:paraId="3976C02E" w14:textId="226A3F9D" w:rsidR="00DE7C85" w:rsidRDefault="00DE7C85" w:rsidP="00DE7C8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Four key international insolvency issues at play for the insolvency representative in this scenario are:</w:t>
      </w:r>
    </w:p>
    <w:p w14:paraId="61172946" w14:textId="77777777" w:rsidR="00916EDB" w:rsidRDefault="00916EDB" w:rsidP="00DE7C85">
      <w:pPr>
        <w:jc w:val="both"/>
        <w:rPr>
          <w:rFonts w:ascii="Avenir Next" w:hAnsi="Avenir Next" w:cs="Arial"/>
          <w:color w:val="7B7B7B" w:themeColor="accent3" w:themeShade="BF"/>
          <w:sz w:val="22"/>
          <w:szCs w:val="22"/>
          <w:lang w:val="en-GB"/>
        </w:rPr>
      </w:pPr>
    </w:p>
    <w:p w14:paraId="7925199E" w14:textId="29348827" w:rsidR="00DE7C85" w:rsidRDefault="00DE7C85" w:rsidP="00DE7C85">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different domestic insolvency laws </w:t>
      </w:r>
      <w:r w:rsidR="00D5453F">
        <w:rPr>
          <w:rFonts w:ascii="Avenir Next" w:hAnsi="Avenir Next" w:cs="Arial"/>
          <w:color w:val="7B7B7B" w:themeColor="accent3" w:themeShade="BF"/>
          <w:sz w:val="22"/>
          <w:szCs w:val="22"/>
          <w:lang w:val="en-GB"/>
        </w:rPr>
        <w:t>- the domestic insolvency law of Australia may differ from the domestic insolvency laws in the other states in which the debtor has assets;</w:t>
      </w:r>
    </w:p>
    <w:p w14:paraId="518C2D2F" w14:textId="77777777" w:rsidR="00916EDB" w:rsidRPr="00CA50E1" w:rsidRDefault="00916EDB" w:rsidP="00CA50E1">
      <w:pPr>
        <w:pStyle w:val="ListParagraph"/>
        <w:ind w:left="1080"/>
        <w:jc w:val="both"/>
        <w:rPr>
          <w:rFonts w:ascii="Avenir Next" w:hAnsi="Avenir Next" w:cs="Arial"/>
          <w:color w:val="7B7B7B" w:themeColor="accent3" w:themeShade="BF"/>
          <w:sz w:val="16"/>
          <w:szCs w:val="16"/>
          <w:lang w:val="en-GB"/>
        </w:rPr>
      </w:pPr>
    </w:p>
    <w:p w14:paraId="5A2CF3AE" w14:textId="5865398E" w:rsidR="00DE7C85" w:rsidRDefault="00DE7C85" w:rsidP="00DE7C85">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w:t>
      </w:r>
      <w:r w:rsidRPr="00DE7C85">
        <w:rPr>
          <w:rFonts w:ascii="Avenir Next" w:hAnsi="Avenir Next" w:cs="Arial"/>
          <w:color w:val="7B7B7B" w:themeColor="accent3" w:themeShade="BF"/>
          <w:sz w:val="22"/>
          <w:szCs w:val="22"/>
          <w:lang w:val="en-GB"/>
        </w:rPr>
        <w:t>hoice of insolvency law</w:t>
      </w:r>
      <w:r>
        <w:rPr>
          <w:rFonts w:ascii="Avenir Next" w:hAnsi="Avenir Next" w:cs="Arial"/>
          <w:color w:val="7B7B7B" w:themeColor="accent3" w:themeShade="BF"/>
          <w:sz w:val="22"/>
          <w:szCs w:val="22"/>
          <w:lang w:val="en-GB"/>
        </w:rPr>
        <w:t xml:space="preserve"> </w:t>
      </w:r>
      <w:r w:rsidR="000E555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0E555A">
        <w:rPr>
          <w:rFonts w:ascii="Avenir Next" w:hAnsi="Avenir Next" w:cs="Arial"/>
          <w:color w:val="7B7B7B" w:themeColor="accent3" w:themeShade="BF"/>
          <w:sz w:val="22"/>
          <w:szCs w:val="22"/>
          <w:lang w:val="en-GB"/>
        </w:rPr>
        <w:t xml:space="preserve">in terms of </w:t>
      </w:r>
      <w:r>
        <w:rPr>
          <w:rFonts w:ascii="Avenir Next" w:hAnsi="Avenir Next" w:cs="Arial"/>
          <w:color w:val="7B7B7B" w:themeColor="accent3" w:themeShade="BF"/>
          <w:sz w:val="22"/>
          <w:szCs w:val="22"/>
          <w:lang w:val="en-GB"/>
        </w:rPr>
        <w:t xml:space="preserve">which insolvency law shall apply to </w:t>
      </w:r>
      <w:r w:rsidR="00D5453F">
        <w:rPr>
          <w:rFonts w:ascii="Avenir Next" w:hAnsi="Avenir Next" w:cs="Arial"/>
          <w:color w:val="7B7B7B" w:themeColor="accent3" w:themeShade="BF"/>
          <w:sz w:val="22"/>
          <w:szCs w:val="22"/>
          <w:lang w:val="en-GB"/>
        </w:rPr>
        <w:t xml:space="preserve">govern </w:t>
      </w:r>
      <w:r>
        <w:rPr>
          <w:rFonts w:ascii="Avenir Next" w:hAnsi="Avenir Next" w:cs="Arial"/>
          <w:color w:val="7B7B7B" w:themeColor="accent3" w:themeShade="BF"/>
          <w:sz w:val="22"/>
          <w:szCs w:val="22"/>
          <w:lang w:val="en-GB"/>
        </w:rPr>
        <w:t xml:space="preserve">the proceedings in Australia and </w:t>
      </w:r>
      <w:r w:rsidR="00D5453F">
        <w:rPr>
          <w:rFonts w:ascii="Avenir Next" w:hAnsi="Avenir Next" w:cs="Arial"/>
          <w:color w:val="7B7B7B" w:themeColor="accent3" w:themeShade="BF"/>
          <w:sz w:val="22"/>
          <w:szCs w:val="22"/>
          <w:lang w:val="en-GB"/>
        </w:rPr>
        <w:t>any insolvency steps involving the assets of the debtor in</w:t>
      </w:r>
      <w:r>
        <w:rPr>
          <w:rFonts w:ascii="Avenir Next" w:hAnsi="Avenir Next" w:cs="Arial"/>
          <w:color w:val="7B7B7B" w:themeColor="accent3" w:themeShade="BF"/>
          <w:sz w:val="22"/>
          <w:szCs w:val="22"/>
          <w:lang w:val="en-GB"/>
        </w:rPr>
        <w:t xml:space="preserve"> the other states;</w:t>
      </w:r>
    </w:p>
    <w:p w14:paraId="6F5F4727" w14:textId="77777777" w:rsidR="00916EDB" w:rsidRPr="00CA50E1" w:rsidRDefault="00916EDB" w:rsidP="00916EDB">
      <w:pPr>
        <w:pStyle w:val="ListParagraph"/>
        <w:ind w:left="1080"/>
        <w:jc w:val="both"/>
        <w:rPr>
          <w:rFonts w:ascii="Avenir Next" w:hAnsi="Avenir Next" w:cs="Arial"/>
          <w:color w:val="7B7B7B" w:themeColor="accent3" w:themeShade="BF"/>
          <w:sz w:val="16"/>
          <w:szCs w:val="16"/>
          <w:lang w:val="en-GB"/>
        </w:rPr>
      </w:pPr>
    </w:p>
    <w:p w14:paraId="3119C596" w14:textId="36B06B3E" w:rsidR="00916EDB" w:rsidRDefault="00D5453F" w:rsidP="00DE7C85">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recognition of forum and representatives </w:t>
      </w:r>
      <w:r w:rsidR="000E555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0E555A">
        <w:rPr>
          <w:rFonts w:ascii="Avenir Next" w:hAnsi="Avenir Next" w:cs="Arial"/>
          <w:color w:val="7B7B7B" w:themeColor="accent3" w:themeShade="BF"/>
          <w:sz w:val="22"/>
          <w:szCs w:val="22"/>
          <w:lang w:val="en-GB"/>
        </w:rPr>
        <w:t>in terms of whether</w:t>
      </w:r>
      <w:r>
        <w:rPr>
          <w:rFonts w:ascii="Avenir Next" w:hAnsi="Avenir Next" w:cs="Arial"/>
          <w:color w:val="7B7B7B" w:themeColor="accent3" w:themeShade="BF"/>
          <w:sz w:val="22"/>
          <w:szCs w:val="22"/>
          <w:lang w:val="en-GB"/>
        </w:rPr>
        <w:t xml:space="preserve"> Australia</w:t>
      </w:r>
      <w:r w:rsidR="000E555A">
        <w:rPr>
          <w:rFonts w:ascii="Avenir Next" w:hAnsi="Avenir Next" w:cs="Arial"/>
          <w:color w:val="7B7B7B" w:themeColor="accent3" w:themeShade="BF"/>
          <w:sz w:val="22"/>
          <w:szCs w:val="22"/>
          <w:lang w:val="en-GB"/>
        </w:rPr>
        <w:t xml:space="preserve"> would</w:t>
      </w:r>
      <w:r>
        <w:rPr>
          <w:rFonts w:ascii="Avenir Next" w:hAnsi="Avenir Next" w:cs="Arial"/>
          <w:color w:val="7B7B7B" w:themeColor="accent3" w:themeShade="BF"/>
          <w:sz w:val="22"/>
          <w:szCs w:val="22"/>
          <w:lang w:val="en-GB"/>
        </w:rPr>
        <w:t xml:space="preserve"> be recognised as the forum </w:t>
      </w:r>
      <w:r w:rsidR="00916EDB">
        <w:rPr>
          <w:rFonts w:ascii="Avenir Next" w:hAnsi="Avenir Next" w:cs="Arial"/>
          <w:color w:val="7B7B7B" w:themeColor="accent3" w:themeShade="BF"/>
          <w:sz w:val="22"/>
          <w:szCs w:val="22"/>
          <w:lang w:val="en-GB"/>
        </w:rPr>
        <w:t xml:space="preserve">with jurisdiction to preside over the debtor’s insolvency, </w:t>
      </w:r>
      <w:r w:rsidR="000E555A">
        <w:rPr>
          <w:rFonts w:ascii="Avenir Next" w:hAnsi="Avenir Next" w:cs="Arial"/>
          <w:color w:val="7B7B7B" w:themeColor="accent3" w:themeShade="BF"/>
          <w:sz w:val="22"/>
          <w:szCs w:val="22"/>
          <w:lang w:val="en-GB"/>
        </w:rPr>
        <w:t>whether</w:t>
      </w:r>
      <w:r w:rsidR="00916EDB">
        <w:rPr>
          <w:rFonts w:ascii="Avenir Next" w:hAnsi="Avenir Next" w:cs="Arial"/>
          <w:color w:val="7B7B7B" w:themeColor="accent3" w:themeShade="BF"/>
          <w:sz w:val="22"/>
          <w:szCs w:val="22"/>
          <w:lang w:val="en-GB"/>
        </w:rPr>
        <w:t xml:space="preserve"> the </w:t>
      </w:r>
      <w:r w:rsidR="003A78B7">
        <w:rPr>
          <w:rFonts w:ascii="Avenir Next" w:hAnsi="Avenir Next" w:cs="Arial"/>
          <w:color w:val="7B7B7B" w:themeColor="accent3" w:themeShade="BF"/>
          <w:sz w:val="22"/>
          <w:szCs w:val="22"/>
          <w:lang w:val="en-GB"/>
        </w:rPr>
        <w:t>foreign</w:t>
      </w:r>
      <w:r w:rsidR="00916EDB">
        <w:rPr>
          <w:rFonts w:ascii="Avenir Next" w:hAnsi="Avenir Next" w:cs="Arial"/>
          <w:color w:val="7B7B7B" w:themeColor="accent3" w:themeShade="BF"/>
          <w:sz w:val="22"/>
          <w:szCs w:val="22"/>
          <w:lang w:val="en-GB"/>
        </w:rPr>
        <w:t xml:space="preserve"> representatives of creditors from other states</w:t>
      </w:r>
      <w:r w:rsidR="0060294F">
        <w:rPr>
          <w:rFonts w:ascii="Avenir Next" w:hAnsi="Avenir Next" w:cs="Arial"/>
          <w:color w:val="7B7B7B" w:themeColor="accent3" w:themeShade="BF"/>
          <w:sz w:val="22"/>
          <w:szCs w:val="22"/>
          <w:lang w:val="en-GB"/>
        </w:rPr>
        <w:t xml:space="preserve"> would</w:t>
      </w:r>
      <w:r w:rsidR="00916EDB">
        <w:rPr>
          <w:rFonts w:ascii="Avenir Next" w:hAnsi="Avenir Next" w:cs="Arial"/>
          <w:color w:val="7B7B7B" w:themeColor="accent3" w:themeShade="BF"/>
          <w:sz w:val="22"/>
          <w:szCs w:val="22"/>
          <w:lang w:val="en-GB"/>
        </w:rPr>
        <w:t xml:space="preserve"> be recognised in the Australian court</w:t>
      </w:r>
      <w:r w:rsidR="000E555A">
        <w:rPr>
          <w:rFonts w:ascii="Avenir Next" w:hAnsi="Avenir Next" w:cs="Arial"/>
          <w:color w:val="7B7B7B" w:themeColor="accent3" w:themeShade="BF"/>
          <w:sz w:val="22"/>
          <w:szCs w:val="22"/>
          <w:lang w:val="en-GB"/>
        </w:rPr>
        <w:t xml:space="preserve"> and whether</w:t>
      </w:r>
      <w:r w:rsidR="00916EDB">
        <w:rPr>
          <w:rFonts w:ascii="Avenir Next" w:hAnsi="Avenir Next" w:cs="Arial"/>
          <w:color w:val="7B7B7B" w:themeColor="accent3" w:themeShade="BF"/>
          <w:sz w:val="22"/>
          <w:szCs w:val="22"/>
          <w:lang w:val="en-GB"/>
        </w:rPr>
        <w:t xml:space="preserve"> the insolvency representative from Australia</w:t>
      </w:r>
      <w:r w:rsidR="000E555A">
        <w:rPr>
          <w:rFonts w:ascii="Avenir Next" w:hAnsi="Avenir Next" w:cs="Arial"/>
          <w:color w:val="7B7B7B" w:themeColor="accent3" w:themeShade="BF"/>
          <w:sz w:val="22"/>
          <w:szCs w:val="22"/>
          <w:lang w:val="en-GB"/>
        </w:rPr>
        <w:t xml:space="preserve"> would</w:t>
      </w:r>
      <w:r w:rsidR="00916EDB">
        <w:rPr>
          <w:rFonts w:ascii="Avenir Next" w:hAnsi="Avenir Next" w:cs="Arial"/>
          <w:color w:val="7B7B7B" w:themeColor="accent3" w:themeShade="BF"/>
          <w:sz w:val="22"/>
          <w:szCs w:val="22"/>
          <w:lang w:val="en-GB"/>
        </w:rPr>
        <w:t xml:space="preserve"> be recognised in the</w:t>
      </w:r>
      <w:r w:rsidR="003A78B7">
        <w:rPr>
          <w:rFonts w:ascii="Avenir Next" w:hAnsi="Avenir Next" w:cs="Arial"/>
          <w:color w:val="7B7B7B" w:themeColor="accent3" w:themeShade="BF"/>
          <w:sz w:val="22"/>
          <w:szCs w:val="22"/>
          <w:lang w:val="en-GB"/>
        </w:rPr>
        <w:t xml:space="preserve"> foreign</w:t>
      </w:r>
      <w:r w:rsidR="00916EDB">
        <w:rPr>
          <w:rFonts w:ascii="Avenir Next" w:hAnsi="Avenir Next" w:cs="Arial"/>
          <w:color w:val="7B7B7B" w:themeColor="accent3" w:themeShade="BF"/>
          <w:sz w:val="22"/>
          <w:szCs w:val="22"/>
          <w:lang w:val="en-GB"/>
        </w:rPr>
        <w:t xml:space="preserve"> courts;</w:t>
      </w:r>
    </w:p>
    <w:p w14:paraId="3B11FA27" w14:textId="77777777" w:rsidR="00916EDB" w:rsidRPr="00CA50E1" w:rsidRDefault="00916EDB" w:rsidP="00916EDB">
      <w:pPr>
        <w:pStyle w:val="ListParagraph"/>
        <w:ind w:left="1080"/>
        <w:jc w:val="both"/>
        <w:rPr>
          <w:rFonts w:ascii="Avenir Next" w:hAnsi="Avenir Next" w:cs="Arial"/>
          <w:color w:val="7B7B7B" w:themeColor="accent3" w:themeShade="BF"/>
          <w:sz w:val="16"/>
          <w:szCs w:val="16"/>
          <w:lang w:val="en-GB"/>
        </w:rPr>
      </w:pPr>
    </w:p>
    <w:p w14:paraId="63EF5F93" w14:textId="52103354" w:rsidR="00916EDB" w:rsidRDefault="00916EDB" w:rsidP="00DE7C85">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cooper</w:t>
      </w:r>
      <w:r w:rsidR="00303A57">
        <w:rPr>
          <w:rFonts w:ascii="Avenir Next" w:hAnsi="Avenir Next" w:cs="Arial"/>
          <w:color w:val="7B7B7B" w:themeColor="accent3" w:themeShade="BF"/>
          <w:sz w:val="22"/>
          <w:szCs w:val="22"/>
          <w:lang w:val="en-GB"/>
        </w:rPr>
        <w:t>ation and coordination - in terms of whether</w:t>
      </w:r>
      <w:r>
        <w:rPr>
          <w:rFonts w:ascii="Avenir Next" w:hAnsi="Avenir Next" w:cs="Arial"/>
          <w:color w:val="7B7B7B" w:themeColor="accent3" w:themeShade="BF"/>
          <w:sz w:val="22"/>
          <w:szCs w:val="22"/>
          <w:lang w:val="en-GB"/>
        </w:rPr>
        <w:t xml:space="preserve"> the judgment and orders of the Australian court</w:t>
      </w:r>
      <w:r w:rsidR="0016578A">
        <w:rPr>
          <w:rFonts w:ascii="Avenir Next" w:hAnsi="Avenir Next" w:cs="Arial"/>
          <w:color w:val="7B7B7B" w:themeColor="accent3" w:themeShade="BF"/>
          <w:sz w:val="22"/>
          <w:szCs w:val="22"/>
          <w:lang w:val="en-GB"/>
        </w:rPr>
        <w:t xml:space="preserve"> would</w:t>
      </w:r>
      <w:r>
        <w:rPr>
          <w:rFonts w:ascii="Avenir Next" w:hAnsi="Avenir Next" w:cs="Arial"/>
          <w:color w:val="7B7B7B" w:themeColor="accent3" w:themeShade="BF"/>
          <w:sz w:val="22"/>
          <w:szCs w:val="22"/>
          <w:lang w:val="en-GB"/>
        </w:rPr>
        <w:t xml:space="preserve"> be recognised and enforced in the other states (in respect of the</w:t>
      </w:r>
      <w:r w:rsidR="0016578A">
        <w:rPr>
          <w:rFonts w:ascii="Avenir Next" w:hAnsi="Avenir Next" w:cs="Arial"/>
          <w:color w:val="7B7B7B" w:themeColor="accent3" w:themeShade="BF"/>
          <w:sz w:val="22"/>
          <w:szCs w:val="22"/>
          <w:lang w:val="en-GB"/>
        </w:rPr>
        <w:t xml:space="preserve"> debtor’s assets there) and whether</w:t>
      </w:r>
      <w:r>
        <w:rPr>
          <w:rFonts w:ascii="Avenir Next" w:hAnsi="Avenir Next" w:cs="Arial"/>
          <w:color w:val="7B7B7B" w:themeColor="accent3" w:themeShade="BF"/>
          <w:sz w:val="22"/>
          <w:szCs w:val="22"/>
          <w:lang w:val="en-GB"/>
        </w:rPr>
        <w:t xml:space="preserve"> the decisions of the courts of those states</w:t>
      </w:r>
      <w:r w:rsidR="001734C4">
        <w:rPr>
          <w:rFonts w:ascii="Avenir Next" w:hAnsi="Avenir Next" w:cs="Arial"/>
          <w:color w:val="7B7B7B" w:themeColor="accent3" w:themeShade="BF"/>
          <w:sz w:val="22"/>
          <w:szCs w:val="22"/>
          <w:lang w:val="en-GB"/>
        </w:rPr>
        <w:t xml:space="preserve"> would</w:t>
      </w:r>
      <w:r>
        <w:rPr>
          <w:rFonts w:ascii="Avenir Next" w:hAnsi="Avenir Next" w:cs="Arial"/>
          <w:color w:val="7B7B7B" w:themeColor="accent3" w:themeShade="BF"/>
          <w:sz w:val="22"/>
          <w:szCs w:val="22"/>
          <w:lang w:val="en-GB"/>
        </w:rPr>
        <w:t xml:space="preserve"> be recognised and enforced in Australia.</w:t>
      </w:r>
    </w:p>
    <w:p w14:paraId="06FC337D" w14:textId="77777777" w:rsidR="00916EDB" w:rsidRDefault="00916EDB" w:rsidP="00916EDB">
      <w:pPr>
        <w:ind w:left="360"/>
        <w:jc w:val="both"/>
        <w:rPr>
          <w:rFonts w:ascii="Avenir Next" w:hAnsi="Avenir Next" w:cs="Arial"/>
          <w:color w:val="7B7B7B" w:themeColor="accent3" w:themeShade="BF"/>
          <w:sz w:val="22"/>
          <w:szCs w:val="22"/>
          <w:lang w:val="en-GB"/>
        </w:rPr>
      </w:pPr>
    </w:p>
    <w:p w14:paraId="13FDD952" w14:textId="0A9B0BD7" w:rsidR="00853C40" w:rsidRDefault="00853C40" w:rsidP="00916EDB">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terms of assistance addressing the said issues:</w:t>
      </w:r>
    </w:p>
    <w:p w14:paraId="7921EC00" w14:textId="77777777" w:rsidR="00853C40" w:rsidRDefault="00853C40" w:rsidP="00916EDB">
      <w:pPr>
        <w:ind w:left="360"/>
        <w:jc w:val="both"/>
        <w:rPr>
          <w:rFonts w:ascii="Avenir Next" w:hAnsi="Avenir Next" w:cs="Arial"/>
          <w:color w:val="7B7B7B" w:themeColor="accent3" w:themeShade="BF"/>
          <w:sz w:val="22"/>
          <w:szCs w:val="22"/>
          <w:lang w:val="en-GB"/>
        </w:rPr>
      </w:pPr>
    </w:p>
    <w:p w14:paraId="274C830D" w14:textId="58958EA3" w:rsidR="006634F6" w:rsidRDefault="00853C40" w:rsidP="00853C40">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853C40">
        <w:rPr>
          <w:rFonts w:ascii="Avenir Next" w:hAnsi="Avenir Next" w:cs="Arial"/>
          <w:color w:val="7B7B7B" w:themeColor="accent3" w:themeShade="BF"/>
          <w:sz w:val="22"/>
          <w:szCs w:val="22"/>
          <w:lang w:val="en-GB"/>
        </w:rPr>
        <w:t>he UNCITRAL Legislative Guide</w:t>
      </w:r>
      <w:r>
        <w:rPr>
          <w:rFonts w:ascii="Avenir Next" w:hAnsi="Avenir Next" w:cs="Arial"/>
          <w:color w:val="7B7B7B" w:themeColor="accent3" w:themeShade="BF"/>
          <w:sz w:val="22"/>
          <w:szCs w:val="22"/>
          <w:lang w:val="en-GB"/>
        </w:rPr>
        <w:t xml:space="preserve"> on Insolvency Law (the Legislative Guide)</w:t>
      </w:r>
      <w:r w:rsidRPr="00853C40">
        <w:rPr>
          <w:rFonts w:ascii="Avenir Next" w:hAnsi="Avenir Next" w:cs="Arial"/>
          <w:color w:val="7B7B7B" w:themeColor="accent3" w:themeShade="BF"/>
          <w:sz w:val="22"/>
          <w:szCs w:val="22"/>
          <w:lang w:val="en-GB"/>
        </w:rPr>
        <w:t xml:space="preserve"> and the</w:t>
      </w:r>
      <w:r>
        <w:rPr>
          <w:rFonts w:ascii="Avenir Next" w:hAnsi="Avenir Next" w:cs="Arial"/>
          <w:color w:val="7B7B7B" w:themeColor="accent3" w:themeShade="BF"/>
          <w:sz w:val="22"/>
          <w:szCs w:val="22"/>
          <w:lang w:val="en-GB"/>
        </w:rPr>
        <w:t xml:space="preserve"> World Bank Principles for Effective Insolvency and Creditor/Debtor Reg</w:t>
      </w:r>
      <w:r w:rsidR="003A2491">
        <w:rPr>
          <w:rFonts w:ascii="Avenir Next" w:hAnsi="Avenir Next" w:cs="Arial"/>
          <w:color w:val="7B7B7B" w:themeColor="accent3" w:themeShade="BF"/>
          <w:sz w:val="22"/>
          <w:szCs w:val="22"/>
          <w:lang w:val="en-GB"/>
        </w:rPr>
        <w:t>imes (the</w:t>
      </w:r>
      <w:r w:rsidRPr="00853C40">
        <w:rPr>
          <w:rFonts w:ascii="Avenir Next" w:hAnsi="Avenir Next" w:cs="Arial"/>
          <w:color w:val="7B7B7B" w:themeColor="accent3" w:themeShade="BF"/>
          <w:sz w:val="22"/>
          <w:szCs w:val="22"/>
          <w:lang w:val="en-GB"/>
        </w:rPr>
        <w:t xml:space="preserve"> ICR Principles</w:t>
      </w:r>
      <w:r>
        <w:rPr>
          <w:rFonts w:ascii="Avenir Next" w:hAnsi="Avenir Next" w:cs="Arial"/>
          <w:color w:val="7B7B7B" w:themeColor="accent3" w:themeShade="BF"/>
          <w:sz w:val="22"/>
          <w:szCs w:val="22"/>
          <w:lang w:val="en-GB"/>
        </w:rPr>
        <w:t>)</w:t>
      </w:r>
      <w:r w:rsidR="00991FF6">
        <w:rPr>
          <w:rFonts w:ascii="Avenir Next" w:hAnsi="Avenir Next" w:cs="Arial"/>
          <w:color w:val="7B7B7B" w:themeColor="accent3" w:themeShade="BF"/>
          <w:sz w:val="22"/>
          <w:szCs w:val="22"/>
          <w:lang w:val="en-GB"/>
        </w:rPr>
        <w:t xml:space="preserve"> can be of practical</w:t>
      </w:r>
      <w:r w:rsidRPr="00853C40">
        <w:rPr>
          <w:rFonts w:ascii="Avenir Next" w:hAnsi="Avenir Next" w:cs="Arial"/>
          <w:color w:val="7B7B7B" w:themeColor="accent3" w:themeShade="BF"/>
          <w:sz w:val="22"/>
          <w:szCs w:val="22"/>
          <w:lang w:val="en-GB"/>
        </w:rPr>
        <w:t xml:space="preserve"> help to harmonise the legal systems of Australia and the other states</w:t>
      </w:r>
      <w:r w:rsidR="00C15584">
        <w:rPr>
          <w:rFonts w:ascii="Avenir Next" w:hAnsi="Avenir Next" w:cs="Arial"/>
          <w:color w:val="7B7B7B" w:themeColor="accent3" w:themeShade="BF"/>
          <w:sz w:val="22"/>
          <w:szCs w:val="22"/>
          <w:lang w:val="en-GB"/>
        </w:rPr>
        <w:t>,</w:t>
      </w:r>
      <w:r w:rsidRPr="00853C40">
        <w:rPr>
          <w:rFonts w:ascii="Avenir Next" w:hAnsi="Avenir Next" w:cs="Arial"/>
          <w:color w:val="7B7B7B" w:themeColor="accent3" w:themeShade="BF"/>
          <w:sz w:val="22"/>
          <w:szCs w:val="22"/>
          <w:lang w:val="en-GB"/>
        </w:rPr>
        <w:t xml:space="preserve"> given the likely differences in domestic insolvency laws</w:t>
      </w:r>
      <w:r w:rsidR="006634F6">
        <w:rPr>
          <w:rFonts w:ascii="Avenir Next" w:hAnsi="Avenir Next" w:cs="Arial"/>
          <w:color w:val="7B7B7B" w:themeColor="accent3" w:themeShade="BF"/>
          <w:sz w:val="22"/>
          <w:szCs w:val="22"/>
          <w:lang w:val="en-GB"/>
        </w:rPr>
        <w:t>;</w:t>
      </w:r>
    </w:p>
    <w:p w14:paraId="2E985BB3" w14:textId="5DB6B605" w:rsidR="003A2491" w:rsidRPr="003F69C2" w:rsidRDefault="003A2491" w:rsidP="003F69C2">
      <w:pPr>
        <w:jc w:val="both"/>
        <w:rPr>
          <w:rFonts w:ascii="Avenir Next" w:hAnsi="Avenir Next" w:cs="Arial"/>
          <w:color w:val="7B7B7B" w:themeColor="accent3" w:themeShade="BF"/>
          <w:sz w:val="16"/>
          <w:szCs w:val="16"/>
          <w:lang w:val="en-GB"/>
        </w:rPr>
      </w:pPr>
    </w:p>
    <w:p w14:paraId="3BCFD2D8" w14:textId="7E2F2C64" w:rsidR="00DE7C85" w:rsidRPr="00CE320D" w:rsidRDefault="006634F6" w:rsidP="00853C40">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MLCBI (adopted by </w:t>
      </w:r>
      <w:r w:rsidR="00425BC8">
        <w:rPr>
          <w:rFonts w:ascii="Avenir Next" w:hAnsi="Avenir Next" w:cs="Arial"/>
          <w:color w:val="7B7B7B" w:themeColor="accent3" w:themeShade="BF"/>
          <w:sz w:val="22"/>
          <w:szCs w:val="22"/>
          <w:lang w:val="en-GB"/>
        </w:rPr>
        <w:t>Australia) could be resorted to justify</w:t>
      </w:r>
      <w:r w:rsidR="003F69C2">
        <w:rPr>
          <w:rFonts w:ascii="Avenir Next" w:hAnsi="Avenir Next" w:cs="Arial"/>
          <w:color w:val="7B7B7B" w:themeColor="accent3" w:themeShade="BF"/>
          <w:sz w:val="22"/>
          <w:szCs w:val="22"/>
          <w:lang w:val="en-GB"/>
        </w:rPr>
        <w:t xml:space="preserve"> the choice of Australian law and of</w:t>
      </w:r>
      <w:r w:rsidR="00425BC8">
        <w:rPr>
          <w:rFonts w:ascii="Avenir Next" w:hAnsi="Avenir Next" w:cs="Arial"/>
          <w:color w:val="7B7B7B" w:themeColor="accent3" w:themeShade="BF"/>
          <w:sz w:val="22"/>
          <w:szCs w:val="22"/>
          <w:lang w:val="en-GB"/>
        </w:rPr>
        <w:t xml:space="preserve"> commencement of proceedings </w:t>
      </w:r>
      <w:r w:rsidR="003F69C2">
        <w:rPr>
          <w:rFonts w:ascii="Avenir Next" w:hAnsi="Avenir Next" w:cs="Arial"/>
          <w:color w:val="7B7B7B" w:themeColor="accent3" w:themeShade="BF"/>
          <w:sz w:val="22"/>
          <w:szCs w:val="22"/>
          <w:lang w:val="en-GB"/>
        </w:rPr>
        <w:t>there</w:t>
      </w:r>
      <w:r w:rsidR="00425BC8">
        <w:rPr>
          <w:rFonts w:ascii="Avenir Next" w:hAnsi="Avenir Next" w:cs="Arial"/>
          <w:color w:val="7B7B7B" w:themeColor="accent3" w:themeShade="BF"/>
          <w:sz w:val="22"/>
          <w:szCs w:val="22"/>
          <w:lang w:val="en-GB"/>
        </w:rPr>
        <w:t xml:space="preserve"> since the </w:t>
      </w:r>
      <w:r w:rsidR="00425BC8" w:rsidRPr="00CE320D">
        <w:rPr>
          <w:rFonts w:ascii="Avenir Next" w:hAnsi="Avenir Next" w:cs="Arial"/>
          <w:color w:val="7B7B7B" w:themeColor="accent3" w:themeShade="BF"/>
          <w:sz w:val="22"/>
          <w:szCs w:val="22"/>
          <w:lang w:val="en-GB"/>
        </w:rPr>
        <w:t>debtors centre of main interest lies there (</w:t>
      </w:r>
      <w:r w:rsidR="003A2491" w:rsidRPr="00CE320D">
        <w:rPr>
          <w:rFonts w:ascii="Avenir Next" w:hAnsi="Avenir Next" w:cs="Arial"/>
          <w:color w:val="7B7B7B" w:themeColor="accent3" w:themeShade="BF"/>
          <w:sz w:val="22"/>
          <w:szCs w:val="22"/>
          <w:lang w:val="en-GB"/>
        </w:rPr>
        <w:t>incorporation and head office) (article</w:t>
      </w:r>
      <w:r w:rsidR="00D31268" w:rsidRPr="00CE320D">
        <w:rPr>
          <w:rFonts w:ascii="Avenir Next" w:hAnsi="Avenir Next" w:cs="Arial"/>
          <w:color w:val="7B7B7B" w:themeColor="accent3" w:themeShade="BF"/>
          <w:sz w:val="22"/>
          <w:szCs w:val="22"/>
          <w:lang w:val="en-GB"/>
        </w:rPr>
        <w:t xml:space="preserve"> 2(b)</w:t>
      </w:r>
      <w:r w:rsidR="003A2491" w:rsidRPr="00CE320D">
        <w:rPr>
          <w:rFonts w:ascii="Avenir Next" w:hAnsi="Avenir Next" w:cs="Arial"/>
          <w:color w:val="7B7B7B" w:themeColor="accent3" w:themeShade="BF"/>
          <w:sz w:val="22"/>
          <w:szCs w:val="22"/>
          <w:lang w:val="en-GB"/>
        </w:rPr>
        <w:t xml:space="preserve"> and </w:t>
      </w:r>
      <w:r w:rsidR="00D31268" w:rsidRPr="00CE320D">
        <w:rPr>
          <w:rFonts w:ascii="Avenir Next" w:hAnsi="Avenir Next" w:cs="Arial"/>
          <w:color w:val="7B7B7B" w:themeColor="accent3" w:themeShade="BF"/>
          <w:sz w:val="22"/>
          <w:szCs w:val="22"/>
          <w:lang w:val="en-GB"/>
        </w:rPr>
        <w:t>20(1)(b)</w:t>
      </w:r>
      <w:r w:rsidR="003A2491" w:rsidRPr="00CE320D">
        <w:rPr>
          <w:rFonts w:ascii="Avenir Next" w:hAnsi="Avenir Next" w:cs="Arial"/>
          <w:color w:val="7B7B7B" w:themeColor="accent3" w:themeShade="BF"/>
          <w:sz w:val="22"/>
          <w:szCs w:val="22"/>
          <w:lang w:val="en-GB"/>
        </w:rPr>
        <w:t xml:space="preserve">). The MLCBI could also be used to allow representatives from the other states to be recognised in the Australian court and to participate as foreign representatives (article </w:t>
      </w:r>
      <w:r w:rsidR="0056184C" w:rsidRPr="00CE320D">
        <w:rPr>
          <w:rFonts w:ascii="Avenir Next" w:hAnsi="Avenir Next" w:cs="Arial"/>
          <w:color w:val="7B7B7B" w:themeColor="accent3" w:themeShade="BF"/>
          <w:sz w:val="22"/>
          <w:szCs w:val="22"/>
          <w:lang w:val="en-GB"/>
        </w:rPr>
        <w:t>15,23 and 24</w:t>
      </w:r>
      <w:r w:rsidR="003A2491" w:rsidRPr="00CE320D">
        <w:rPr>
          <w:rFonts w:ascii="Avenir Next" w:hAnsi="Avenir Next" w:cs="Arial"/>
          <w:color w:val="7B7B7B" w:themeColor="accent3" w:themeShade="BF"/>
          <w:sz w:val="22"/>
          <w:szCs w:val="22"/>
          <w:lang w:val="en-GB"/>
        </w:rPr>
        <w:t>)</w:t>
      </w:r>
      <w:r w:rsidR="00916EDB" w:rsidRPr="00CE320D">
        <w:rPr>
          <w:rFonts w:ascii="Avenir Next" w:hAnsi="Avenir Next" w:cs="Arial"/>
          <w:color w:val="7B7B7B" w:themeColor="accent3" w:themeShade="BF"/>
          <w:sz w:val="22"/>
          <w:szCs w:val="22"/>
          <w:lang w:val="en-GB"/>
        </w:rPr>
        <w:t>.</w:t>
      </w:r>
      <w:r w:rsidR="003A2491" w:rsidRPr="00CE320D">
        <w:rPr>
          <w:rFonts w:ascii="Avenir Next" w:hAnsi="Avenir Next" w:cs="Arial"/>
          <w:color w:val="7B7B7B" w:themeColor="accent3" w:themeShade="BF"/>
          <w:sz w:val="22"/>
          <w:szCs w:val="22"/>
          <w:lang w:val="en-GB"/>
        </w:rPr>
        <w:t xml:space="preserve"> In a similar vein, the MLCBI could be used by the Australian</w:t>
      </w:r>
      <w:r w:rsidR="00732163" w:rsidRPr="00CE320D">
        <w:rPr>
          <w:rFonts w:ascii="Avenir Next" w:hAnsi="Avenir Next" w:cs="Arial"/>
          <w:color w:val="7B7B7B" w:themeColor="accent3" w:themeShade="BF"/>
          <w:sz w:val="22"/>
          <w:szCs w:val="22"/>
          <w:lang w:val="en-GB"/>
        </w:rPr>
        <w:t xml:space="preserve"> insolvency</w:t>
      </w:r>
      <w:r w:rsidR="003A2491" w:rsidRPr="00CE320D">
        <w:rPr>
          <w:rFonts w:ascii="Avenir Next" w:hAnsi="Avenir Next" w:cs="Arial"/>
          <w:color w:val="7B7B7B" w:themeColor="accent3" w:themeShade="BF"/>
          <w:sz w:val="22"/>
          <w:szCs w:val="22"/>
          <w:lang w:val="en-GB"/>
        </w:rPr>
        <w:t xml:space="preserve"> representative to appear before the courts in the other states if need be; and</w:t>
      </w:r>
    </w:p>
    <w:p w14:paraId="7ABB59C5" w14:textId="77777777" w:rsidR="003A2491" w:rsidRPr="00CE320D" w:rsidRDefault="003A2491" w:rsidP="003A2491">
      <w:pPr>
        <w:pStyle w:val="ListParagraph"/>
        <w:ind w:left="1080"/>
        <w:jc w:val="both"/>
        <w:rPr>
          <w:rFonts w:ascii="Avenir Next" w:hAnsi="Avenir Next" w:cs="Arial"/>
          <w:color w:val="7B7B7B" w:themeColor="accent3" w:themeShade="BF"/>
          <w:sz w:val="16"/>
          <w:szCs w:val="16"/>
          <w:lang w:val="en-GB"/>
        </w:rPr>
      </w:pPr>
    </w:p>
    <w:p w14:paraId="226DAE52" w14:textId="4FB9ADAB" w:rsidR="003A2491" w:rsidRPr="00CE320D" w:rsidRDefault="00FF49EC" w:rsidP="00853C40">
      <w:pPr>
        <w:pStyle w:val="ListParagraph"/>
        <w:numPr>
          <w:ilvl w:val="0"/>
          <w:numId w:val="27"/>
        </w:numPr>
        <w:jc w:val="both"/>
        <w:rPr>
          <w:rFonts w:ascii="Avenir Next" w:hAnsi="Avenir Next" w:cs="Arial"/>
          <w:color w:val="7B7B7B" w:themeColor="accent3" w:themeShade="BF"/>
          <w:sz w:val="22"/>
          <w:szCs w:val="22"/>
          <w:lang w:val="en-GB"/>
        </w:rPr>
      </w:pPr>
      <w:r w:rsidRPr="00CE320D">
        <w:rPr>
          <w:rFonts w:ascii="Avenir Next" w:hAnsi="Avenir Next" w:cs="Arial"/>
          <w:color w:val="7B7B7B" w:themeColor="accent3" w:themeShade="BF"/>
          <w:sz w:val="22"/>
          <w:szCs w:val="22"/>
          <w:lang w:val="en-GB"/>
        </w:rPr>
        <w:t xml:space="preserve">the MLCBI </w:t>
      </w:r>
      <w:r w:rsidR="00493A06">
        <w:rPr>
          <w:rFonts w:ascii="Avenir Next" w:hAnsi="Avenir Next" w:cs="Arial"/>
          <w:color w:val="7B7B7B" w:themeColor="accent3" w:themeShade="BF"/>
          <w:sz w:val="22"/>
          <w:szCs w:val="22"/>
          <w:lang w:val="en-GB"/>
        </w:rPr>
        <w:t>allow</w:t>
      </w:r>
      <w:r w:rsidR="00732163" w:rsidRPr="00CE320D">
        <w:rPr>
          <w:rFonts w:ascii="Avenir Next" w:hAnsi="Avenir Next" w:cs="Arial"/>
          <w:color w:val="7B7B7B" w:themeColor="accent3" w:themeShade="BF"/>
          <w:sz w:val="22"/>
          <w:szCs w:val="22"/>
          <w:lang w:val="en-GB"/>
        </w:rPr>
        <w:t>s for co-operation and co-ordination between the Australian court or the insolvency representative</w:t>
      </w:r>
      <w:r w:rsidRPr="00CE320D">
        <w:rPr>
          <w:rFonts w:ascii="Avenir Next" w:hAnsi="Avenir Next" w:cs="Arial"/>
          <w:color w:val="7B7B7B" w:themeColor="accent3" w:themeShade="BF"/>
          <w:sz w:val="22"/>
          <w:szCs w:val="22"/>
          <w:lang w:val="en-GB"/>
        </w:rPr>
        <w:t xml:space="preserve"> </w:t>
      </w:r>
      <w:r w:rsidR="00732163" w:rsidRPr="00CE320D">
        <w:rPr>
          <w:rFonts w:ascii="Avenir Next" w:hAnsi="Avenir Next" w:cs="Arial"/>
          <w:color w:val="7B7B7B" w:themeColor="accent3" w:themeShade="BF"/>
          <w:sz w:val="22"/>
          <w:szCs w:val="22"/>
          <w:lang w:val="en-GB"/>
        </w:rPr>
        <w:t xml:space="preserve">and foreign courts or foreign representatives </w:t>
      </w:r>
      <w:r w:rsidR="001E76AF" w:rsidRPr="00CE320D">
        <w:rPr>
          <w:rFonts w:ascii="Avenir Next" w:hAnsi="Avenir Next" w:cs="Arial"/>
          <w:color w:val="7B7B7B" w:themeColor="accent3" w:themeShade="BF"/>
          <w:sz w:val="22"/>
          <w:szCs w:val="22"/>
          <w:lang w:val="en-GB"/>
        </w:rPr>
        <w:t xml:space="preserve">(article 25,26 and 27). Also the IBA Cross-Border Insolvency Concordat (1996) and the Judicial Insolvency Network Modalities of Court to Court Communication could also </w:t>
      </w:r>
      <w:r w:rsidR="00120582">
        <w:rPr>
          <w:rFonts w:ascii="Avenir Next" w:hAnsi="Avenir Next" w:cs="Arial"/>
          <w:color w:val="7B7B7B" w:themeColor="accent3" w:themeShade="BF"/>
          <w:sz w:val="22"/>
          <w:szCs w:val="22"/>
          <w:lang w:val="en-GB"/>
        </w:rPr>
        <w:t>serve as</w:t>
      </w:r>
      <w:r w:rsidR="001E76AF" w:rsidRPr="00CE320D">
        <w:rPr>
          <w:rFonts w:ascii="Avenir Next" w:hAnsi="Avenir Next" w:cs="Arial"/>
          <w:color w:val="7B7B7B" w:themeColor="accent3" w:themeShade="BF"/>
          <w:sz w:val="22"/>
          <w:szCs w:val="22"/>
          <w:lang w:val="en-GB"/>
        </w:rPr>
        <w:t xml:space="preserve"> some useful </w:t>
      </w:r>
      <w:r w:rsidR="00120582">
        <w:rPr>
          <w:rFonts w:ascii="Avenir Next" w:hAnsi="Avenir Next" w:cs="Arial"/>
          <w:color w:val="7B7B7B" w:themeColor="accent3" w:themeShade="BF"/>
          <w:sz w:val="22"/>
          <w:szCs w:val="22"/>
          <w:lang w:val="en-GB"/>
        </w:rPr>
        <w:t>practical guides</w:t>
      </w:r>
      <w:bookmarkStart w:id="1" w:name="_GoBack"/>
      <w:bookmarkEnd w:id="1"/>
      <w:r w:rsidR="003A2491" w:rsidRPr="00CE320D">
        <w:rPr>
          <w:rFonts w:ascii="Avenir Next" w:hAnsi="Avenir Next" w:cs="Arial"/>
          <w:color w:val="7B7B7B" w:themeColor="accent3" w:themeShade="BF"/>
          <w:sz w:val="22"/>
          <w:szCs w:val="22"/>
          <w:lang w:val="en-GB"/>
        </w:rPr>
        <w:t>.</w:t>
      </w:r>
    </w:p>
    <w:p w14:paraId="0CD46BFE" w14:textId="77777777" w:rsidR="00DE7C85" w:rsidRPr="00DE7C85" w:rsidRDefault="00DE7C85" w:rsidP="00DE7C85">
      <w:pPr>
        <w:jc w:val="both"/>
        <w:rPr>
          <w:rFonts w:ascii="Avenir Next" w:hAnsi="Avenir Next" w:cs="Arial"/>
          <w:color w:val="7B7B7B" w:themeColor="accent3" w:themeShade="BF"/>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04561" w14:textId="77777777" w:rsidR="00DE1FB2" w:rsidRDefault="00DE1FB2" w:rsidP="00241B44">
      <w:r>
        <w:separator/>
      </w:r>
    </w:p>
  </w:endnote>
  <w:endnote w:type="continuationSeparator" w:id="0">
    <w:p w14:paraId="67D83D6A" w14:textId="77777777" w:rsidR="00DE1FB2" w:rsidRDefault="00DE1F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86EE688"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120582">
          <w:rPr>
            <w:rStyle w:val="PageNumber"/>
            <w:rFonts w:ascii="Avenir Next" w:hAnsi="Avenir Next" w:cs="Arial"/>
            <w:noProof/>
            <w:sz w:val="22"/>
            <w:szCs w:val="22"/>
          </w:rPr>
          <w:t>13</w:t>
        </w:r>
        <w:r w:rsidRPr="009634F4">
          <w:rPr>
            <w:rStyle w:val="PageNumber"/>
            <w:rFonts w:ascii="Avenir Next" w:hAnsi="Avenir Next" w:cs="Arial"/>
            <w:sz w:val="22"/>
            <w:szCs w:val="22"/>
          </w:rPr>
          <w:fldChar w:fldCharType="end"/>
        </w:r>
      </w:p>
    </w:sdtContent>
  </w:sdt>
  <w:p w14:paraId="120BA9A5" w14:textId="226483ED" w:rsidR="00AD6A7D" w:rsidRPr="009634F4" w:rsidRDefault="00723AF6" w:rsidP="00AD6A7D">
    <w:pPr>
      <w:pStyle w:val="Footer"/>
      <w:ind w:right="360"/>
      <w:rPr>
        <w:rFonts w:ascii="Avenir Next" w:hAnsi="Avenir Next" w:cs="Arial"/>
        <w:sz w:val="22"/>
        <w:szCs w:val="22"/>
      </w:rPr>
    </w:pPr>
    <w:r>
      <w:rPr>
        <w:rFonts w:ascii="Avenir Next" w:hAnsi="Avenir Next" w:cs="Arial"/>
        <w:sz w:val="22"/>
        <w:szCs w:val="22"/>
      </w:rPr>
      <w:t>202223-962</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07102" w14:textId="77777777" w:rsidR="00DE1FB2" w:rsidRDefault="00DE1FB2" w:rsidP="00241B44">
      <w:r>
        <w:separator/>
      </w:r>
    </w:p>
  </w:footnote>
  <w:footnote w:type="continuationSeparator" w:id="0">
    <w:p w14:paraId="03E9D200" w14:textId="77777777" w:rsidR="00DE1FB2" w:rsidRDefault="00DE1FB2"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B8737AB"/>
    <w:multiLevelType w:val="hybridMultilevel"/>
    <w:tmpl w:val="111A5BE6"/>
    <w:lvl w:ilvl="0" w:tplc="62FA8E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C0232"/>
    <w:multiLevelType w:val="hybridMultilevel"/>
    <w:tmpl w:val="A76A21D2"/>
    <w:lvl w:ilvl="0" w:tplc="1F60157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3A07ACE"/>
    <w:multiLevelType w:val="hybridMultilevel"/>
    <w:tmpl w:val="58ECF248"/>
    <w:lvl w:ilvl="0" w:tplc="DB9ECCB8">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07F3F50"/>
    <w:multiLevelType w:val="hybridMultilevel"/>
    <w:tmpl w:val="BB0AE3FA"/>
    <w:lvl w:ilvl="0" w:tplc="19A04D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F8128D"/>
    <w:multiLevelType w:val="hybridMultilevel"/>
    <w:tmpl w:val="63E6D806"/>
    <w:lvl w:ilvl="0" w:tplc="FC7850E8">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23"/>
  </w:num>
  <w:num w:numId="3">
    <w:abstractNumId w:val="5"/>
  </w:num>
  <w:num w:numId="4">
    <w:abstractNumId w:val="2"/>
  </w:num>
  <w:num w:numId="5">
    <w:abstractNumId w:val="8"/>
  </w:num>
  <w:num w:numId="6">
    <w:abstractNumId w:val="17"/>
  </w:num>
  <w:num w:numId="7">
    <w:abstractNumId w:val="25"/>
  </w:num>
  <w:num w:numId="8">
    <w:abstractNumId w:val="16"/>
  </w:num>
  <w:num w:numId="9">
    <w:abstractNumId w:val="4"/>
  </w:num>
  <w:num w:numId="10">
    <w:abstractNumId w:val="7"/>
  </w:num>
  <w:num w:numId="11">
    <w:abstractNumId w:val="6"/>
  </w:num>
  <w:num w:numId="12">
    <w:abstractNumId w:val="3"/>
  </w:num>
  <w:num w:numId="13">
    <w:abstractNumId w:val="13"/>
  </w:num>
  <w:num w:numId="14">
    <w:abstractNumId w:val="0"/>
  </w:num>
  <w:num w:numId="15">
    <w:abstractNumId w:val="1"/>
  </w:num>
  <w:num w:numId="16">
    <w:abstractNumId w:val="15"/>
  </w:num>
  <w:num w:numId="17">
    <w:abstractNumId w:val="10"/>
  </w:num>
  <w:num w:numId="18">
    <w:abstractNumId w:val="22"/>
  </w:num>
  <w:num w:numId="19">
    <w:abstractNumId w:val="18"/>
  </w:num>
  <w:num w:numId="20">
    <w:abstractNumId w:val="26"/>
  </w:num>
  <w:num w:numId="21">
    <w:abstractNumId w:val="20"/>
  </w:num>
  <w:num w:numId="22">
    <w:abstractNumId w:val="9"/>
  </w:num>
  <w:num w:numId="23">
    <w:abstractNumId w:val="14"/>
  </w:num>
  <w:num w:numId="24">
    <w:abstractNumId w:val="12"/>
  </w:num>
  <w:num w:numId="25">
    <w:abstractNumId w:val="24"/>
  </w:num>
  <w:num w:numId="26">
    <w:abstractNumId w:val="11"/>
  </w:num>
  <w:num w:numId="2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6534"/>
    <w:rsid w:val="000250C7"/>
    <w:rsid w:val="00025432"/>
    <w:rsid w:val="00037621"/>
    <w:rsid w:val="00044D46"/>
    <w:rsid w:val="00045088"/>
    <w:rsid w:val="00045904"/>
    <w:rsid w:val="00055893"/>
    <w:rsid w:val="00061B59"/>
    <w:rsid w:val="00065166"/>
    <w:rsid w:val="00082609"/>
    <w:rsid w:val="000851CC"/>
    <w:rsid w:val="00093BE8"/>
    <w:rsid w:val="000A68ED"/>
    <w:rsid w:val="000B5FF1"/>
    <w:rsid w:val="000B609F"/>
    <w:rsid w:val="000D55A8"/>
    <w:rsid w:val="000E329C"/>
    <w:rsid w:val="000E4841"/>
    <w:rsid w:val="000E555A"/>
    <w:rsid w:val="000F1677"/>
    <w:rsid w:val="000F3D6C"/>
    <w:rsid w:val="00101707"/>
    <w:rsid w:val="00110DA3"/>
    <w:rsid w:val="00113DCC"/>
    <w:rsid w:val="0011473D"/>
    <w:rsid w:val="00115C85"/>
    <w:rsid w:val="00120582"/>
    <w:rsid w:val="00123661"/>
    <w:rsid w:val="00123855"/>
    <w:rsid w:val="00126A4D"/>
    <w:rsid w:val="00134423"/>
    <w:rsid w:val="0014622C"/>
    <w:rsid w:val="00152348"/>
    <w:rsid w:val="0015456D"/>
    <w:rsid w:val="00161F1B"/>
    <w:rsid w:val="00162829"/>
    <w:rsid w:val="0016578A"/>
    <w:rsid w:val="001734C4"/>
    <w:rsid w:val="00180548"/>
    <w:rsid w:val="00180CCE"/>
    <w:rsid w:val="0018267A"/>
    <w:rsid w:val="00182779"/>
    <w:rsid w:val="001830DF"/>
    <w:rsid w:val="001966D9"/>
    <w:rsid w:val="001A4F34"/>
    <w:rsid w:val="001A7E9A"/>
    <w:rsid w:val="001B5016"/>
    <w:rsid w:val="001C45FC"/>
    <w:rsid w:val="001D4862"/>
    <w:rsid w:val="001E25B9"/>
    <w:rsid w:val="001E4514"/>
    <w:rsid w:val="001E49E0"/>
    <w:rsid w:val="001E76AF"/>
    <w:rsid w:val="001E7B5A"/>
    <w:rsid w:val="001F5F12"/>
    <w:rsid w:val="001F7412"/>
    <w:rsid w:val="00204750"/>
    <w:rsid w:val="0020725B"/>
    <w:rsid w:val="00225E47"/>
    <w:rsid w:val="00241B44"/>
    <w:rsid w:val="00241DAE"/>
    <w:rsid w:val="00245EFB"/>
    <w:rsid w:val="002520AD"/>
    <w:rsid w:val="0026515D"/>
    <w:rsid w:val="002668D3"/>
    <w:rsid w:val="00270058"/>
    <w:rsid w:val="0027299F"/>
    <w:rsid w:val="00284EBE"/>
    <w:rsid w:val="00286AE6"/>
    <w:rsid w:val="0029433F"/>
    <w:rsid w:val="00294829"/>
    <w:rsid w:val="0029690F"/>
    <w:rsid w:val="002A2A60"/>
    <w:rsid w:val="002A77F8"/>
    <w:rsid w:val="002B1C45"/>
    <w:rsid w:val="002C13C8"/>
    <w:rsid w:val="002C1671"/>
    <w:rsid w:val="002C3547"/>
    <w:rsid w:val="002C686D"/>
    <w:rsid w:val="002D0021"/>
    <w:rsid w:val="002D31CD"/>
    <w:rsid w:val="002D3473"/>
    <w:rsid w:val="002E2A40"/>
    <w:rsid w:val="002F1956"/>
    <w:rsid w:val="002F3440"/>
    <w:rsid w:val="002F6E50"/>
    <w:rsid w:val="002F75A3"/>
    <w:rsid w:val="00303A57"/>
    <w:rsid w:val="00303C2F"/>
    <w:rsid w:val="003073EC"/>
    <w:rsid w:val="003144EF"/>
    <w:rsid w:val="00320CEF"/>
    <w:rsid w:val="00330937"/>
    <w:rsid w:val="00330F31"/>
    <w:rsid w:val="00334470"/>
    <w:rsid w:val="00334648"/>
    <w:rsid w:val="0033768C"/>
    <w:rsid w:val="00337938"/>
    <w:rsid w:val="00340769"/>
    <w:rsid w:val="00341AA6"/>
    <w:rsid w:val="00346F44"/>
    <w:rsid w:val="00353789"/>
    <w:rsid w:val="00361A0A"/>
    <w:rsid w:val="00363499"/>
    <w:rsid w:val="0036565C"/>
    <w:rsid w:val="0036625E"/>
    <w:rsid w:val="0037465A"/>
    <w:rsid w:val="00374696"/>
    <w:rsid w:val="003771E2"/>
    <w:rsid w:val="00382C98"/>
    <w:rsid w:val="0038533C"/>
    <w:rsid w:val="003948D5"/>
    <w:rsid w:val="00396821"/>
    <w:rsid w:val="00397484"/>
    <w:rsid w:val="00397D3A"/>
    <w:rsid w:val="003A051E"/>
    <w:rsid w:val="003A2491"/>
    <w:rsid w:val="003A2F8D"/>
    <w:rsid w:val="003A78B7"/>
    <w:rsid w:val="003B0FBC"/>
    <w:rsid w:val="003B170F"/>
    <w:rsid w:val="003C4471"/>
    <w:rsid w:val="003D0A6D"/>
    <w:rsid w:val="003D2DA8"/>
    <w:rsid w:val="003E0B16"/>
    <w:rsid w:val="003E67D1"/>
    <w:rsid w:val="003F5758"/>
    <w:rsid w:val="003F580F"/>
    <w:rsid w:val="003F69C2"/>
    <w:rsid w:val="00405DC1"/>
    <w:rsid w:val="00411B48"/>
    <w:rsid w:val="00415F1F"/>
    <w:rsid w:val="004178FE"/>
    <w:rsid w:val="0042108F"/>
    <w:rsid w:val="00425BC8"/>
    <w:rsid w:val="00430FED"/>
    <w:rsid w:val="00433960"/>
    <w:rsid w:val="0043427C"/>
    <w:rsid w:val="00434A8C"/>
    <w:rsid w:val="00444284"/>
    <w:rsid w:val="00445CE6"/>
    <w:rsid w:val="004534C2"/>
    <w:rsid w:val="0045683E"/>
    <w:rsid w:val="00456C73"/>
    <w:rsid w:val="004768B7"/>
    <w:rsid w:val="00482EB6"/>
    <w:rsid w:val="00491675"/>
    <w:rsid w:val="0049250B"/>
    <w:rsid w:val="00493855"/>
    <w:rsid w:val="00493A06"/>
    <w:rsid w:val="004A16A3"/>
    <w:rsid w:val="004A57DD"/>
    <w:rsid w:val="004A7B51"/>
    <w:rsid w:val="004A7D71"/>
    <w:rsid w:val="004A7EF3"/>
    <w:rsid w:val="004B11FD"/>
    <w:rsid w:val="004B23A2"/>
    <w:rsid w:val="004C1306"/>
    <w:rsid w:val="004D1A5A"/>
    <w:rsid w:val="004D2AF9"/>
    <w:rsid w:val="004D3721"/>
    <w:rsid w:val="004D64F9"/>
    <w:rsid w:val="004E14A8"/>
    <w:rsid w:val="004F5FDF"/>
    <w:rsid w:val="005177FE"/>
    <w:rsid w:val="0052263B"/>
    <w:rsid w:val="00524728"/>
    <w:rsid w:val="005331CA"/>
    <w:rsid w:val="00537970"/>
    <w:rsid w:val="00544127"/>
    <w:rsid w:val="00553EB2"/>
    <w:rsid w:val="00560534"/>
    <w:rsid w:val="0056184C"/>
    <w:rsid w:val="0056391B"/>
    <w:rsid w:val="005650E2"/>
    <w:rsid w:val="00567075"/>
    <w:rsid w:val="00575B2D"/>
    <w:rsid w:val="005833D0"/>
    <w:rsid w:val="005846F3"/>
    <w:rsid w:val="0058622F"/>
    <w:rsid w:val="00592F82"/>
    <w:rsid w:val="0059345C"/>
    <w:rsid w:val="00595C1D"/>
    <w:rsid w:val="005A0CCA"/>
    <w:rsid w:val="005A5E48"/>
    <w:rsid w:val="005A726D"/>
    <w:rsid w:val="005B67AC"/>
    <w:rsid w:val="005D43E0"/>
    <w:rsid w:val="005D58A3"/>
    <w:rsid w:val="005E1B79"/>
    <w:rsid w:val="005F026D"/>
    <w:rsid w:val="005F2D0B"/>
    <w:rsid w:val="005F4B31"/>
    <w:rsid w:val="005F6250"/>
    <w:rsid w:val="0060294F"/>
    <w:rsid w:val="00610388"/>
    <w:rsid w:val="00612CA5"/>
    <w:rsid w:val="006153EC"/>
    <w:rsid w:val="00621A17"/>
    <w:rsid w:val="006276D8"/>
    <w:rsid w:val="00627CC9"/>
    <w:rsid w:val="00627E7B"/>
    <w:rsid w:val="00630542"/>
    <w:rsid w:val="00632E44"/>
    <w:rsid w:val="00634622"/>
    <w:rsid w:val="00636110"/>
    <w:rsid w:val="00636808"/>
    <w:rsid w:val="00641515"/>
    <w:rsid w:val="00654C2F"/>
    <w:rsid w:val="006566D2"/>
    <w:rsid w:val="00657087"/>
    <w:rsid w:val="006634F6"/>
    <w:rsid w:val="00664BCD"/>
    <w:rsid w:val="00671998"/>
    <w:rsid w:val="00677AEB"/>
    <w:rsid w:val="00687A1D"/>
    <w:rsid w:val="00692AAB"/>
    <w:rsid w:val="00697EA1"/>
    <w:rsid w:val="006A2646"/>
    <w:rsid w:val="006A6530"/>
    <w:rsid w:val="006A7970"/>
    <w:rsid w:val="006B1CA2"/>
    <w:rsid w:val="006B435A"/>
    <w:rsid w:val="006B4C64"/>
    <w:rsid w:val="006D01C2"/>
    <w:rsid w:val="006E481A"/>
    <w:rsid w:val="006E5298"/>
    <w:rsid w:val="006E5E44"/>
    <w:rsid w:val="006F734A"/>
    <w:rsid w:val="00700D83"/>
    <w:rsid w:val="007074E9"/>
    <w:rsid w:val="00713DA4"/>
    <w:rsid w:val="00714BF1"/>
    <w:rsid w:val="00721383"/>
    <w:rsid w:val="00723AF6"/>
    <w:rsid w:val="0073096D"/>
    <w:rsid w:val="00732163"/>
    <w:rsid w:val="007333CC"/>
    <w:rsid w:val="0073399A"/>
    <w:rsid w:val="0073459E"/>
    <w:rsid w:val="00752E1F"/>
    <w:rsid w:val="007603F5"/>
    <w:rsid w:val="00764DB0"/>
    <w:rsid w:val="0076764D"/>
    <w:rsid w:val="0077498C"/>
    <w:rsid w:val="00784128"/>
    <w:rsid w:val="00793173"/>
    <w:rsid w:val="007B50EA"/>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32C13"/>
    <w:rsid w:val="00853C40"/>
    <w:rsid w:val="008723F3"/>
    <w:rsid w:val="00875FCA"/>
    <w:rsid w:val="00876D14"/>
    <w:rsid w:val="00881DE6"/>
    <w:rsid w:val="008837A6"/>
    <w:rsid w:val="0089145D"/>
    <w:rsid w:val="008A0BE3"/>
    <w:rsid w:val="008A6CFE"/>
    <w:rsid w:val="008B5333"/>
    <w:rsid w:val="008B6223"/>
    <w:rsid w:val="008C66E0"/>
    <w:rsid w:val="008E3339"/>
    <w:rsid w:val="008F20FC"/>
    <w:rsid w:val="008F6301"/>
    <w:rsid w:val="00905A43"/>
    <w:rsid w:val="00912C79"/>
    <w:rsid w:val="00916EDB"/>
    <w:rsid w:val="00927433"/>
    <w:rsid w:val="00942123"/>
    <w:rsid w:val="0095207B"/>
    <w:rsid w:val="00954AA3"/>
    <w:rsid w:val="00955AF1"/>
    <w:rsid w:val="00962045"/>
    <w:rsid w:val="009634F4"/>
    <w:rsid w:val="00991428"/>
    <w:rsid w:val="00991FF6"/>
    <w:rsid w:val="00992676"/>
    <w:rsid w:val="0099507F"/>
    <w:rsid w:val="009B0723"/>
    <w:rsid w:val="009B07AD"/>
    <w:rsid w:val="009B0883"/>
    <w:rsid w:val="009B15E2"/>
    <w:rsid w:val="009C0B8E"/>
    <w:rsid w:val="009C1BC8"/>
    <w:rsid w:val="009C2442"/>
    <w:rsid w:val="009C4DBE"/>
    <w:rsid w:val="009D0811"/>
    <w:rsid w:val="009D0EE1"/>
    <w:rsid w:val="009D4E84"/>
    <w:rsid w:val="009E0882"/>
    <w:rsid w:val="009E1027"/>
    <w:rsid w:val="009E2AEB"/>
    <w:rsid w:val="009E2E27"/>
    <w:rsid w:val="009E4DE3"/>
    <w:rsid w:val="00A005FC"/>
    <w:rsid w:val="00A00752"/>
    <w:rsid w:val="00A0328D"/>
    <w:rsid w:val="00A047EE"/>
    <w:rsid w:val="00A2274A"/>
    <w:rsid w:val="00A235B7"/>
    <w:rsid w:val="00A407EF"/>
    <w:rsid w:val="00A40F52"/>
    <w:rsid w:val="00A458BE"/>
    <w:rsid w:val="00A46B4C"/>
    <w:rsid w:val="00A5117B"/>
    <w:rsid w:val="00A54909"/>
    <w:rsid w:val="00A60074"/>
    <w:rsid w:val="00A6627C"/>
    <w:rsid w:val="00A71019"/>
    <w:rsid w:val="00A74E20"/>
    <w:rsid w:val="00A81029"/>
    <w:rsid w:val="00A83A2F"/>
    <w:rsid w:val="00A874CD"/>
    <w:rsid w:val="00A96489"/>
    <w:rsid w:val="00A97725"/>
    <w:rsid w:val="00AB685C"/>
    <w:rsid w:val="00AB6C2D"/>
    <w:rsid w:val="00AC3839"/>
    <w:rsid w:val="00AC7082"/>
    <w:rsid w:val="00AD6A7D"/>
    <w:rsid w:val="00AF228E"/>
    <w:rsid w:val="00B14819"/>
    <w:rsid w:val="00B17AA9"/>
    <w:rsid w:val="00B26B88"/>
    <w:rsid w:val="00B45725"/>
    <w:rsid w:val="00B72AE1"/>
    <w:rsid w:val="00B736DF"/>
    <w:rsid w:val="00B74FBD"/>
    <w:rsid w:val="00B82586"/>
    <w:rsid w:val="00B86DB1"/>
    <w:rsid w:val="00B87869"/>
    <w:rsid w:val="00BB0F2B"/>
    <w:rsid w:val="00BC49A0"/>
    <w:rsid w:val="00BD12E2"/>
    <w:rsid w:val="00BF1C6F"/>
    <w:rsid w:val="00BF1F2D"/>
    <w:rsid w:val="00BF427C"/>
    <w:rsid w:val="00BF50F7"/>
    <w:rsid w:val="00C02F29"/>
    <w:rsid w:val="00C053F7"/>
    <w:rsid w:val="00C15584"/>
    <w:rsid w:val="00C22A25"/>
    <w:rsid w:val="00C33C6C"/>
    <w:rsid w:val="00C35671"/>
    <w:rsid w:val="00C35B77"/>
    <w:rsid w:val="00C376EB"/>
    <w:rsid w:val="00C46EC1"/>
    <w:rsid w:val="00C53E2C"/>
    <w:rsid w:val="00C550C5"/>
    <w:rsid w:val="00C550C8"/>
    <w:rsid w:val="00C606C3"/>
    <w:rsid w:val="00C72848"/>
    <w:rsid w:val="00C7736C"/>
    <w:rsid w:val="00C82878"/>
    <w:rsid w:val="00C82D87"/>
    <w:rsid w:val="00C8712A"/>
    <w:rsid w:val="00C963D3"/>
    <w:rsid w:val="00CA50E1"/>
    <w:rsid w:val="00CB2CBB"/>
    <w:rsid w:val="00CB3E1F"/>
    <w:rsid w:val="00CB7CAC"/>
    <w:rsid w:val="00CC5335"/>
    <w:rsid w:val="00CC5BA4"/>
    <w:rsid w:val="00CD31F3"/>
    <w:rsid w:val="00CD3EB9"/>
    <w:rsid w:val="00CD4998"/>
    <w:rsid w:val="00CE1035"/>
    <w:rsid w:val="00CE320D"/>
    <w:rsid w:val="00CF2819"/>
    <w:rsid w:val="00CF4F9D"/>
    <w:rsid w:val="00CF70DC"/>
    <w:rsid w:val="00D104E4"/>
    <w:rsid w:val="00D148DC"/>
    <w:rsid w:val="00D17FDC"/>
    <w:rsid w:val="00D31268"/>
    <w:rsid w:val="00D45D72"/>
    <w:rsid w:val="00D5453F"/>
    <w:rsid w:val="00D63EFD"/>
    <w:rsid w:val="00D6633C"/>
    <w:rsid w:val="00D84752"/>
    <w:rsid w:val="00D86B3B"/>
    <w:rsid w:val="00D8748A"/>
    <w:rsid w:val="00D93196"/>
    <w:rsid w:val="00DB243C"/>
    <w:rsid w:val="00DB482A"/>
    <w:rsid w:val="00DB56F2"/>
    <w:rsid w:val="00DB6EF5"/>
    <w:rsid w:val="00DC0391"/>
    <w:rsid w:val="00DC3089"/>
    <w:rsid w:val="00DC4420"/>
    <w:rsid w:val="00DC5E49"/>
    <w:rsid w:val="00DD0802"/>
    <w:rsid w:val="00DD2E11"/>
    <w:rsid w:val="00DE03AF"/>
    <w:rsid w:val="00DE121C"/>
    <w:rsid w:val="00DE1FB2"/>
    <w:rsid w:val="00DE6633"/>
    <w:rsid w:val="00DE7C85"/>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97761"/>
    <w:rsid w:val="00EA0913"/>
    <w:rsid w:val="00EB45AC"/>
    <w:rsid w:val="00EC06AB"/>
    <w:rsid w:val="00EC0D9E"/>
    <w:rsid w:val="00ED0BC4"/>
    <w:rsid w:val="00ED7B0A"/>
    <w:rsid w:val="00EE494E"/>
    <w:rsid w:val="00EE4971"/>
    <w:rsid w:val="00EE5533"/>
    <w:rsid w:val="00EE72BC"/>
    <w:rsid w:val="00EE744D"/>
    <w:rsid w:val="00EF090E"/>
    <w:rsid w:val="00EF2861"/>
    <w:rsid w:val="00EF500D"/>
    <w:rsid w:val="00F033DA"/>
    <w:rsid w:val="00F2328A"/>
    <w:rsid w:val="00F27CD8"/>
    <w:rsid w:val="00F30351"/>
    <w:rsid w:val="00F3323E"/>
    <w:rsid w:val="00F341F4"/>
    <w:rsid w:val="00F35CCE"/>
    <w:rsid w:val="00F44220"/>
    <w:rsid w:val="00F5524B"/>
    <w:rsid w:val="00F61DD2"/>
    <w:rsid w:val="00F66AFF"/>
    <w:rsid w:val="00F678A2"/>
    <w:rsid w:val="00F71433"/>
    <w:rsid w:val="00F753F1"/>
    <w:rsid w:val="00F97C5B"/>
    <w:rsid w:val="00FA3D50"/>
    <w:rsid w:val="00FA3D5F"/>
    <w:rsid w:val="00FA485D"/>
    <w:rsid w:val="00FB0B28"/>
    <w:rsid w:val="00FC374A"/>
    <w:rsid w:val="00FC3961"/>
    <w:rsid w:val="00FC7B47"/>
    <w:rsid w:val="00FD035C"/>
    <w:rsid w:val="00FD1A35"/>
    <w:rsid w:val="00FD36C5"/>
    <w:rsid w:val="00FD6310"/>
    <w:rsid w:val="00FD7C7B"/>
    <w:rsid w:val="00FE1D12"/>
    <w:rsid w:val="00FE2122"/>
    <w:rsid w:val="00FE2A86"/>
    <w:rsid w:val="00FF296F"/>
    <w:rsid w:val="00FF49EC"/>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60A7F-251C-45FE-BA65-E6338031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12</Pages>
  <Words>4065</Words>
  <Characters>23175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Kazimbe Chenda</cp:lastModifiedBy>
  <cp:revision>101</cp:revision>
  <cp:lastPrinted>2019-09-04T15:45:00Z</cp:lastPrinted>
  <dcterms:created xsi:type="dcterms:W3CDTF">2022-07-28T08:04:00Z</dcterms:created>
  <dcterms:modified xsi:type="dcterms:W3CDTF">2022-10-13T18:21:00Z</dcterms:modified>
</cp:coreProperties>
</file>