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560F2" w:rsidRDefault="00B736DF" w:rsidP="009E1027">
      <w:pPr>
        <w:pStyle w:val="ListParagraph"/>
        <w:numPr>
          <w:ilvl w:val="0"/>
          <w:numId w:val="12"/>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560F2" w:rsidRDefault="00161F1B" w:rsidP="009E1027">
      <w:pPr>
        <w:pStyle w:val="ListParagraph"/>
        <w:numPr>
          <w:ilvl w:val="0"/>
          <w:numId w:val="13"/>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560F2" w:rsidRDefault="009E2E27" w:rsidP="008031A7">
      <w:pPr>
        <w:pStyle w:val="ListParagraph"/>
        <w:numPr>
          <w:ilvl w:val="0"/>
          <w:numId w:val="14"/>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B560F2" w:rsidRDefault="009E2E27" w:rsidP="008031A7">
      <w:pPr>
        <w:pStyle w:val="ListParagraph"/>
        <w:numPr>
          <w:ilvl w:val="0"/>
          <w:numId w:val="15"/>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B560F2" w:rsidRDefault="00A235B7" w:rsidP="006D01C2">
      <w:pPr>
        <w:pStyle w:val="ListParagraph"/>
        <w:numPr>
          <w:ilvl w:val="0"/>
          <w:numId w:val="16"/>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The statement</w:t>
      </w:r>
      <w:r w:rsidR="0037465A" w:rsidRPr="00B560F2">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B560F2">
        <w:rPr>
          <w:rFonts w:ascii="Avenir Next" w:eastAsiaTheme="minorHAnsi" w:hAnsi="Avenir Next" w:cs="Arial"/>
          <w:sz w:val="22"/>
          <w:szCs w:val="22"/>
          <w:highlight w:val="yellow"/>
          <w:lang w:val="en-GB"/>
        </w:rPr>
        <w:t>Private International Law</w:t>
      </w:r>
      <w:r w:rsidR="00991428" w:rsidRPr="00B560F2">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B560F2" w:rsidRDefault="004D1A5A" w:rsidP="006D01C2">
      <w:pPr>
        <w:pStyle w:val="ListParagraph"/>
        <w:numPr>
          <w:ilvl w:val="0"/>
          <w:numId w:val="18"/>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UNCITRAL Model Law on Cross-border Insolvency (1997)</w:t>
      </w:r>
      <w:r w:rsidR="00912C79" w:rsidRPr="00B560F2">
        <w:rPr>
          <w:rFonts w:ascii="Avenir Next" w:hAnsi="Avenir Next" w:cs="Arial"/>
          <w:sz w:val="22"/>
          <w:szCs w:val="22"/>
          <w:highlight w:val="yellow"/>
          <w:lang w:val="en-GB"/>
        </w:rPr>
        <w:t>.</w:t>
      </w:r>
      <w:r w:rsidRPr="00B560F2">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B560F2"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B560F2">
        <w:rPr>
          <w:rFonts w:ascii="Avenir Next" w:hAnsi="Avenir Next" w:cs="Arial"/>
          <w:sz w:val="22"/>
          <w:szCs w:val="22"/>
          <w:highlight w:val="yellow"/>
          <w:lang w:val="en-GB"/>
        </w:rPr>
        <w:t>Havana Convention on Private International Law (1928)</w:t>
      </w:r>
      <w:r w:rsidRPr="00B560F2">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B560F2" w:rsidRDefault="0082483F" w:rsidP="006D01C2">
      <w:pPr>
        <w:pStyle w:val="ListParagraph"/>
        <w:numPr>
          <w:ilvl w:val="0"/>
          <w:numId w:val="20"/>
        </w:numPr>
        <w:ind w:left="426"/>
        <w:jc w:val="both"/>
        <w:rPr>
          <w:rFonts w:ascii="Avenir Next" w:hAnsi="Avenir Next" w:cs="Arial"/>
          <w:sz w:val="22"/>
          <w:szCs w:val="22"/>
          <w:highlight w:val="yellow"/>
          <w:lang w:val="en-GB"/>
        </w:rPr>
      </w:pPr>
      <w:r w:rsidRPr="00B560F2">
        <w:rPr>
          <w:rFonts w:ascii="Avenir Next" w:hAnsi="Avenir Next" w:cs="Arial"/>
          <w:sz w:val="22"/>
          <w:szCs w:val="22"/>
          <w:highlight w:val="yellow"/>
          <w:lang w:val="en-GB"/>
        </w:rPr>
        <w:t xml:space="preserve">A centralised insolvency </w:t>
      </w:r>
      <w:proofErr w:type="gramStart"/>
      <w:r w:rsidRPr="00B560F2">
        <w:rPr>
          <w:rFonts w:ascii="Avenir Next" w:hAnsi="Avenir Next" w:cs="Arial"/>
          <w:sz w:val="22"/>
          <w:szCs w:val="22"/>
          <w:highlight w:val="yellow"/>
          <w:lang w:val="en-GB"/>
        </w:rPr>
        <w:t>register</w:t>
      </w:r>
      <w:proofErr w:type="gramEnd"/>
      <w:r w:rsidRPr="00B560F2">
        <w:rPr>
          <w:rFonts w:ascii="Avenir Next" w:hAnsi="Avenir Next" w:cs="Arial"/>
          <w:sz w:val="22"/>
          <w:szCs w:val="22"/>
          <w:highlight w:val="yellow"/>
          <w:lang w:val="en-GB"/>
        </w:rPr>
        <w:t xml:space="preserve"> of insolvency proceedings opened in member states</w:t>
      </w:r>
      <w:r w:rsidR="003A2F8D" w:rsidRPr="00B560F2">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8202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82024">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7E06BEA1" w14:textId="77777777" w:rsidR="00882024" w:rsidRPr="00882024" w:rsidRDefault="00882024" w:rsidP="00882024">
      <w:pPr>
        <w:rPr>
          <w:rFonts w:ascii="Arial" w:hAnsi="Arial" w:cs="Arial"/>
          <w:sz w:val="22"/>
          <w:szCs w:val="28"/>
        </w:rPr>
      </w:pPr>
      <w:r w:rsidRPr="00882024">
        <w:rPr>
          <w:rFonts w:ascii="Arial" w:hAnsi="Arial" w:cs="Arial"/>
          <w:sz w:val="22"/>
          <w:szCs w:val="28"/>
        </w:rPr>
        <w:t>The term "international insolvency law has been defined by Wessels as:</w:t>
      </w:r>
    </w:p>
    <w:p w14:paraId="63CC1D9F" w14:textId="7AA2AA49" w:rsidR="00882024" w:rsidRDefault="00882024" w:rsidP="00882024">
      <w:pPr>
        <w:ind w:left="737" w:right="737"/>
        <w:mirrorIndents/>
        <w:jc w:val="both"/>
        <w:rPr>
          <w:rFonts w:ascii="Arial" w:hAnsi="Arial" w:cs="Arial"/>
          <w:sz w:val="22"/>
          <w:szCs w:val="28"/>
        </w:rPr>
      </w:pPr>
      <w:r w:rsidRPr="00882024">
        <w:rPr>
          <w:rFonts w:ascii="Arial" w:hAnsi="Arial" w:cs="Arial"/>
          <w:sz w:val="22"/>
          <w:szCs w:val="28"/>
        </w:rPr>
        <w:t>"…a body of rules concerning certain insolvency proceedings or measures, which cannot be fully enforced, because the applicable law cannot be executed immediately and exclusively without consideration being given to the international aspect of a given case."</w:t>
      </w:r>
      <w:r w:rsidRPr="00882024">
        <w:rPr>
          <w:rStyle w:val="FootnoteReference"/>
          <w:rFonts w:ascii="Arial" w:hAnsi="Arial" w:cs="Arial"/>
          <w:sz w:val="22"/>
          <w:szCs w:val="28"/>
        </w:rPr>
        <w:footnoteReference w:id="1"/>
      </w:r>
    </w:p>
    <w:p w14:paraId="4D6BBF02" w14:textId="77777777" w:rsidR="00882024" w:rsidRPr="00882024" w:rsidRDefault="00882024" w:rsidP="00882024">
      <w:pPr>
        <w:ind w:left="737" w:right="737"/>
        <w:mirrorIndents/>
        <w:jc w:val="both"/>
        <w:rPr>
          <w:rFonts w:ascii="Arial" w:hAnsi="Arial" w:cs="Arial"/>
          <w:sz w:val="22"/>
          <w:szCs w:val="28"/>
        </w:rPr>
      </w:pPr>
    </w:p>
    <w:p w14:paraId="22C610C9" w14:textId="4D20B3E8" w:rsidR="00DE03AF" w:rsidRPr="00882024" w:rsidRDefault="00882024" w:rsidP="00882024">
      <w:pPr>
        <w:rPr>
          <w:rFonts w:ascii="Arial" w:hAnsi="Arial" w:cs="Arial"/>
          <w:sz w:val="22"/>
          <w:szCs w:val="28"/>
        </w:rPr>
      </w:pPr>
      <w:r w:rsidRPr="00882024">
        <w:rPr>
          <w:rFonts w:ascii="Arial" w:hAnsi="Arial" w:cs="Arial"/>
          <w:sz w:val="22"/>
          <w:szCs w:val="28"/>
        </w:rPr>
        <w:t>It has also been defined by Fletcher as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r w:rsidRPr="00882024">
        <w:rPr>
          <w:rStyle w:val="FootnoteReference"/>
          <w:rFonts w:ascii="Arial" w:hAnsi="Arial" w:cs="Arial"/>
          <w:sz w:val="22"/>
          <w:szCs w:val="28"/>
        </w:rPr>
        <w:footnoteReference w:id="2"/>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53EEF831" w14:textId="373EF3BB" w:rsidR="00882024" w:rsidRDefault="00882024" w:rsidP="00882024">
      <w:pPr>
        <w:rPr>
          <w:rFonts w:ascii="Arial" w:hAnsi="Arial" w:cs="Arial"/>
          <w:sz w:val="22"/>
          <w:szCs w:val="28"/>
        </w:rPr>
      </w:pPr>
      <w:r w:rsidRPr="00882024">
        <w:rPr>
          <w:rFonts w:ascii="Arial" w:hAnsi="Arial" w:cs="Arial"/>
          <w:sz w:val="22"/>
          <w:szCs w:val="28"/>
        </w:rPr>
        <w:t xml:space="preserve">Universality is the concept of one insolvency proceeding encompassing </w:t>
      </w:r>
      <w:r w:rsidR="00FB644C" w:rsidRPr="00882024">
        <w:rPr>
          <w:rFonts w:ascii="Arial" w:hAnsi="Arial" w:cs="Arial"/>
          <w:sz w:val="22"/>
          <w:szCs w:val="28"/>
        </w:rPr>
        <w:t>all</w:t>
      </w:r>
      <w:r w:rsidRPr="00882024">
        <w:rPr>
          <w:rFonts w:ascii="Arial" w:hAnsi="Arial" w:cs="Arial"/>
          <w:sz w:val="22"/>
          <w:szCs w:val="28"/>
        </w:rPr>
        <w:t xml:space="preserve"> the debtor's debts and assets globally. This means that once the proceeding has commenced, no other </w:t>
      </w:r>
      <w:r w:rsidRPr="00882024">
        <w:rPr>
          <w:rFonts w:ascii="Arial" w:hAnsi="Arial" w:cs="Arial"/>
          <w:sz w:val="22"/>
          <w:szCs w:val="28"/>
        </w:rPr>
        <w:lastRenderedPageBreak/>
        <w:t>proceedings with respect to that debtor's debts and assets are possible. A single forum would have jurisdiction and all creditors' claims would be treated equal.</w:t>
      </w:r>
      <w:r w:rsidRPr="00882024">
        <w:rPr>
          <w:rStyle w:val="FootnoteReference"/>
          <w:rFonts w:ascii="Arial" w:hAnsi="Arial" w:cs="Arial"/>
          <w:sz w:val="22"/>
          <w:szCs w:val="28"/>
        </w:rPr>
        <w:footnoteReference w:id="3"/>
      </w:r>
      <w:r w:rsidRPr="00882024">
        <w:rPr>
          <w:rFonts w:ascii="Arial" w:hAnsi="Arial" w:cs="Arial"/>
          <w:sz w:val="22"/>
          <w:szCs w:val="28"/>
        </w:rPr>
        <w:t xml:space="preserve"> Supporters of universality believe this is the best approach as it </w:t>
      </w:r>
      <w:proofErr w:type="gramStart"/>
      <w:r w:rsidRPr="00882024">
        <w:rPr>
          <w:rFonts w:ascii="Arial" w:hAnsi="Arial" w:cs="Arial"/>
          <w:sz w:val="22"/>
          <w:szCs w:val="28"/>
        </w:rPr>
        <w:t>has the ability to</w:t>
      </w:r>
      <w:proofErr w:type="gramEnd"/>
      <w:r w:rsidRPr="00882024">
        <w:rPr>
          <w:rFonts w:ascii="Arial" w:hAnsi="Arial" w:cs="Arial"/>
          <w:sz w:val="22"/>
          <w:szCs w:val="28"/>
        </w:rPr>
        <w:t xml:space="preserve"> satisfy the interests of creditors while being low cost. However, universality requires a high level of trust in legal systems and proceedings given the single proceeding would be applied globally. The difficulty with universality is establishing which state the exclusive proceeding will be commenced in, thereby creating uncertainty.</w:t>
      </w:r>
      <w:r w:rsidRPr="00882024">
        <w:rPr>
          <w:rStyle w:val="FootnoteReference"/>
          <w:rFonts w:ascii="Arial" w:hAnsi="Arial" w:cs="Arial"/>
          <w:sz w:val="22"/>
          <w:szCs w:val="28"/>
        </w:rPr>
        <w:footnoteReference w:id="4"/>
      </w:r>
    </w:p>
    <w:p w14:paraId="56156A0C" w14:textId="77777777" w:rsidR="00882024" w:rsidRPr="00882024" w:rsidRDefault="00882024" w:rsidP="00882024">
      <w:pPr>
        <w:rPr>
          <w:rFonts w:ascii="Arial" w:hAnsi="Arial" w:cs="Arial"/>
          <w:sz w:val="22"/>
          <w:szCs w:val="28"/>
        </w:rPr>
      </w:pPr>
    </w:p>
    <w:p w14:paraId="039E27B5" w14:textId="324D276B" w:rsidR="00C82D87" w:rsidRPr="00882024" w:rsidRDefault="00882024" w:rsidP="00882024">
      <w:pPr>
        <w:rPr>
          <w:rFonts w:ascii="Arial" w:hAnsi="Arial" w:cs="Arial"/>
          <w:sz w:val="22"/>
          <w:szCs w:val="28"/>
        </w:rPr>
      </w:pPr>
      <w:r w:rsidRPr="00882024">
        <w:rPr>
          <w:rFonts w:ascii="Arial" w:hAnsi="Arial" w:cs="Arial"/>
          <w:sz w:val="22"/>
          <w:szCs w:val="28"/>
        </w:rPr>
        <w:t xml:space="preserve">Territoriality, however, is the concept of insolvency proceedings in every state and/or jurisdiction in which the debtor holds assets. Each proceeding would be territorially limited to the assets within each jurisdiction in which the proceeding was commenced. It would therefore be possible to have concurrent proceedings for a debtor. National interest would be protected as only local creditors may file their claims. One issue with this concept is that a debtor may be adjudicated insolvent in one jurisdiction but not in another. This may result in a situation where a debtor is insolvent in a country where he/she has </w:t>
      </w:r>
      <w:r w:rsidR="00FB644C" w:rsidRPr="00882024">
        <w:rPr>
          <w:rFonts w:ascii="Arial" w:hAnsi="Arial" w:cs="Arial"/>
          <w:sz w:val="22"/>
          <w:szCs w:val="28"/>
        </w:rPr>
        <w:t>debts but</w:t>
      </w:r>
      <w:r w:rsidRPr="00882024">
        <w:rPr>
          <w:rFonts w:ascii="Arial" w:hAnsi="Arial" w:cs="Arial"/>
          <w:sz w:val="22"/>
          <w:szCs w:val="28"/>
        </w:rPr>
        <w:t xml:space="preserve"> is solvent in the country in which he/she has assets. A solution to this issue may be the concept of co-operation between jurisdictions.</w:t>
      </w:r>
      <w:r w:rsidRPr="00882024">
        <w:rPr>
          <w:rStyle w:val="FootnoteReference"/>
          <w:rFonts w:ascii="Arial" w:hAnsi="Arial" w:cs="Arial"/>
          <w:sz w:val="22"/>
          <w:szCs w:val="28"/>
        </w:rPr>
        <w:footnoteReference w:id="5"/>
      </w:r>
      <w:r w:rsidRPr="00882024">
        <w:rPr>
          <w:rFonts w:ascii="Arial" w:hAnsi="Arial" w:cs="Arial"/>
          <w:sz w:val="22"/>
          <w:szCs w:val="28"/>
        </w:rPr>
        <w:t xml:space="preserve">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26AD4FC" w14:textId="77777777" w:rsidR="00882024" w:rsidRPr="00882024" w:rsidRDefault="00882024" w:rsidP="00882024">
      <w:pPr>
        <w:rPr>
          <w:rFonts w:ascii="Arial" w:hAnsi="Arial" w:cs="Arial"/>
          <w:sz w:val="22"/>
          <w:szCs w:val="28"/>
        </w:rPr>
      </w:pPr>
      <w:r w:rsidRPr="00882024">
        <w:rPr>
          <w:rFonts w:ascii="Arial" w:hAnsi="Arial" w:cs="Arial"/>
          <w:sz w:val="22"/>
          <w:szCs w:val="28"/>
        </w:rPr>
        <w:t>In 2018, Bahrain adopted the Model Law on Cross-Border Insolvency. The Dubai International Financial Centre followed suit in 2019.</w:t>
      </w:r>
      <w:r w:rsidRPr="00882024">
        <w:rPr>
          <w:rStyle w:val="FootnoteReference"/>
          <w:rFonts w:ascii="Arial" w:hAnsi="Arial" w:cs="Arial"/>
          <w:sz w:val="22"/>
          <w:szCs w:val="28"/>
        </w:rPr>
        <w:footnoteReference w:id="6"/>
      </w:r>
    </w:p>
    <w:p w14:paraId="47798C55" w14:textId="77777777" w:rsidR="00882024" w:rsidRPr="00882024" w:rsidRDefault="00882024" w:rsidP="00882024">
      <w:pPr>
        <w:rPr>
          <w:rFonts w:ascii="Arial" w:hAnsi="Arial" w:cs="Arial"/>
          <w:sz w:val="22"/>
          <w:szCs w:val="28"/>
        </w:rPr>
      </w:pPr>
      <w:r w:rsidRPr="00882024">
        <w:rPr>
          <w:rFonts w:ascii="Arial" w:hAnsi="Arial" w:cs="Arial"/>
          <w:sz w:val="22"/>
          <w:szCs w:val="28"/>
        </w:rPr>
        <w:t>In 2018, Saudi Arabia approved a new bankruptcy law that included general regulations, preventive actions, measures for financial restructuring and settlement procedures.</w:t>
      </w:r>
      <w:r w:rsidRPr="00882024">
        <w:rPr>
          <w:rStyle w:val="FootnoteReference"/>
          <w:rFonts w:ascii="Arial" w:hAnsi="Arial" w:cs="Arial"/>
          <w:sz w:val="22"/>
          <w:szCs w:val="28"/>
        </w:rPr>
        <w:footnoteReference w:id="7"/>
      </w:r>
      <w:r w:rsidRPr="00882024">
        <w:rPr>
          <w:rFonts w:ascii="Arial" w:hAnsi="Arial" w:cs="Arial"/>
          <w:sz w:val="22"/>
          <w:szCs w:val="28"/>
        </w:rPr>
        <w:t xml:space="preserve"> </w:t>
      </w:r>
    </w:p>
    <w:p w14:paraId="78DB9FD8" w14:textId="7B03A74D" w:rsidR="00C72848" w:rsidRPr="00882024" w:rsidRDefault="00882024" w:rsidP="00882024">
      <w:pPr>
        <w:rPr>
          <w:rFonts w:ascii="Arial" w:hAnsi="Arial" w:cs="Arial"/>
          <w:sz w:val="22"/>
          <w:szCs w:val="28"/>
        </w:rPr>
      </w:pPr>
      <w:r w:rsidRPr="00882024">
        <w:rPr>
          <w:rFonts w:ascii="Arial" w:hAnsi="Arial" w:cs="Arial"/>
          <w:sz w:val="22"/>
          <w:szCs w:val="28"/>
        </w:rPr>
        <w:t>In 2019, the Dubai International financial Centre also enacted a new insolvency law, which aimed to balance the needs of all stakeholders as well as facilitate a more efficient and effective bankruptcy restructuring regime.</w:t>
      </w:r>
      <w:r w:rsidRPr="00882024">
        <w:rPr>
          <w:rStyle w:val="FootnoteReference"/>
          <w:rFonts w:ascii="Arial" w:hAnsi="Arial" w:cs="Arial"/>
          <w:sz w:val="22"/>
          <w:szCs w:val="28"/>
        </w:rPr>
        <w:footnoteReference w:id="8"/>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E943D73" w14:textId="71683711" w:rsidR="00882024" w:rsidRPr="00882024" w:rsidRDefault="00825723" w:rsidP="0088202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T</w:t>
      </w:r>
      <w:r w:rsidR="00882024" w:rsidRPr="00882024">
        <w:rPr>
          <w:rFonts w:ascii="Arial" w:hAnsi="Arial" w:cs="Arial"/>
          <w:sz w:val="22"/>
          <w:szCs w:val="28"/>
          <w:lang w:val="en"/>
        </w:rPr>
        <w:t xml:space="preserve">he objective of insolvency for individuals is to provide the debtor with the opportunity to start afresh as well as avoid harassment from creditors. </w:t>
      </w:r>
      <w:r>
        <w:rPr>
          <w:rFonts w:ascii="Arial" w:hAnsi="Arial" w:cs="Arial"/>
          <w:sz w:val="22"/>
          <w:szCs w:val="28"/>
          <w:lang w:val="en"/>
        </w:rPr>
        <w:t>T</w:t>
      </w:r>
      <w:r w:rsidR="00882024" w:rsidRPr="00882024">
        <w:rPr>
          <w:rFonts w:ascii="Arial" w:hAnsi="Arial" w:cs="Arial"/>
          <w:sz w:val="22"/>
          <w:szCs w:val="28"/>
          <w:lang w:val="en"/>
        </w:rPr>
        <w:t xml:space="preserve">he concept of the debtor having a fresh start is especially desirable in situations in which the insolvency is not due to the debtor's actions or conduct. </w:t>
      </w:r>
      <w:r>
        <w:rPr>
          <w:rFonts w:ascii="Arial" w:hAnsi="Arial" w:cs="Arial"/>
          <w:sz w:val="22"/>
          <w:szCs w:val="28"/>
          <w:lang w:val="en"/>
        </w:rPr>
        <w:t>A</w:t>
      </w:r>
      <w:r w:rsidR="00882024" w:rsidRPr="00882024">
        <w:rPr>
          <w:rFonts w:ascii="Arial" w:hAnsi="Arial" w:cs="Arial"/>
          <w:sz w:val="22"/>
          <w:szCs w:val="28"/>
          <w:lang w:val="en"/>
        </w:rPr>
        <w:t xml:space="preserve"> further objective of individual insolvency is to reduce the debt owing from present and anticipated income whilst </w:t>
      </w:r>
      <w:proofErr w:type="gramStart"/>
      <w:r w:rsidR="00882024" w:rsidRPr="00882024">
        <w:rPr>
          <w:rFonts w:ascii="Arial" w:hAnsi="Arial" w:cs="Arial"/>
          <w:sz w:val="22"/>
          <w:szCs w:val="28"/>
          <w:lang w:val="en"/>
        </w:rPr>
        <w:t>taking into account</w:t>
      </w:r>
      <w:proofErr w:type="gramEnd"/>
      <w:r w:rsidR="00882024" w:rsidRPr="00882024">
        <w:rPr>
          <w:rFonts w:ascii="Arial" w:hAnsi="Arial" w:cs="Arial"/>
          <w:sz w:val="22"/>
          <w:szCs w:val="28"/>
          <w:lang w:val="en"/>
        </w:rPr>
        <w:t xml:space="preserve"> the debtor's personal circumstances.</w:t>
      </w:r>
      <w:r>
        <w:rPr>
          <w:rStyle w:val="FootnoteReference"/>
          <w:rFonts w:ascii="Arial" w:hAnsi="Arial" w:cs="Arial"/>
          <w:sz w:val="22"/>
          <w:szCs w:val="28"/>
          <w:lang w:val="en"/>
        </w:rPr>
        <w:footnoteReference w:id="9"/>
      </w:r>
      <w:r w:rsidR="00882024" w:rsidRPr="00882024">
        <w:rPr>
          <w:rFonts w:ascii="Arial" w:hAnsi="Arial" w:cs="Arial"/>
          <w:sz w:val="22"/>
          <w:szCs w:val="28"/>
          <w:lang w:val="en"/>
        </w:rPr>
        <w:t xml:space="preserve"> </w:t>
      </w:r>
    </w:p>
    <w:p w14:paraId="28063986" w14:textId="298C8AD6" w:rsidR="00882024" w:rsidRPr="00882024" w:rsidRDefault="00EF112C" w:rsidP="0088202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T</w:t>
      </w:r>
      <w:r w:rsidR="00882024" w:rsidRPr="00882024">
        <w:rPr>
          <w:rFonts w:ascii="Arial" w:hAnsi="Arial" w:cs="Arial"/>
          <w:sz w:val="22"/>
          <w:szCs w:val="28"/>
          <w:lang w:val="en"/>
        </w:rPr>
        <w:t xml:space="preserve">he objective of insolvency for corporations is to preserve as many parts of the business </w:t>
      </w:r>
      <w:r>
        <w:rPr>
          <w:rFonts w:ascii="Arial" w:hAnsi="Arial" w:cs="Arial"/>
          <w:sz w:val="22"/>
          <w:szCs w:val="28"/>
          <w:lang w:val="en"/>
        </w:rPr>
        <w:t xml:space="preserve">as possible </w:t>
      </w:r>
      <w:r w:rsidR="00882024" w:rsidRPr="00882024">
        <w:rPr>
          <w:rFonts w:ascii="Arial" w:hAnsi="Arial" w:cs="Arial"/>
          <w:sz w:val="22"/>
          <w:szCs w:val="28"/>
          <w:lang w:val="en"/>
        </w:rPr>
        <w:t xml:space="preserve">or the business itself. </w:t>
      </w:r>
      <w:r>
        <w:rPr>
          <w:rFonts w:ascii="Arial" w:hAnsi="Arial" w:cs="Arial"/>
          <w:sz w:val="22"/>
          <w:szCs w:val="28"/>
          <w:lang w:val="en"/>
        </w:rPr>
        <w:t>F</w:t>
      </w:r>
      <w:r w:rsidR="00882024" w:rsidRPr="00882024">
        <w:rPr>
          <w:rFonts w:ascii="Arial" w:hAnsi="Arial" w:cs="Arial"/>
          <w:sz w:val="22"/>
          <w:szCs w:val="28"/>
          <w:lang w:val="en"/>
        </w:rPr>
        <w:t>urthermore, if appropriate in the circumstances, personal liability may also be sought to be imposed.</w:t>
      </w:r>
      <w:r>
        <w:rPr>
          <w:rStyle w:val="FootnoteReference"/>
          <w:rFonts w:ascii="Arial" w:hAnsi="Arial" w:cs="Arial"/>
          <w:sz w:val="22"/>
          <w:szCs w:val="28"/>
          <w:lang w:val="en"/>
        </w:rPr>
        <w:footnoteReference w:id="10"/>
      </w:r>
      <w:r w:rsidR="00882024" w:rsidRPr="00882024">
        <w:rPr>
          <w:rFonts w:ascii="Arial" w:hAnsi="Arial" w:cs="Arial"/>
          <w:sz w:val="22"/>
          <w:szCs w:val="28"/>
          <w:lang w:val="en"/>
        </w:rPr>
        <w:t xml:space="preserve"> </w:t>
      </w:r>
    </w:p>
    <w:p w14:paraId="4A637290" w14:textId="289A923E" w:rsidR="00544127" w:rsidRPr="00882024" w:rsidRDefault="00EF112C" w:rsidP="0088202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H</w:t>
      </w:r>
      <w:r w:rsidR="00882024" w:rsidRPr="00882024">
        <w:rPr>
          <w:rFonts w:ascii="Arial" w:hAnsi="Arial" w:cs="Arial"/>
          <w:sz w:val="22"/>
          <w:szCs w:val="28"/>
          <w:lang w:val="en"/>
        </w:rPr>
        <w:t xml:space="preserve">owever, there are also principles that apply to both situations, such as the concept of </w:t>
      </w:r>
      <w:proofErr w:type="spellStart"/>
      <w:r w:rsidR="00882024" w:rsidRPr="00EF112C">
        <w:rPr>
          <w:rFonts w:ascii="Arial" w:hAnsi="Arial" w:cs="Arial"/>
          <w:i/>
          <w:iCs/>
          <w:sz w:val="22"/>
          <w:szCs w:val="28"/>
          <w:lang w:val="en"/>
        </w:rPr>
        <w:t>pari</w:t>
      </w:r>
      <w:proofErr w:type="spellEnd"/>
      <w:r w:rsidR="00882024" w:rsidRPr="00EF112C">
        <w:rPr>
          <w:rFonts w:ascii="Arial" w:hAnsi="Arial" w:cs="Arial"/>
          <w:i/>
          <w:iCs/>
          <w:sz w:val="22"/>
          <w:szCs w:val="28"/>
          <w:lang w:val="en"/>
        </w:rPr>
        <w:t xml:space="preserve"> passu</w:t>
      </w:r>
      <w:r w:rsidR="00882024" w:rsidRPr="00882024">
        <w:rPr>
          <w:rFonts w:ascii="Arial" w:hAnsi="Arial" w:cs="Arial"/>
          <w:sz w:val="22"/>
          <w:szCs w:val="28"/>
          <w:lang w:val="en"/>
        </w:rPr>
        <w:t xml:space="preserve"> distribution (</w:t>
      </w:r>
      <w:proofErr w:type="gramStart"/>
      <w:r w:rsidR="00882024" w:rsidRPr="00882024">
        <w:rPr>
          <w:rFonts w:ascii="Arial" w:hAnsi="Arial" w:cs="Arial"/>
          <w:sz w:val="22"/>
          <w:szCs w:val="28"/>
          <w:lang w:val="en"/>
        </w:rPr>
        <w:t>with the exception of</w:t>
      </w:r>
      <w:proofErr w:type="gramEnd"/>
      <w:r w:rsidR="00882024" w:rsidRPr="00882024">
        <w:rPr>
          <w:rFonts w:ascii="Arial" w:hAnsi="Arial" w:cs="Arial"/>
          <w:sz w:val="22"/>
          <w:szCs w:val="28"/>
          <w:lang w:val="en"/>
        </w:rPr>
        <w:t xml:space="preserve"> creditors who have priority), fair treatment of the debtor by creditors and the reclamation of voidable dispositions.</w:t>
      </w:r>
      <w:r>
        <w:rPr>
          <w:rStyle w:val="FootnoteReference"/>
          <w:rFonts w:ascii="Arial" w:hAnsi="Arial" w:cs="Arial"/>
          <w:sz w:val="22"/>
          <w:szCs w:val="28"/>
          <w:lang w:val="en"/>
        </w:rPr>
        <w:footnoteReference w:id="11"/>
      </w:r>
      <w:r w:rsidR="00882024" w:rsidRPr="00882024">
        <w:rPr>
          <w:rFonts w:ascii="Arial" w:hAnsi="Arial" w:cs="Arial"/>
          <w:sz w:val="22"/>
          <w:szCs w:val="28"/>
          <w:lang w:val="en"/>
        </w:rPr>
        <w:t xml:space="preserve">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64168704" w14:textId="72670610" w:rsidR="00882024" w:rsidRPr="001575D4" w:rsidRDefault="00EF112C" w:rsidP="0088202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G</w:t>
      </w:r>
      <w:r w:rsidR="00882024" w:rsidRPr="001575D4">
        <w:rPr>
          <w:rFonts w:ascii="Arial" w:hAnsi="Arial" w:cs="Arial"/>
          <w:sz w:val="22"/>
          <w:szCs w:val="28"/>
          <w:lang w:val="en"/>
        </w:rPr>
        <w:t xml:space="preserve">iven there is not a single set of insolvency rules that applies globally, many difficulties may arise in the above context. </w:t>
      </w:r>
      <w:r>
        <w:rPr>
          <w:rFonts w:ascii="Arial" w:hAnsi="Arial" w:cs="Arial"/>
          <w:sz w:val="22"/>
          <w:szCs w:val="28"/>
          <w:lang w:val="en"/>
        </w:rPr>
        <w:t>A</w:t>
      </w:r>
      <w:r w:rsidR="00882024" w:rsidRPr="001575D4">
        <w:rPr>
          <w:rFonts w:ascii="Arial" w:hAnsi="Arial" w:cs="Arial"/>
          <w:sz w:val="22"/>
          <w:szCs w:val="28"/>
          <w:lang w:val="en"/>
        </w:rPr>
        <w:t xml:space="preserve">s such, one will have to grapple with </w:t>
      </w:r>
      <w:r>
        <w:rPr>
          <w:rFonts w:ascii="Arial" w:hAnsi="Arial" w:cs="Arial"/>
          <w:sz w:val="22"/>
          <w:szCs w:val="28"/>
          <w:lang w:val="en"/>
        </w:rPr>
        <w:t xml:space="preserve">states' </w:t>
      </w:r>
      <w:r w:rsidR="00882024" w:rsidRPr="001575D4">
        <w:rPr>
          <w:rFonts w:ascii="Arial" w:hAnsi="Arial" w:cs="Arial"/>
          <w:sz w:val="22"/>
          <w:szCs w:val="28"/>
          <w:lang w:val="en"/>
        </w:rPr>
        <w:t xml:space="preserve">different laws, </w:t>
      </w:r>
      <w:proofErr w:type="gramStart"/>
      <w:r w:rsidR="00882024" w:rsidRPr="001575D4">
        <w:rPr>
          <w:rFonts w:ascii="Arial" w:hAnsi="Arial" w:cs="Arial"/>
          <w:sz w:val="22"/>
          <w:szCs w:val="28"/>
          <w:lang w:val="en"/>
        </w:rPr>
        <w:t>approaches</w:t>
      </w:r>
      <w:proofErr w:type="gramEnd"/>
      <w:r w:rsidR="00882024" w:rsidRPr="001575D4">
        <w:rPr>
          <w:rFonts w:ascii="Arial" w:hAnsi="Arial" w:cs="Arial"/>
          <w:sz w:val="22"/>
          <w:szCs w:val="28"/>
          <w:lang w:val="en"/>
        </w:rPr>
        <w:t xml:space="preserve"> and policies as well as differences in substantive and procedural rules</w:t>
      </w:r>
      <w:r>
        <w:rPr>
          <w:rFonts w:ascii="Arial" w:hAnsi="Arial" w:cs="Arial"/>
          <w:sz w:val="22"/>
          <w:szCs w:val="28"/>
          <w:lang w:val="en"/>
        </w:rPr>
        <w:t>.</w:t>
      </w:r>
      <w:r>
        <w:rPr>
          <w:rStyle w:val="FootnoteReference"/>
          <w:rFonts w:ascii="Arial" w:hAnsi="Arial" w:cs="Arial"/>
          <w:sz w:val="22"/>
          <w:szCs w:val="28"/>
          <w:lang w:val="en"/>
        </w:rPr>
        <w:footnoteReference w:id="12"/>
      </w:r>
      <w:r w:rsidR="00882024" w:rsidRPr="001575D4">
        <w:rPr>
          <w:rFonts w:ascii="Arial" w:hAnsi="Arial" w:cs="Arial"/>
          <w:sz w:val="22"/>
          <w:szCs w:val="28"/>
          <w:lang w:val="en"/>
        </w:rPr>
        <w:t xml:space="preserve"> </w:t>
      </w:r>
    </w:p>
    <w:p w14:paraId="4F4692AC" w14:textId="65655170" w:rsidR="00882024" w:rsidRPr="001575D4" w:rsidRDefault="00EF112C" w:rsidP="0088202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O</w:t>
      </w:r>
      <w:r w:rsidR="00882024" w:rsidRPr="001575D4">
        <w:rPr>
          <w:rFonts w:ascii="Arial" w:hAnsi="Arial" w:cs="Arial"/>
          <w:sz w:val="22"/>
          <w:szCs w:val="28"/>
          <w:lang w:val="en"/>
        </w:rPr>
        <w:t xml:space="preserve">ne issue </w:t>
      </w:r>
      <w:proofErr w:type="gramStart"/>
      <w:r w:rsidR="00882024" w:rsidRPr="001575D4">
        <w:rPr>
          <w:rFonts w:ascii="Arial" w:hAnsi="Arial" w:cs="Arial"/>
          <w:sz w:val="22"/>
          <w:szCs w:val="28"/>
          <w:lang w:val="en"/>
        </w:rPr>
        <w:t>in particular is</w:t>
      </w:r>
      <w:proofErr w:type="gramEnd"/>
      <w:r w:rsidR="00882024" w:rsidRPr="001575D4">
        <w:rPr>
          <w:rFonts w:ascii="Arial" w:hAnsi="Arial" w:cs="Arial"/>
          <w:sz w:val="22"/>
          <w:szCs w:val="28"/>
          <w:lang w:val="en"/>
        </w:rPr>
        <w:t xml:space="preserve"> having to reconcile the various approaches to insolvency - most commonly, states either have a pro-creditor or a pro-debtor system</w:t>
      </w:r>
      <w:r>
        <w:rPr>
          <w:rFonts w:ascii="Arial" w:hAnsi="Arial" w:cs="Arial"/>
          <w:sz w:val="22"/>
          <w:szCs w:val="28"/>
          <w:lang w:val="en"/>
        </w:rPr>
        <w:t>.</w:t>
      </w:r>
      <w:r>
        <w:rPr>
          <w:rStyle w:val="FootnoteReference"/>
          <w:rFonts w:ascii="Arial" w:hAnsi="Arial" w:cs="Arial"/>
          <w:sz w:val="22"/>
          <w:szCs w:val="28"/>
          <w:lang w:val="en"/>
        </w:rPr>
        <w:footnoteReference w:id="13"/>
      </w:r>
      <w:r w:rsidR="00882024" w:rsidRPr="001575D4">
        <w:rPr>
          <w:rFonts w:ascii="Arial" w:hAnsi="Arial" w:cs="Arial"/>
          <w:sz w:val="22"/>
          <w:szCs w:val="28"/>
          <w:lang w:val="en"/>
        </w:rPr>
        <w:t xml:space="preserve"> Some systems may also take into account other interests vital in the domestic context (such as </w:t>
      </w:r>
      <w:proofErr w:type="spellStart"/>
      <w:r w:rsidR="00882024" w:rsidRPr="001575D4">
        <w:rPr>
          <w:rFonts w:ascii="Arial" w:hAnsi="Arial" w:cs="Arial"/>
          <w:sz w:val="22"/>
          <w:szCs w:val="28"/>
          <w:lang w:val="en"/>
        </w:rPr>
        <w:t>labour</w:t>
      </w:r>
      <w:proofErr w:type="spellEnd"/>
      <w:r w:rsidR="00882024" w:rsidRPr="001575D4">
        <w:rPr>
          <w:rFonts w:ascii="Arial" w:hAnsi="Arial" w:cs="Arial"/>
          <w:sz w:val="22"/>
          <w:szCs w:val="28"/>
          <w:lang w:val="en"/>
        </w:rPr>
        <w:t xml:space="preserve"> rights in France)</w:t>
      </w:r>
      <w:r w:rsidR="006C71DC">
        <w:rPr>
          <w:rFonts w:ascii="Arial" w:hAnsi="Arial" w:cs="Arial"/>
          <w:sz w:val="22"/>
          <w:szCs w:val="28"/>
          <w:lang w:val="en"/>
        </w:rPr>
        <w:t>.</w:t>
      </w:r>
      <w:r w:rsidR="006C71DC">
        <w:rPr>
          <w:rStyle w:val="FootnoteReference"/>
          <w:rFonts w:ascii="Arial" w:hAnsi="Arial" w:cs="Arial"/>
          <w:sz w:val="22"/>
          <w:szCs w:val="28"/>
          <w:lang w:val="en"/>
        </w:rPr>
        <w:footnoteReference w:id="14"/>
      </w:r>
      <w:r w:rsidR="00882024" w:rsidRPr="001575D4">
        <w:rPr>
          <w:rFonts w:ascii="Arial" w:hAnsi="Arial" w:cs="Arial"/>
          <w:sz w:val="22"/>
          <w:szCs w:val="28"/>
          <w:lang w:val="en"/>
        </w:rPr>
        <w:t xml:space="preserve"> </w:t>
      </w:r>
      <w:r w:rsidR="006C71DC">
        <w:rPr>
          <w:rFonts w:ascii="Arial" w:hAnsi="Arial" w:cs="Arial"/>
          <w:sz w:val="22"/>
          <w:szCs w:val="28"/>
          <w:lang w:val="en"/>
        </w:rPr>
        <w:t>S</w:t>
      </w:r>
      <w:r w:rsidR="00882024" w:rsidRPr="001575D4">
        <w:rPr>
          <w:rFonts w:ascii="Arial" w:hAnsi="Arial" w:cs="Arial"/>
          <w:sz w:val="22"/>
          <w:szCs w:val="28"/>
          <w:lang w:val="en"/>
        </w:rPr>
        <w:t>ome states may also be reluctant to recognize foreign public claims for policy reasons or due to a desire to protect the interests of local creditors</w:t>
      </w:r>
      <w:r w:rsidR="006C71DC">
        <w:rPr>
          <w:rFonts w:ascii="Arial" w:hAnsi="Arial" w:cs="Arial"/>
          <w:sz w:val="22"/>
          <w:szCs w:val="28"/>
          <w:lang w:val="en"/>
        </w:rPr>
        <w:t>.</w:t>
      </w:r>
      <w:r w:rsidR="006C71DC">
        <w:rPr>
          <w:rStyle w:val="FootnoteReference"/>
          <w:rFonts w:ascii="Arial" w:hAnsi="Arial" w:cs="Arial"/>
          <w:sz w:val="22"/>
          <w:szCs w:val="28"/>
          <w:lang w:val="en"/>
        </w:rPr>
        <w:footnoteReference w:id="15"/>
      </w:r>
      <w:r w:rsidR="00882024" w:rsidRPr="001575D4">
        <w:rPr>
          <w:rFonts w:ascii="Arial" w:hAnsi="Arial" w:cs="Arial"/>
          <w:sz w:val="22"/>
          <w:szCs w:val="28"/>
          <w:lang w:val="en"/>
        </w:rPr>
        <w:t xml:space="preserve"> </w:t>
      </w:r>
    </w:p>
    <w:p w14:paraId="6175B1BD" w14:textId="2B4EE421" w:rsidR="00882024" w:rsidRPr="001575D4" w:rsidRDefault="006C71DC" w:rsidP="0088202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T</w:t>
      </w:r>
      <w:r w:rsidR="00882024" w:rsidRPr="001575D4">
        <w:rPr>
          <w:rFonts w:ascii="Arial" w:hAnsi="Arial" w:cs="Arial"/>
          <w:sz w:val="22"/>
          <w:szCs w:val="28"/>
          <w:lang w:val="en"/>
        </w:rPr>
        <w:t xml:space="preserve">his may also result in states </w:t>
      </w:r>
      <w:proofErr w:type="gramStart"/>
      <w:r w:rsidR="00882024" w:rsidRPr="001575D4">
        <w:rPr>
          <w:rFonts w:ascii="Arial" w:hAnsi="Arial" w:cs="Arial"/>
          <w:sz w:val="22"/>
          <w:szCs w:val="28"/>
          <w:lang w:val="en"/>
        </w:rPr>
        <w:t>competing with each other</w:t>
      </w:r>
      <w:proofErr w:type="gramEnd"/>
      <w:r w:rsidR="00882024" w:rsidRPr="001575D4">
        <w:rPr>
          <w:rFonts w:ascii="Arial" w:hAnsi="Arial" w:cs="Arial"/>
          <w:sz w:val="22"/>
          <w:szCs w:val="28"/>
          <w:lang w:val="en"/>
        </w:rPr>
        <w:t xml:space="preserve"> for a debtor's assets</w:t>
      </w:r>
      <w:r>
        <w:rPr>
          <w:rFonts w:ascii="Arial" w:hAnsi="Arial" w:cs="Arial"/>
          <w:sz w:val="22"/>
          <w:szCs w:val="28"/>
          <w:lang w:val="en"/>
        </w:rPr>
        <w:t>.</w:t>
      </w:r>
      <w:r>
        <w:rPr>
          <w:rStyle w:val="FootnoteReference"/>
          <w:rFonts w:ascii="Arial" w:hAnsi="Arial" w:cs="Arial"/>
          <w:sz w:val="22"/>
          <w:szCs w:val="28"/>
          <w:lang w:val="en"/>
        </w:rPr>
        <w:footnoteReference w:id="16"/>
      </w:r>
    </w:p>
    <w:p w14:paraId="7B309705" w14:textId="63AFF627" w:rsidR="00882024" w:rsidRPr="001575D4" w:rsidRDefault="006C71DC" w:rsidP="00882024">
      <w:pPr>
        <w:widowControl w:val="0"/>
        <w:autoSpaceDE w:val="0"/>
        <w:autoSpaceDN w:val="0"/>
        <w:adjustRightInd w:val="0"/>
        <w:spacing w:after="200" w:line="276" w:lineRule="auto"/>
        <w:rPr>
          <w:rFonts w:ascii="Arial" w:hAnsi="Arial" w:cs="Arial"/>
          <w:sz w:val="22"/>
          <w:szCs w:val="28"/>
          <w:lang w:val="en"/>
        </w:rPr>
      </w:pPr>
      <w:proofErr w:type="gramStart"/>
      <w:r>
        <w:rPr>
          <w:rFonts w:ascii="Arial" w:hAnsi="Arial" w:cs="Arial"/>
          <w:sz w:val="22"/>
          <w:szCs w:val="28"/>
          <w:lang w:val="en"/>
        </w:rPr>
        <w:t>I</w:t>
      </w:r>
      <w:r w:rsidR="00882024" w:rsidRPr="001575D4">
        <w:rPr>
          <w:rFonts w:ascii="Arial" w:hAnsi="Arial" w:cs="Arial"/>
          <w:sz w:val="22"/>
          <w:szCs w:val="28"/>
          <w:lang w:val="en"/>
        </w:rPr>
        <w:t>n particular, Westbrook</w:t>
      </w:r>
      <w:proofErr w:type="gramEnd"/>
      <w:r w:rsidR="00882024" w:rsidRPr="001575D4">
        <w:rPr>
          <w:rFonts w:ascii="Arial" w:hAnsi="Arial" w:cs="Arial"/>
          <w:sz w:val="22"/>
          <w:szCs w:val="28"/>
          <w:lang w:val="en"/>
        </w:rPr>
        <w:t xml:space="preserve"> has noted the following nine key issues in cross-</w:t>
      </w:r>
      <w:r w:rsidRPr="001575D4">
        <w:rPr>
          <w:rFonts w:ascii="Arial" w:hAnsi="Arial" w:cs="Arial"/>
          <w:sz w:val="22"/>
          <w:szCs w:val="28"/>
          <w:lang w:val="en"/>
        </w:rPr>
        <w:t>border</w:t>
      </w:r>
      <w:r w:rsidR="00882024" w:rsidRPr="001575D4">
        <w:rPr>
          <w:rFonts w:ascii="Arial" w:hAnsi="Arial" w:cs="Arial"/>
          <w:sz w:val="22"/>
          <w:szCs w:val="28"/>
          <w:lang w:val="en"/>
        </w:rPr>
        <w:t xml:space="preserve"> </w:t>
      </w:r>
      <w:r w:rsidR="00882024" w:rsidRPr="001575D4">
        <w:rPr>
          <w:rFonts w:ascii="Arial" w:hAnsi="Arial" w:cs="Arial"/>
          <w:sz w:val="22"/>
          <w:szCs w:val="28"/>
          <w:lang w:val="en"/>
        </w:rPr>
        <w:lastRenderedPageBreak/>
        <w:t>insolvencies:</w:t>
      </w:r>
      <w:r>
        <w:rPr>
          <w:rStyle w:val="FootnoteReference"/>
          <w:rFonts w:ascii="Arial" w:hAnsi="Arial" w:cs="Arial"/>
          <w:sz w:val="22"/>
          <w:szCs w:val="28"/>
          <w:lang w:val="en"/>
        </w:rPr>
        <w:footnoteReference w:id="17"/>
      </w:r>
    </w:p>
    <w:p w14:paraId="121E8238"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standing for (recognition of) the foreign representative</w:t>
      </w:r>
    </w:p>
    <w:p w14:paraId="37766B4C"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moratorium on creditor actions</w:t>
      </w:r>
    </w:p>
    <w:p w14:paraId="54FF0AFD"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 xml:space="preserve">creditor participation </w:t>
      </w:r>
    </w:p>
    <w:p w14:paraId="57557795"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executory contracts</w:t>
      </w:r>
    </w:p>
    <w:p w14:paraId="04D969A5"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coordinated claims procedures</w:t>
      </w:r>
    </w:p>
    <w:p w14:paraId="23B6A29B"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priorities and preferences</w:t>
      </w:r>
    </w:p>
    <w:p w14:paraId="3088C89C"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avoidance provision powers</w:t>
      </w:r>
    </w:p>
    <w:p w14:paraId="0A84DA46" w14:textId="77777777" w:rsidR="00882024" w:rsidRPr="001575D4" w:rsidRDefault="00882024" w:rsidP="0088202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discharges</w:t>
      </w:r>
    </w:p>
    <w:p w14:paraId="3DAA6780" w14:textId="5C2F8DA6" w:rsidR="00962045" w:rsidRPr="001575D4" w:rsidRDefault="00882024" w:rsidP="001575D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sidRPr="001575D4">
        <w:rPr>
          <w:rFonts w:ascii="Arial" w:hAnsi="Arial" w:cs="Arial"/>
          <w:sz w:val="22"/>
          <w:szCs w:val="28"/>
          <w:lang w:val="en"/>
        </w:rPr>
        <w:t xml:space="preserve">conflict-of-law issues.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6EBF3D1" w14:textId="44E2354C" w:rsidR="001575D4" w:rsidRPr="001575D4" w:rsidRDefault="006C71DC" w:rsidP="001575D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T</w:t>
      </w:r>
      <w:r w:rsidR="001575D4" w:rsidRPr="001575D4">
        <w:rPr>
          <w:rFonts w:ascii="Arial" w:hAnsi="Arial" w:cs="Arial"/>
          <w:sz w:val="22"/>
          <w:szCs w:val="28"/>
          <w:lang w:val="en"/>
        </w:rPr>
        <w:t>he following steps have been taken in the 21st century towards harmonization of domestic insolvency laws:</w:t>
      </w:r>
    </w:p>
    <w:p w14:paraId="04F5813B" w14:textId="0F6676E3" w:rsidR="001575D4" w:rsidRPr="001575D4" w:rsidRDefault="001E013B" w:rsidP="001575D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Pr>
          <w:rFonts w:ascii="Arial" w:hAnsi="Arial" w:cs="Arial"/>
          <w:sz w:val="22"/>
          <w:szCs w:val="28"/>
          <w:lang w:val="en"/>
        </w:rPr>
        <w:t>I</w:t>
      </w:r>
      <w:r w:rsidR="001575D4" w:rsidRPr="001575D4">
        <w:rPr>
          <w:rFonts w:ascii="Arial" w:hAnsi="Arial" w:cs="Arial"/>
          <w:sz w:val="22"/>
          <w:szCs w:val="28"/>
          <w:lang w:val="en"/>
        </w:rPr>
        <w:t>n 2004, UNCITRAL created a Legislative Guide on Insolvency Law</w:t>
      </w:r>
      <w:r>
        <w:rPr>
          <w:rFonts w:ascii="Arial" w:hAnsi="Arial" w:cs="Arial"/>
          <w:sz w:val="22"/>
          <w:szCs w:val="28"/>
          <w:lang w:val="en"/>
        </w:rPr>
        <w:t>.</w:t>
      </w:r>
      <w:r w:rsidR="006C71DC">
        <w:rPr>
          <w:rStyle w:val="FootnoteReference"/>
          <w:rFonts w:ascii="Arial" w:hAnsi="Arial" w:cs="Arial"/>
          <w:sz w:val="22"/>
          <w:szCs w:val="28"/>
          <w:lang w:val="en"/>
        </w:rPr>
        <w:footnoteReference w:id="18"/>
      </w:r>
      <w:r w:rsidR="001575D4" w:rsidRPr="001575D4">
        <w:rPr>
          <w:rFonts w:ascii="Arial" w:hAnsi="Arial" w:cs="Arial"/>
          <w:sz w:val="22"/>
          <w:szCs w:val="28"/>
          <w:lang w:val="en"/>
        </w:rPr>
        <w:t xml:space="preserve"> </w:t>
      </w:r>
      <w:r>
        <w:rPr>
          <w:rFonts w:ascii="Arial" w:hAnsi="Arial" w:cs="Arial"/>
          <w:sz w:val="22"/>
          <w:szCs w:val="28"/>
          <w:lang w:val="en"/>
        </w:rPr>
        <w:t>I</w:t>
      </w:r>
      <w:r w:rsidR="001575D4" w:rsidRPr="001575D4">
        <w:rPr>
          <w:rFonts w:ascii="Arial" w:hAnsi="Arial" w:cs="Arial"/>
          <w:sz w:val="22"/>
          <w:szCs w:val="28"/>
          <w:lang w:val="en"/>
        </w:rPr>
        <w:t>ts intention is to be used by national authorities and legislative bodies when reviewing existing insolvency law or preparing new regulations.</w:t>
      </w:r>
      <w:r>
        <w:rPr>
          <w:rStyle w:val="FootnoteReference"/>
          <w:rFonts w:ascii="Arial" w:hAnsi="Arial" w:cs="Arial"/>
          <w:sz w:val="22"/>
          <w:szCs w:val="28"/>
          <w:lang w:val="en"/>
        </w:rPr>
        <w:footnoteReference w:id="19"/>
      </w:r>
      <w:r w:rsidR="001575D4" w:rsidRPr="001575D4">
        <w:rPr>
          <w:rFonts w:ascii="Arial" w:hAnsi="Arial" w:cs="Arial"/>
          <w:sz w:val="22"/>
          <w:szCs w:val="28"/>
          <w:lang w:val="en"/>
        </w:rPr>
        <w:t xml:space="preserve"> </w:t>
      </w:r>
    </w:p>
    <w:p w14:paraId="596B61EA" w14:textId="142BE0DB" w:rsidR="001575D4" w:rsidRPr="001575D4" w:rsidRDefault="001E013B" w:rsidP="001575D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Pr>
          <w:rFonts w:ascii="Arial" w:hAnsi="Arial" w:cs="Arial"/>
          <w:sz w:val="22"/>
          <w:szCs w:val="28"/>
          <w:lang w:val="en"/>
        </w:rPr>
        <w:t>I</w:t>
      </w:r>
      <w:r w:rsidR="001575D4" w:rsidRPr="001575D4">
        <w:rPr>
          <w:rFonts w:ascii="Arial" w:hAnsi="Arial" w:cs="Arial"/>
          <w:sz w:val="22"/>
          <w:szCs w:val="28"/>
          <w:lang w:val="en"/>
        </w:rPr>
        <w:t>n the early 2000s, the World Bank produced guidelines on insolvency regulation called 'Principles for Effective Insolvency and Creditor/Debtor Regimes</w:t>
      </w:r>
      <w:r>
        <w:rPr>
          <w:rFonts w:ascii="Arial" w:hAnsi="Arial" w:cs="Arial"/>
          <w:sz w:val="22"/>
          <w:szCs w:val="28"/>
          <w:lang w:val="en"/>
        </w:rPr>
        <w:t>.</w:t>
      </w:r>
      <w:r>
        <w:rPr>
          <w:rStyle w:val="FootnoteReference"/>
          <w:rFonts w:ascii="Arial" w:hAnsi="Arial" w:cs="Arial"/>
          <w:sz w:val="22"/>
          <w:szCs w:val="28"/>
          <w:lang w:val="en"/>
        </w:rPr>
        <w:footnoteReference w:id="20"/>
      </w:r>
      <w:r w:rsidR="001575D4" w:rsidRPr="001575D4">
        <w:rPr>
          <w:rFonts w:ascii="Arial" w:hAnsi="Arial" w:cs="Arial"/>
          <w:sz w:val="22"/>
          <w:szCs w:val="28"/>
          <w:lang w:val="en"/>
        </w:rPr>
        <w:t xml:space="preserve"> </w:t>
      </w:r>
      <w:r>
        <w:rPr>
          <w:rFonts w:ascii="Arial" w:hAnsi="Arial" w:cs="Arial"/>
          <w:sz w:val="22"/>
          <w:szCs w:val="28"/>
          <w:lang w:val="en"/>
        </w:rPr>
        <w:t>S</w:t>
      </w:r>
      <w:r w:rsidR="001575D4" w:rsidRPr="001575D4">
        <w:rPr>
          <w:rFonts w:ascii="Arial" w:hAnsi="Arial" w:cs="Arial"/>
          <w:sz w:val="22"/>
          <w:szCs w:val="28"/>
          <w:lang w:val="en"/>
        </w:rPr>
        <w:t>ome commentators have noted that together with the UNCITRAL Legislative Guide, these two guides provide international best practice for insolvency regulations</w:t>
      </w:r>
      <w:r>
        <w:rPr>
          <w:rFonts w:ascii="Arial" w:hAnsi="Arial" w:cs="Arial"/>
          <w:sz w:val="22"/>
          <w:szCs w:val="28"/>
          <w:lang w:val="en"/>
        </w:rPr>
        <w:t>.</w:t>
      </w:r>
      <w:r>
        <w:rPr>
          <w:rStyle w:val="FootnoteReference"/>
          <w:rFonts w:ascii="Arial" w:hAnsi="Arial" w:cs="Arial"/>
          <w:sz w:val="22"/>
          <w:szCs w:val="28"/>
          <w:lang w:val="en"/>
        </w:rPr>
        <w:footnoteReference w:id="21"/>
      </w:r>
      <w:r w:rsidR="001575D4" w:rsidRPr="001575D4">
        <w:rPr>
          <w:rFonts w:ascii="Arial" w:hAnsi="Arial" w:cs="Arial"/>
          <w:sz w:val="22"/>
          <w:szCs w:val="28"/>
          <w:lang w:val="en"/>
        </w:rPr>
        <w:t xml:space="preserve">  </w:t>
      </w:r>
    </w:p>
    <w:p w14:paraId="079831AB" w14:textId="7B0FA696" w:rsidR="001575D4" w:rsidRPr="001575D4" w:rsidRDefault="001E013B" w:rsidP="001575D4">
      <w:pPr>
        <w:widowControl w:val="0"/>
        <w:numPr>
          <w:ilvl w:val="0"/>
          <w:numId w:val="23"/>
        </w:numPr>
        <w:autoSpaceDE w:val="0"/>
        <w:autoSpaceDN w:val="0"/>
        <w:adjustRightInd w:val="0"/>
        <w:spacing w:after="200" w:line="276" w:lineRule="auto"/>
        <w:ind w:left="720" w:hanging="360"/>
        <w:rPr>
          <w:rFonts w:ascii="Arial" w:hAnsi="Arial" w:cs="Arial"/>
          <w:sz w:val="22"/>
          <w:szCs w:val="28"/>
          <w:lang w:val="en"/>
        </w:rPr>
      </w:pPr>
      <w:r>
        <w:rPr>
          <w:rFonts w:ascii="Arial" w:hAnsi="Arial" w:cs="Arial"/>
          <w:sz w:val="22"/>
          <w:szCs w:val="28"/>
          <w:lang w:val="en"/>
        </w:rPr>
        <w:t>I</w:t>
      </w:r>
      <w:r w:rsidR="001575D4" w:rsidRPr="001575D4">
        <w:rPr>
          <w:rFonts w:ascii="Arial" w:hAnsi="Arial" w:cs="Arial"/>
          <w:sz w:val="22"/>
          <w:szCs w:val="28"/>
          <w:lang w:val="en"/>
        </w:rPr>
        <w:t>n 2010, the European Parliament published a report with respect to the Harmonization of Insolvency Law at EU level</w:t>
      </w:r>
      <w:r>
        <w:rPr>
          <w:rFonts w:ascii="Arial" w:hAnsi="Arial" w:cs="Arial"/>
          <w:sz w:val="22"/>
          <w:szCs w:val="28"/>
          <w:lang w:val="en"/>
        </w:rPr>
        <w:t>.</w:t>
      </w:r>
      <w:r>
        <w:rPr>
          <w:rStyle w:val="FootnoteReference"/>
          <w:rFonts w:ascii="Arial" w:hAnsi="Arial" w:cs="Arial"/>
          <w:sz w:val="22"/>
          <w:szCs w:val="28"/>
          <w:lang w:val="en"/>
        </w:rPr>
        <w:footnoteReference w:id="22"/>
      </w:r>
      <w:r w:rsidR="001575D4" w:rsidRPr="001575D4">
        <w:rPr>
          <w:rFonts w:ascii="Arial" w:hAnsi="Arial" w:cs="Arial"/>
          <w:sz w:val="22"/>
          <w:szCs w:val="28"/>
          <w:lang w:val="en"/>
        </w:rPr>
        <w:t xml:space="preserve"> </w:t>
      </w:r>
      <w:r>
        <w:rPr>
          <w:rFonts w:ascii="Arial" w:hAnsi="Arial" w:cs="Arial"/>
          <w:sz w:val="22"/>
          <w:szCs w:val="28"/>
          <w:lang w:val="en"/>
        </w:rPr>
        <w:t>T</w:t>
      </w:r>
      <w:r w:rsidR="001575D4" w:rsidRPr="001575D4">
        <w:rPr>
          <w:rFonts w:ascii="Arial" w:hAnsi="Arial" w:cs="Arial"/>
          <w:sz w:val="22"/>
          <w:szCs w:val="28"/>
          <w:lang w:val="en"/>
        </w:rPr>
        <w:t xml:space="preserve">his report identifies areas where </w:t>
      </w:r>
      <w:r w:rsidR="001575D4" w:rsidRPr="001575D4">
        <w:rPr>
          <w:rFonts w:ascii="Arial" w:hAnsi="Arial" w:cs="Arial"/>
          <w:sz w:val="22"/>
          <w:szCs w:val="28"/>
          <w:lang w:val="en"/>
        </w:rPr>
        <w:lastRenderedPageBreak/>
        <w:t>further harmonization at EU level is possible and desirable</w:t>
      </w:r>
      <w:r>
        <w:rPr>
          <w:rFonts w:ascii="Arial" w:hAnsi="Arial" w:cs="Arial"/>
          <w:sz w:val="22"/>
          <w:szCs w:val="28"/>
          <w:lang w:val="en"/>
        </w:rPr>
        <w:t>.</w:t>
      </w:r>
      <w:r>
        <w:rPr>
          <w:rStyle w:val="FootnoteReference"/>
          <w:rFonts w:ascii="Arial" w:hAnsi="Arial" w:cs="Arial"/>
          <w:sz w:val="22"/>
          <w:szCs w:val="28"/>
          <w:lang w:val="en"/>
        </w:rPr>
        <w:footnoteReference w:id="23"/>
      </w:r>
      <w:r w:rsidR="001575D4" w:rsidRPr="001575D4">
        <w:rPr>
          <w:rFonts w:ascii="Arial" w:hAnsi="Arial" w:cs="Arial"/>
          <w:sz w:val="22"/>
          <w:szCs w:val="28"/>
          <w:lang w:val="en"/>
        </w:rPr>
        <w:t xml:space="preserve"> </w:t>
      </w:r>
    </w:p>
    <w:p w14:paraId="4AE7EA78" w14:textId="3B58524D" w:rsidR="007D7C92" w:rsidRPr="001575D4" w:rsidRDefault="001E013B" w:rsidP="001575D4">
      <w:pPr>
        <w:widowControl w:val="0"/>
        <w:autoSpaceDE w:val="0"/>
        <w:autoSpaceDN w:val="0"/>
        <w:adjustRightInd w:val="0"/>
        <w:spacing w:after="200" w:line="276" w:lineRule="auto"/>
        <w:rPr>
          <w:rFonts w:ascii="Arial" w:hAnsi="Arial" w:cs="Arial"/>
          <w:sz w:val="22"/>
          <w:szCs w:val="28"/>
          <w:lang w:val="en"/>
        </w:rPr>
      </w:pPr>
      <w:r>
        <w:rPr>
          <w:rFonts w:ascii="Arial" w:hAnsi="Arial" w:cs="Arial"/>
          <w:sz w:val="22"/>
          <w:szCs w:val="28"/>
          <w:lang w:val="en"/>
        </w:rPr>
        <w:t>T</w:t>
      </w:r>
      <w:r w:rsidR="001575D4" w:rsidRPr="001575D4">
        <w:rPr>
          <w:rFonts w:ascii="Arial" w:hAnsi="Arial" w:cs="Arial"/>
          <w:sz w:val="22"/>
          <w:szCs w:val="28"/>
          <w:lang w:val="en"/>
        </w:rPr>
        <w:t>he above steps have the potential to have significant impact on the global insolvency community in that harmonization can reduce the need for resolution of cross border issues</w:t>
      </w:r>
      <w:r w:rsidR="00C70183">
        <w:rPr>
          <w:rFonts w:ascii="Arial" w:hAnsi="Arial" w:cs="Arial"/>
          <w:sz w:val="22"/>
          <w:szCs w:val="28"/>
          <w:lang w:val="en"/>
        </w:rPr>
        <w:t>,</w:t>
      </w:r>
      <w:r w:rsidR="00C70183">
        <w:rPr>
          <w:rStyle w:val="FootnoteReference"/>
          <w:rFonts w:ascii="Arial" w:hAnsi="Arial" w:cs="Arial"/>
          <w:sz w:val="22"/>
          <w:szCs w:val="28"/>
          <w:lang w:val="en"/>
        </w:rPr>
        <w:footnoteReference w:id="24"/>
      </w:r>
      <w:r w:rsidR="00C70183">
        <w:rPr>
          <w:rFonts w:ascii="Arial" w:hAnsi="Arial" w:cs="Arial"/>
          <w:sz w:val="22"/>
          <w:szCs w:val="28"/>
          <w:lang w:val="en"/>
        </w:rPr>
        <w:t xml:space="preserve"> </w:t>
      </w:r>
      <w:r w:rsidR="001575D4" w:rsidRPr="001575D4">
        <w:rPr>
          <w:rFonts w:ascii="Arial" w:hAnsi="Arial" w:cs="Arial"/>
          <w:sz w:val="22"/>
          <w:szCs w:val="28"/>
          <w:lang w:val="en"/>
        </w:rPr>
        <w:t xml:space="preserve">and thereby allow for cheaper and more efficient resolution of international insolvency proceedings. </w:t>
      </w:r>
      <w:r w:rsidR="00C70183">
        <w:rPr>
          <w:rFonts w:ascii="Arial" w:hAnsi="Arial" w:cs="Arial"/>
          <w:sz w:val="22"/>
          <w:szCs w:val="28"/>
          <w:lang w:val="en"/>
        </w:rPr>
        <w:t>U</w:t>
      </w:r>
      <w:r w:rsidR="001575D4" w:rsidRPr="001575D4">
        <w:rPr>
          <w:rFonts w:ascii="Arial" w:hAnsi="Arial" w:cs="Arial"/>
          <w:sz w:val="22"/>
          <w:szCs w:val="28"/>
          <w:lang w:val="en"/>
        </w:rPr>
        <w:t xml:space="preserve">ltimately, the significance of the above however depends greatly on states adopting and implementing the available guidelines and reports.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793A98A7" w14:textId="6DA271F7" w:rsidR="009B0723"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96AD7A3" w14:textId="77777777" w:rsidR="001575D4" w:rsidRPr="001575D4" w:rsidRDefault="001575D4" w:rsidP="001575D4">
      <w:pPr>
        <w:rPr>
          <w:rFonts w:ascii="Arial" w:hAnsi="Arial" w:cs="Arial"/>
          <w:sz w:val="22"/>
          <w:szCs w:val="28"/>
        </w:rPr>
      </w:pPr>
      <w:r w:rsidRPr="001575D4">
        <w:rPr>
          <w:rFonts w:ascii="Arial" w:hAnsi="Arial" w:cs="Arial"/>
          <w:sz w:val="22"/>
          <w:szCs w:val="28"/>
        </w:rPr>
        <w:t xml:space="preserve">The relevance of the Cross-border Insolvency Act of Utopia would here likely be affected by the adoption of the UNCITRAL Model Law on Cross-border insolvency (MLCBI). </w:t>
      </w:r>
    </w:p>
    <w:p w14:paraId="62DF35C5" w14:textId="50B311C1" w:rsidR="001575D4" w:rsidRDefault="001575D4" w:rsidP="001575D4">
      <w:pPr>
        <w:rPr>
          <w:rFonts w:ascii="Arial" w:hAnsi="Arial" w:cs="Arial"/>
          <w:sz w:val="22"/>
          <w:szCs w:val="28"/>
        </w:rPr>
      </w:pPr>
      <w:r w:rsidRPr="001575D4">
        <w:rPr>
          <w:rFonts w:ascii="Arial" w:hAnsi="Arial" w:cs="Arial"/>
          <w:sz w:val="22"/>
          <w:szCs w:val="28"/>
        </w:rPr>
        <w:t>While the Cross-border Insolvency Act of Utopia would still apply, the extent of its application may be affected by the provisions of the MLCBI, which facilitate co-operation and co-ordination of concurrent proceedings without requiring reciprocity</w:t>
      </w:r>
      <w:r w:rsidR="00C70183">
        <w:rPr>
          <w:rFonts w:ascii="Arial" w:hAnsi="Arial" w:cs="Arial"/>
          <w:sz w:val="22"/>
          <w:szCs w:val="28"/>
        </w:rPr>
        <w:t>,</w:t>
      </w:r>
      <w:r w:rsidRPr="001575D4">
        <w:rPr>
          <w:rStyle w:val="FootnoteReference"/>
          <w:rFonts w:ascii="Arial" w:hAnsi="Arial" w:cs="Arial"/>
          <w:sz w:val="22"/>
          <w:szCs w:val="28"/>
        </w:rPr>
        <w:footnoteReference w:id="25"/>
      </w:r>
      <w:r w:rsidR="00C70183">
        <w:rPr>
          <w:rFonts w:ascii="Arial" w:hAnsi="Arial" w:cs="Arial"/>
          <w:sz w:val="22"/>
          <w:szCs w:val="28"/>
        </w:rPr>
        <w:t xml:space="preserve"> t</w:t>
      </w:r>
      <w:r w:rsidRPr="001575D4">
        <w:rPr>
          <w:rFonts w:ascii="Arial" w:hAnsi="Arial" w:cs="Arial"/>
          <w:sz w:val="22"/>
          <w:szCs w:val="28"/>
        </w:rPr>
        <w:t>o the extent those provisions differ from the Cross-border Insolvency Act of Utopia provisions with respect to co-operation and co-ordination.</w:t>
      </w:r>
    </w:p>
    <w:p w14:paraId="00BCFD72" w14:textId="77777777" w:rsidR="00C70183" w:rsidRPr="001575D4" w:rsidRDefault="00C70183" w:rsidP="001575D4">
      <w:pPr>
        <w:rPr>
          <w:rFonts w:ascii="Arial" w:hAnsi="Arial" w:cs="Arial"/>
          <w:sz w:val="22"/>
          <w:szCs w:val="28"/>
        </w:rPr>
      </w:pPr>
    </w:p>
    <w:p w14:paraId="281EB131" w14:textId="7985140C" w:rsidR="001575D4" w:rsidRPr="001575D4" w:rsidRDefault="00FB644C" w:rsidP="001575D4">
      <w:pPr>
        <w:rPr>
          <w:rFonts w:ascii="Arial" w:hAnsi="Arial" w:cs="Arial"/>
          <w:sz w:val="22"/>
          <w:szCs w:val="28"/>
        </w:rPr>
      </w:pPr>
      <w:r w:rsidRPr="001575D4">
        <w:rPr>
          <w:rFonts w:ascii="Arial" w:hAnsi="Arial" w:cs="Arial"/>
          <w:sz w:val="22"/>
          <w:szCs w:val="28"/>
        </w:rPr>
        <w:t>Chapter IV</w:t>
      </w:r>
      <w:r w:rsidR="001575D4" w:rsidRPr="001575D4">
        <w:rPr>
          <w:rFonts w:ascii="Arial" w:hAnsi="Arial" w:cs="Arial"/>
          <w:sz w:val="22"/>
          <w:szCs w:val="28"/>
        </w:rPr>
        <w:t xml:space="preserve"> of the MLCBI in this instance would "mandate co-operation and direct communication between a local court and foreign courts or foreign representatives."</w:t>
      </w:r>
      <w:r w:rsidR="001575D4" w:rsidRPr="001575D4">
        <w:rPr>
          <w:rStyle w:val="FootnoteReference"/>
          <w:rFonts w:ascii="Arial" w:hAnsi="Arial" w:cs="Arial"/>
          <w:sz w:val="22"/>
          <w:szCs w:val="28"/>
        </w:rPr>
        <w:footnoteReference w:id="26"/>
      </w:r>
    </w:p>
    <w:p w14:paraId="3C806A7C" w14:textId="77777777" w:rsidR="001575D4" w:rsidRPr="001575D4" w:rsidRDefault="001575D4" w:rsidP="001575D4">
      <w:pPr>
        <w:rPr>
          <w:rFonts w:ascii="Arial" w:hAnsi="Arial" w:cs="Arial"/>
          <w:sz w:val="22"/>
          <w:szCs w:val="28"/>
        </w:rPr>
      </w:pPr>
      <w:r w:rsidRPr="001575D4">
        <w:rPr>
          <w:rFonts w:ascii="Arial" w:hAnsi="Arial" w:cs="Arial"/>
          <w:sz w:val="22"/>
          <w:szCs w:val="28"/>
        </w:rPr>
        <w:t>The MLCBI also provides for the approval or implementation of co-ordination agreements.</w:t>
      </w:r>
      <w:r w:rsidRPr="001575D4">
        <w:rPr>
          <w:rStyle w:val="FootnoteReference"/>
          <w:rFonts w:ascii="Arial" w:hAnsi="Arial" w:cs="Arial"/>
          <w:sz w:val="22"/>
          <w:szCs w:val="28"/>
        </w:rPr>
        <w:footnoteReference w:id="27"/>
      </w:r>
    </w:p>
    <w:p w14:paraId="2581EE0A" w14:textId="6D53BA34" w:rsidR="001575D4" w:rsidRPr="001575D4" w:rsidRDefault="001575D4" w:rsidP="001575D4">
      <w:pPr>
        <w:rPr>
          <w:rFonts w:ascii="Arial" w:hAnsi="Arial" w:cs="Arial"/>
          <w:sz w:val="22"/>
          <w:szCs w:val="28"/>
        </w:rPr>
      </w:pPr>
      <w:proofErr w:type="gramStart"/>
      <w:r w:rsidRPr="001575D4">
        <w:rPr>
          <w:rFonts w:ascii="Arial" w:hAnsi="Arial" w:cs="Arial"/>
          <w:sz w:val="22"/>
          <w:szCs w:val="28"/>
        </w:rPr>
        <w:lastRenderedPageBreak/>
        <w:t>In order to</w:t>
      </w:r>
      <w:proofErr w:type="gramEnd"/>
      <w:r w:rsidRPr="001575D4">
        <w:rPr>
          <w:rFonts w:ascii="Arial" w:hAnsi="Arial" w:cs="Arial"/>
          <w:sz w:val="22"/>
          <w:szCs w:val="28"/>
        </w:rPr>
        <w:t xml:space="preserve"> fully understand the relevancy of the Cross-border Insolvency Act of Utopia in light of the MLCBI, further information is required to determine how the Cross-border Insolvency Act of Utopia deals with cross-border insolvency issues (if at all), if any common law or rule</w:t>
      </w:r>
      <w:r w:rsidR="00C70183">
        <w:rPr>
          <w:rFonts w:ascii="Arial" w:hAnsi="Arial" w:cs="Arial"/>
          <w:sz w:val="22"/>
          <w:szCs w:val="28"/>
        </w:rPr>
        <w:t>s</w:t>
      </w:r>
      <w:r w:rsidRPr="001575D4">
        <w:rPr>
          <w:rFonts w:ascii="Arial" w:hAnsi="Arial" w:cs="Arial"/>
          <w:sz w:val="22"/>
          <w:szCs w:val="28"/>
        </w:rPr>
        <w:t xml:space="preserve"> of practice apply or whether Utopia offers assistance in cross-border insolvency matters.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707659C" w14:textId="29561311" w:rsidR="001575D4" w:rsidRPr="00C70183" w:rsidRDefault="001575D4" w:rsidP="00C70183">
      <w:pPr>
        <w:pStyle w:val="ListParagraph"/>
        <w:numPr>
          <w:ilvl w:val="0"/>
          <w:numId w:val="25"/>
        </w:numPr>
        <w:rPr>
          <w:rFonts w:ascii="Arial" w:hAnsi="Arial" w:cs="Arial"/>
          <w:sz w:val="22"/>
          <w:szCs w:val="28"/>
        </w:rPr>
      </w:pPr>
      <w:r w:rsidRPr="00C70183">
        <w:rPr>
          <w:rFonts w:ascii="Arial" w:hAnsi="Arial" w:cs="Arial"/>
          <w:sz w:val="22"/>
          <w:szCs w:val="28"/>
        </w:rPr>
        <w:t xml:space="preserve">No, given the MLCBI facilitates co-operation and co-ordination of concurrent proceedings. </w:t>
      </w:r>
    </w:p>
    <w:p w14:paraId="21D1F7CD" w14:textId="5577A11D" w:rsidR="001575D4" w:rsidRPr="00C70183" w:rsidRDefault="00C70183" w:rsidP="001575D4">
      <w:pPr>
        <w:pStyle w:val="ListParagraph"/>
        <w:numPr>
          <w:ilvl w:val="0"/>
          <w:numId w:val="25"/>
        </w:numPr>
        <w:rPr>
          <w:rFonts w:ascii="Arial" w:hAnsi="Arial" w:cs="Arial"/>
          <w:sz w:val="22"/>
          <w:szCs w:val="28"/>
        </w:rPr>
      </w:pPr>
      <w:r>
        <w:rPr>
          <w:rFonts w:ascii="Arial" w:hAnsi="Arial" w:cs="Arial"/>
          <w:sz w:val="22"/>
          <w:szCs w:val="28"/>
        </w:rPr>
        <w:t>N</w:t>
      </w:r>
      <w:r w:rsidR="001575D4" w:rsidRPr="00C70183">
        <w:rPr>
          <w:rFonts w:ascii="Arial" w:hAnsi="Arial" w:cs="Arial"/>
          <w:sz w:val="22"/>
          <w:szCs w:val="28"/>
        </w:rPr>
        <w:t xml:space="preserve">o, for the same reasons as my answer to 4.2 a).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 xml:space="preserve">has assets (real property or interest in land, other tangible </w:t>
      </w:r>
      <w:proofErr w:type="gramStart"/>
      <w:r w:rsidRPr="00827D56">
        <w:rPr>
          <w:rFonts w:ascii="Avenir Next" w:hAnsi="Avenir Next" w:cs="Arial"/>
          <w:sz w:val="22"/>
          <w:szCs w:val="22"/>
          <w:lang w:val="en-GB"/>
        </w:rPr>
        <w:t>assets</w:t>
      </w:r>
      <w:proofErr w:type="gramEnd"/>
      <w:r w:rsidRPr="00827D56">
        <w:rPr>
          <w:rFonts w:ascii="Avenir Next" w:hAnsi="Avenir Next" w:cs="Arial"/>
          <w:sz w:val="22"/>
          <w:szCs w:val="22"/>
          <w:lang w:val="en-GB"/>
        </w:rPr>
        <w:t xml:space="preserve">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4FCA44D5" w14:textId="77777777" w:rsidR="00FB644C" w:rsidRPr="00FB644C" w:rsidRDefault="00FB644C" w:rsidP="00FB644C">
      <w:pPr>
        <w:rPr>
          <w:rFonts w:ascii="Arial" w:hAnsi="Arial" w:cs="Arial"/>
          <w:sz w:val="22"/>
          <w:szCs w:val="28"/>
        </w:rPr>
      </w:pPr>
      <w:r w:rsidRPr="00FB644C">
        <w:rPr>
          <w:rFonts w:ascii="Arial" w:hAnsi="Arial" w:cs="Arial"/>
          <w:sz w:val="22"/>
          <w:szCs w:val="28"/>
        </w:rPr>
        <w:t xml:space="preserve">The country for the company's incorporation is Greece. </w:t>
      </w:r>
    </w:p>
    <w:p w14:paraId="1DBF87FB" w14:textId="77777777" w:rsidR="00FB644C" w:rsidRPr="00FB644C" w:rsidRDefault="00FB644C" w:rsidP="00FB644C">
      <w:pPr>
        <w:rPr>
          <w:rFonts w:ascii="Arial" w:hAnsi="Arial" w:cs="Arial"/>
          <w:sz w:val="22"/>
          <w:szCs w:val="28"/>
        </w:rPr>
      </w:pPr>
      <w:r w:rsidRPr="00FB644C">
        <w:rPr>
          <w:rFonts w:ascii="Arial" w:hAnsi="Arial" w:cs="Arial"/>
          <w:sz w:val="22"/>
          <w:szCs w:val="28"/>
        </w:rPr>
        <w:t>Four key international insolvency issues facing the insolvency representative are:</w:t>
      </w:r>
    </w:p>
    <w:p w14:paraId="57D0718A" w14:textId="745A616A" w:rsidR="00FB644C" w:rsidRPr="00FB644C" w:rsidRDefault="00FB644C" w:rsidP="00FB644C">
      <w:pPr>
        <w:pStyle w:val="ListParagraph"/>
        <w:numPr>
          <w:ilvl w:val="0"/>
          <w:numId w:val="24"/>
        </w:numPr>
        <w:spacing w:before="120" w:after="120"/>
        <w:contextualSpacing w:val="0"/>
        <w:rPr>
          <w:rFonts w:ascii="Arial" w:hAnsi="Arial" w:cs="Arial"/>
          <w:sz w:val="22"/>
          <w:szCs w:val="28"/>
        </w:rPr>
      </w:pPr>
      <w:r w:rsidRPr="00FB644C">
        <w:rPr>
          <w:rFonts w:ascii="Arial" w:hAnsi="Arial" w:cs="Arial"/>
          <w:sz w:val="22"/>
          <w:szCs w:val="28"/>
        </w:rPr>
        <w:t xml:space="preserve">The issue of jurisdiction in other states where the debtor company has </w:t>
      </w:r>
      <w:proofErr w:type="gramStart"/>
      <w:r w:rsidRPr="00FB644C">
        <w:rPr>
          <w:rFonts w:ascii="Arial" w:hAnsi="Arial" w:cs="Arial"/>
          <w:sz w:val="22"/>
          <w:szCs w:val="28"/>
        </w:rPr>
        <w:t>assets</w:t>
      </w:r>
      <w:r w:rsidR="00C70183">
        <w:rPr>
          <w:rFonts w:ascii="Arial" w:hAnsi="Arial" w:cs="Arial"/>
          <w:sz w:val="22"/>
          <w:szCs w:val="28"/>
        </w:rPr>
        <w:t>;</w:t>
      </w:r>
      <w:proofErr w:type="gramEnd"/>
    </w:p>
    <w:p w14:paraId="72A08E4D" w14:textId="4A580A21" w:rsidR="00FB644C" w:rsidRPr="00FB644C" w:rsidRDefault="00FB644C" w:rsidP="00FB644C">
      <w:pPr>
        <w:pStyle w:val="ListParagraph"/>
        <w:numPr>
          <w:ilvl w:val="0"/>
          <w:numId w:val="24"/>
        </w:numPr>
        <w:spacing w:before="120" w:after="120"/>
        <w:contextualSpacing w:val="0"/>
        <w:rPr>
          <w:rFonts w:ascii="Arial" w:hAnsi="Arial" w:cs="Arial"/>
          <w:sz w:val="22"/>
          <w:szCs w:val="28"/>
        </w:rPr>
      </w:pPr>
      <w:r w:rsidRPr="00FB644C">
        <w:rPr>
          <w:rFonts w:ascii="Arial" w:hAnsi="Arial" w:cs="Arial"/>
          <w:sz w:val="22"/>
          <w:szCs w:val="28"/>
        </w:rPr>
        <w:t xml:space="preserve">Creditors in the others states where the debtor has assets may try to compete for those assets with the Greek insolvency </w:t>
      </w:r>
      <w:proofErr w:type="gramStart"/>
      <w:r w:rsidRPr="00FB644C">
        <w:rPr>
          <w:rFonts w:ascii="Arial" w:hAnsi="Arial" w:cs="Arial"/>
          <w:sz w:val="22"/>
          <w:szCs w:val="28"/>
        </w:rPr>
        <w:t>practitioner</w:t>
      </w:r>
      <w:r w:rsidR="00C70183">
        <w:rPr>
          <w:rFonts w:ascii="Arial" w:hAnsi="Arial" w:cs="Arial"/>
          <w:sz w:val="22"/>
          <w:szCs w:val="28"/>
        </w:rPr>
        <w:t>;</w:t>
      </w:r>
      <w:proofErr w:type="gramEnd"/>
      <w:r w:rsidRPr="00FB644C">
        <w:rPr>
          <w:rFonts w:ascii="Arial" w:hAnsi="Arial" w:cs="Arial"/>
          <w:sz w:val="22"/>
          <w:szCs w:val="28"/>
        </w:rPr>
        <w:t xml:space="preserve"> </w:t>
      </w:r>
    </w:p>
    <w:p w14:paraId="148011A4" w14:textId="3F876AAF" w:rsidR="00FB644C" w:rsidRPr="00FB644C" w:rsidRDefault="00FB644C" w:rsidP="00FB644C">
      <w:pPr>
        <w:pStyle w:val="ListParagraph"/>
        <w:numPr>
          <w:ilvl w:val="0"/>
          <w:numId w:val="24"/>
        </w:numPr>
        <w:spacing w:before="120" w:after="120"/>
        <w:contextualSpacing w:val="0"/>
        <w:rPr>
          <w:rFonts w:ascii="Arial" w:hAnsi="Arial" w:cs="Arial"/>
          <w:sz w:val="22"/>
          <w:szCs w:val="28"/>
        </w:rPr>
      </w:pPr>
      <w:r w:rsidRPr="00FB644C">
        <w:rPr>
          <w:rFonts w:ascii="Arial" w:hAnsi="Arial" w:cs="Arial"/>
          <w:sz w:val="22"/>
          <w:szCs w:val="28"/>
        </w:rPr>
        <w:t>Foreign creditors may have registered interests in the assets of the company in Greece</w:t>
      </w:r>
      <w:r w:rsidR="00C70183">
        <w:rPr>
          <w:rFonts w:ascii="Arial" w:hAnsi="Arial" w:cs="Arial"/>
          <w:sz w:val="22"/>
          <w:szCs w:val="28"/>
        </w:rPr>
        <w:t>; and</w:t>
      </w:r>
    </w:p>
    <w:p w14:paraId="10318930" w14:textId="49148155" w:rsidR="00FB644C" w:rsidRPr="00FB644C" w:rsidRDefault="00FB644C" w:rsidP="00FB644C">
      <w:pPr>
        <w:pStyle w:val="ListParagraph"/>
        <w:numPr>
          <w:ilvl w:val="0"/>
          <w:numId w:val="24"/>
        </w:numPr>
        <w:spacing w:before="120" w:after="120"/>
        <w:contextualSpacing w:val="0"/>
        <w:rPr>
          <w:rFonts w:ascii="Arial" w:hAnsi="Arial" w:cs="Arial"/>
          <w:sz w:val="22"/>
          <w:szCs w:val="28"/>
        </w:rPr>
      </w:pPr>
      <w:r w:rsidRPr="00FB644C">
        <w:rPr>
          <w:rFonts w:ascii="Arial" w:hAnsi="Arial" w:cs="Arial"/>
          <w:sz w:val="22"/>
          <w:szCs w:val="28"/>
        </w:rPr>
        <w:t>Some assets may be subject to contractual obligations that fall under a foreign state's jurisdiction and therefore be governed by foreign law</w:t>
      </w:r>
      <w:r w:rsidR="00C70183">
        <w:rPr>
          <w:rFonts w:ascii="Arial" w:hAnsi="Arial" w:cs="Arial"/>
          <w:sz w:val="22"/>
          <w:szCs w:val="28"/>
        </w:rPr>
        <w:t>.</w:t>
      </w:r>
      <w:r w:rsidRPr="00FB644C">
        <w:rPr>
          <w:rFonts w:ascii="Arial" w:hAnsi="Arial" w:cs="Arial"/>
          <w:sz w:val="22"/>
          <w:szCs w:val="28"/>
        </w:rPr>
        <w:t xml:space="preserve"> </w:t>
      </w:r>
    </w:p>
    <w:p w14:paraId="5768AA49" w14:textId="77777777" w:rsidR="00FB644C" w:rsidRPr="00FB644C" w:rsidRDefault="00FB644C" w:rsidP="00FB644C">
      <w:pPr>
        <w:rPr>
          <w:rFonts w:ascii="Arial" w:hAnsi="Arial" w:cs="Arial"/>
          <w:sz w:val="22"/>
          <w:szCs w:val="28"/>
        </w:rPr>
      </w:pPr>
      <w:r w:rsidRPr="00FB644C">
        <w:rPr>
          <w:rFonts w:ascii="Arial" w:hAnsi="Arial" w:cs="Arial"/>
          <w:sz w:val="22"/>
          <w:szCs w:val="28"/>
        </w:rPr>
        <w:t xml:space="preserve">Given Greece is </w:t>
      </w:r>
      <w:proofErr w:type="gramStart"/>
      <w:r w:rsidRPr="00FB644C">
        <w:rPr>
          <w:rFonts w:ascii="Arial" w:hAnsi="Arial" w:cs="Arial"/>
          <w:sz w:val="22"/>
          <w:szCs w:val="28"/>
        </w:rPr>
        <w:t>a</w:t>
      </w:r>
      <w:proofErr w:type="gramEnd"/>
      <w:r w:rsidRPr="00FB644C">
        <w:rPr>
          <w:rFonts w:ascii="Arial" w:hAnsi="Arial" w:cs="Arial"/>
          <w:sz w:val="22"/>
          <w:szCs w:val="28"/>
        </w:rPr>
        <w:t xml:space="preserve"> EU member, the European Insolvency regulation Recast 2015 (EIR Recast) will apply. Greece has also adopted the UNCITRAL Model Law on Cross-border insolvency (MLCBI).</w:t>
      </w:r>
    </w:p>
    <w:p w14:paraId="6559A708" w14:textId="32B277D7" w:rsidR="00FB644C" w:rsidRDefault="00FB644C" w:rsidP="00FB644C">
      <w:pPr>
        <w:rPr>
          <w:rFonts w:ascii="Arial" w:hAnsi="Arial" w:cs="Arial"/>
          <w:sz w:val="22"/>
          <w:szCs w:val="28"/>
        </w:rPr>
      </w:pPr>
      <w:r w:rsidRPr="00FB644C">
        <w:rPr>
          <w:rFonts w:ascii="Arial" w:hAnsi="Arial" w:cs="Arial"/>
          <w:sz w:val="22"/>
          <w:szCs w:val="28"/>
        </w:rPr>
        <w:lastRenderedPageBreak/>
        <w:t>With respect to the first issue, the EIR Recast will allow the insolvency practitioner to bring subsidiary territorial proceedings in other member states given the debtor has an 'establishment' there by carrying out economic activity.</w:t>
      </w:r>
      <w:r w:rsidRPr="00FB644C">
        <w:rPr>
          <w:rStyle w:val="FootnoteReference"/>
          <w:rFonts w:ascii="Arial" w:hAnsi="Arial" w:cs="Arial"/>
          <w:sz w:val="22"/>
          <w:szCs w:val="28"/>
        </w:rPr>
        <w:footnoteReference w:id="28"/>
      </w:r>
    </w:p>
    <w:p w14:paraId="03AC4468" w14:textId="77777777" w:rsidR="00C70183" w:rsidRPr="00FB644C" w:rsidRDefault="00C70183" w:rsidP="00FB644C">
      <w:pPr>
        <w:rPr>
          <w:rFonts w:ascii="Arial" w:hAnsi="Arial" w:cs="Arial"/>
          <w:sz w:val="22"/>
          <w:szCs w:val="28"/>
        </w:rPr>
      </w:pPr>
    </w:p>
    <w:p w14:paraId="3B69C90E" w14:textId="2D40D9F8" w:rsidR="00FB644C" w:rsidRDefault="00FB644C" w:rsidP="00FB644C">
      <w:pPr>
        <w:rPr>
          <w:rFonts w:ascii="Arial" w:hAnsi="Arial" w:cs="Arial"/>
          <w:sz w:val="22"/>
          <w:szCs w:val="28"/>
        </w:rPr>
      </w:pPr>
      <w:r w:rsidRPr="00FB644C">
        <w:rPr>
          <w:rFonts w:ascii="Arial" w:hAnsi="Arial" w:cs="Arial"/>
          <w:sz w:val="22"/>
          <w:szCs w:val="28"/>
        </w:rPr>
        <w:t xml:space="preserve">The EIR Recast also </w:t>
      </w:r>
      <w:r w:rsidRPr="00FB644C">
        <w:rPr>
          <w:rFonts w:ascii="Arial" w:hAnsi="Arial" w:cs="Arial"/>
          <w:sz w:val="22"/>
          <w:szCs w:val="28"/>
        </w:rPr>
        <w:t>recognizes</w:t>
      </w:r>
      <w:r w:rsidRPr="00FB644C">
        <w:rPr>
          <w:rFonts w:ascii="Arial" w:hAnsi="Arial" w:cs="Arial"/>
          <w:sz w:val="22"/>
          <w:szCs w:val="28"/>
        </w:rPr>
        <w:t xml:space="preserve"> the existence of insolvency proceedings outside of the EU for the purpose of </w:t>
      </w:r>
      <w:r w:rsidRPr="00FB644C">
        <w:rPr>
          <w:rFonts w:ascii="Arial" w:hAnsi="Arial" w:cs="Arial"/>
          <w:sz w:val="22"/>
          <w:szCs w:val="28"/>
        </w:rPr>
        <w:t>coordinating</w:t>
      </w:r>
      <w:r w:rsidRPr="00FB644C">
        <w:rPr>
          <w:rFonts w:ascii="Arial" w:hAnsi="Arial" w:cs="Arial"/>
          <w:sz w:val="22"/>
          <w:szCs w:val="28"/>
        </w:rPr>
        <w:t xml:space="preserve"> proceedings both inside and outside of the EU.</w:t>
      </w:r>
      <w:r w:rsidRPr="00FB644C">
        <w:rPr>
          <w:rStyle w:val="FootnoteReference"/>
          <w:rFonts w:ascii="Arial" w:hAnsi="Arial" w:cs="Arial"/>
          <w:sz w:val="22"/>
          <w:szCs w:val="28"/>
        </w:rPr>
        <w:footnoteReference w:id="29"/>
      </w:r>
      <w:r w:rsidRPr="00FB644C">
        <w:rPr>
          <w:rFonts w:ascii="Arial" w:hAnsi="Arial" w:cs="Arial"/>
          <w:sz w:val="22"/>
          <w:szCs w:val="28"/>
        </w:rPr>
        <w:t xml:space="preserve"> This will assist with the second issue. </w:t>
      </w:r>
    </w:p>
    <w:p w14:paraId="2BF6BCD6" w14:textId="77777777" w:rsidR="0024164D" w:rsidRPr="00FB644C" w:rsidRDefault="0024164D" w:rsidP="00FB644C">
      <w:pPr>
        <w:rPr>
          <w:rFonts w:ascii="Arial" w:hAnsi="Arial" w:cs="Arial"/>
          <w:sz w:val="22"/>
          <w:szCs w:val="28"/>
        </w:rPr>
      </w:pPr>
    </w:p>
    <w:p w14:paraId="6452EE2F" w14:textId="33B72AFF" w:rsidR="00FB644C" w:rsidRDefault="00FB644C" w:rsidP="00FB644C">
      <w:pPr>
        <w:rPr>
          <w:rFonts w:ascii="Arial" w:hAnsi="Arial" w:cs="Arial"/>
          <w:sz w:val="22"/>
          <w:szCs w:val="28"/>
        </w:rPr>
      </w:pPr>
      <w:r w:rsidRPr="00FB644C">
        <w:rPr>
          <w:rFonts w:ascii="Arial" w:hAnsi="Arial" w:cs="Arial"/>
          <w:sz w:val="22"/>
          <w:szCs w:val="28"/>
        </w:rPr>
        <w:t>With respect to the third and fourth issue, the MLCBI will assist given it facilitates co-operation and co-ordination between local and foreign representatives.</w:t>
      </w:r>
      <w:r w:rsidRPr="00FB644C">
        <w:rPr>
          <w:rStyle w:val="FootnoteReference"/>
          <w:rFonts w:ascii="Arial" w:hAnsi="Arial" w:cs="Arial"/>
          <w:sz w:val="22"/>
          <w:szCs w:val="28"/>
        </w:rPr>
        <w:footnoteReference w:id="30"/>
      </w:r>
      <w:r w:rsidRPr="00FB644C">
        <w:rPr>
          <w:rFonts w:ascii="Arial" w:hAnsi="Arial" w:cs="Arial"/>
          <w:sz w:val="22"/>
          <w:szCs w:val="28"/>
        </w:rPr>
        <w:t xml:space="preserve"> Under the MLCBI, the insolvency representative may be able to enter into an agreement with a practitioner of a foreign jurisdiction to coordinate proceedings. </w:t>
      </w:r>
    </w:p>
    <w:p w14:paraId="14F93688" w14:textId="77777777" w:rsidR="0024164D" w:rsidRPr="00FB644C" w:rsidRDefault="0024164D" w:rsidP="00FB644C">
      <w:pPr>
        <w:rPr>
          <w:rFonts w:ascii="Arial" w:hAnsi="Arial" w:cs="Arial"/>
          <w:b/>
          <w:bCs/>
          <w:sz w:val="22"/>
          <w:szCs w:val="28"/>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55E6A22" w:rsidR="00AD6A7D" w:rsidRPr="009634F4" w:rsidRDefault="002477E3" w:rsidP="00AD6A7D">
    <w:pPr>
      <w:pStyle w:val="Footer"/>
      <w:ind w:right="360"/>
      <w:rPr>
        <w:rFonts w:ascii="Avenir Next" w:hAnsi="Avenir Next" w:cs="Arial"/>
        <w:sz w:val="22"/>
        <w:szCs w:val="22"/>
      </w:rPr>
    </w:pPr>
    <w:r>
      <w:rPr>
        <w:rFonts w:ascii="Avenir Next" w:hAnsi="Avenir Next" w:cs="Arial"/>
        <w:sz w:val="22"/>
        <w:szCs w:val="22"/>
      </w:rPr>
      <w:t>202223-916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1D7C4DD2" w14:textId="77777777" w:rsidR="00882024" w:rsidRPr="00825723" w:rsidRDefault="00882024" w:rsidP="00882024">
      <w:pPr>
        <w:pStyle w:val="FootnoteText"/>
        <w:rPr>
          <w:rFonts w:ascii="Arial" w:hAnsi="Arial" w:cs="Arial"/>
          <w:sz w:val="22"/>
          <w:szCs w:val="22"/>
        </w:rPr>
      </w:pPr>
      <w:r w:rsidRPr="00825723">
        <w:rPr>
          <w:rStyle w:val="FootnoteReference"/>
          <w:rFonts w:ascii="Arial" w:hAnsi="Arial" w:cs="Arial"/>
          <w:sz w:val="22"/>
          <w:szCs w:val="22"/>
        </w:rPr>
        <w:footnoteRef/>
      </w:r>
      <w:r w:rsidRPr="00825723">
        <w:rPr>
          <w:rFonts w:ascii="Arial" w:hAnsi="Arial" w:cs="Arial"/>
          <w:sz w:val="22"/>
          <w:szCs w:val="22"/>
        </w:rPr>
        <w:t xml:space="preserve"> B Wessels, </w:t>
      </w:r>
      <w:r w:rsidRPr="00825723">
        <w:rPr>
          <w:rFonts w:ascii="Arial" w:hAnsi="Arial" w:cs="Arial"/>
          <w:i/>
          <w:iCs/>
          <w:sz w:val="22"/>
          <w:szCs w:val="22"/>
        </w:rPr>
        <w:t>International Insolvency Law</w:t>
      </w:r>
      <w:r w:rsidRPr="00825723">
        <w:rPr>
          <w:rFonts w:ascii="Arial" w:hAnsi="Arial" w:cs="Arial"/>
          <w:sz w:val="22"/>
          <w:szCs w:val="22"/>
        </w:rPr>
        <w:t xml:space="preserve"> (Kluwer, 2006), p 1. </w:t>
      </w:r>
    </w:p>
  </w:footnote>
  <w:footnote w:id="2">
    <w:p w14:paraId="44C2304E" w14:textId="77777777" w:rsidR="00882024" w:rsidRPr="00A87A0B" w:rsidRDefault="00882024" w:rsidP="00882024">
      <w:pPr>
        <w:pStyle w:val="FootnoteText"/>
        <w:rPr>
          <w:i/>
          <w:iCs/>
        </w:rPr>
      </w:pPr>
      <w:r w:rsidRPr="00825723">
        <w:rPr>
          <w:rStyle w:val="FootnoteReference"/>
          <w:rFonts w:ascii="Arial" w:hAnsi="Arial" w:cs="Arial"/>
          <w:sz w:val="22"/>
          <w:szCs w:val="22"/>
        </w:rPr>
        <w:footnoteRef/>
      </w:r>
      <w:r w:rsidRPr="00825723">
        <w:rPr>
          <w:rFonts w:ascii="Arial" w:hAnsi="Arial" w:cs="Arial"/>
          <w:sz w:val="22"/>
          <w:szCs w:val="22"/>
        </w:rPr>
        <w:t xml:space="preserve"> </w:t>
      </w:r>
      <w:r w:rsidRPr="00825723">
        <w:rPr>
          <w:rFonts w:ascii="Arial" w:hAnsi="Arial" w:cs="Arial"/>
          <w:i/>
          <w:iCs/>
          <w:sz w:val="22"/>
          <w:szCs w:val="22"/>
        </w:rPr>
        <w:t>Idem</w:t>
      </w:r>
      <w:r w:rsidRPr="00825723">
        <w:rPr>
          <w:rFonts w:ascii="Arial" w:hAnsi="Arial" w:cs="Arial"/>
          <w:sz w:val="22"/>
          <w:szCs w:val="22"/>
        </w:rPr>
        <w:t xml:space="preserve">, p 1 </w:t>
      </w:r>
      <w:r w:rsidRPr="00825723">
        <w:rPr>
          <w:rFonts w:ascii="Arial" w:hAnsi="Arial" w:cs="Arial"/>
          <w:i/>
          <w:iCs/>
          <w:sz w:val="22"/>
          <w:szCs w:val="22"/>
        </w:rPr>
        <w:t>et seq.</w:t>
      </w:r>
    </w:p>
  </w:footnote>
  <w:footnote w:id="3">
    <w:p w14:paraId="4C9C68B3" w14:textId="048C70FF" w:rsidR="00882024" w:rsidRPr="00825723" w:rsidRDefault="00882024" w:rsidP="00882024">
      <w:pPr>
        <w:pStyle w:val="FootnoteText"/>
        <w:rPr>
          <w:rFonts w:ascii="Arial" w:hAnsi="Arial" w:cs="Arial"/>
          <w:sz w:val="22"/>
          <w:szCs w:val="22"/>
        </w:rPr>
      </w:pPr>
      <w:r w:rsidRPr="00825723">
        <w:rPr>
          <w:rStyle w:val="FootnoteReference"/>
          <w:rFonts w:ascii="Arial" w:hAnsi="Arial" w:cs="Arial"/>
          <w:sz w:val="22"/>
          <w:szCs w:val="22"/>
        </w:rPr>
        <w:footnoteRef/>
      </w:r>
      <w:r w:rsidRPr="00825723">
        <w:rPr>
          <w:rFonts w:ascii="Arial" w:hAnsi="Arial" w:cs="Arial"/>
          <w:sz w:val="22"/>
          <w:szCs w:val="22"/>
        </w:rPr>
        <w:t xml:space="preserve"> </w:t>
      </w:r>
      <w:r w:rsidR="009750D2" w:rsidRPr="00825723">
        <w:rPr>
          <w:rFonts w:ascii="Arial" w:hAnsi="Arial" w:cs="Arial"/>
          <w:sz w:val="22"/>
          <w:szCs w:val="22"/>
        </w:rPr>
        <w:t xml:space="preserve">Professor André </w:t>
      </w:r>
      <w:proofErr w:type="spellStart"/>
      <w:r w:rsidR="009750D2" w:rsidRPr="00825723">
        <w:rPr>
          <w:rFonts w:ascii="Arial" w:hAnsi="Arial" w:cs="Arial"/>
          <w:sz w:val="22"/>
          <w:szCs w:val="22"/>
        </w:rPr>
        <w:t>Boraine</w:t>
      </w:r>
      <w:proofErr w:type="spellEnd"/>
      <w:r w:rsidR="009750D2" w:rsidRPr="00825723">
        <w:rPr>
          <w:rFonts w:ascii="Arial" w:hAnsi="Arial" w:cs="Arial"/>
          <w:sz w:val="22"/>
          <w:szCs w:val="22"/>
        </w:rPr>
        <w:t xml:space="preserve"> and Professor Rosalind Mason, </w:t>
      </w:r>
      <w:r w:rsidR="009750D2" w:rsidRPr="00825723">
        <w:rPr>
          <w:rFonts w:ascii="Arial" w:hAnsi="Arial" w:cs="Arial"/>
          <w:i/>
          <w:iCs/>
          <w:sz w:val="22"/>
          <w:szCs w:val="22"/>
        </w:rPr>
        <w:t>Module 1 Guidance Text – Introduction to International Insolvency Law</w:t>
      </w:r>
      <w:r w:rsidR="009750D2" w:rsidRPr="00825723">
        <w:rPr>
          <w:rFonts w:ascii="Arial" w:hAnsi="Arial" w:cs="Arial"/>
          <w:sz w:val="22"/>
          <w:szCs w:val="22"/>
        </w:rPr>
        <w:t>, September 2022</w:t>
      </w:r>
      <w:r w:rsidR="00825723" w:rsidRPr="00825723">
        <w:rPr>
          <w:rFonts w:ascii="Arial" w:hAnsi="Arial" w:cs="Arial"/>
          <w:sz w:val="22"/>
          <w:szCs w:val="22"/>
        </w:rPr>
        <w:t xml:space="preserve">, p 37. </w:t>
      </w:r>
      <w:r w:rsidR="009750D2" w:rsidRPr="00825723">
        <w:rPr>
          <w:rFonts w:ascii="Arial" w:hAnsi="Arial" w:cs="Arial"/>
          <w:sz w:val="22"/>
          <w:szCs w:val="22"/>
        </w:rPr>
        <w:t xml:space="preserve"> </w:t>
      </w:r>
    </w:p>
  </w:footnote>
  <w:footnote w:id="4">
    <w:p w14:paraId="27696954" w14:textId="3D0E2CE5" w:rsidR="00882024" w:rsidRPr="00825723" w:rsidRDefault="00882024" w:rsidP="00882024">
      <w:pPr>
        <w:pStyle w:val="FootnoteText"/>
        <w:rPr>
          <w:rFonts w:ascii="Arial" w:hAnsi="Arial" w:cs="Arial"/>
          <w:sz w:val="22"/>
          <w:szCs w:val="22"/>
        </w:rPr>
      </w:pPr>
      <w:r w:rsidRPr="00825723">
        <w:rPr>
          <w:rStyle w:val="FootnoteReference"/>
          <w:rFonts w:ascii="Arial" w:hAnsi="Arial" w:cs="Arial"/>
          <w:sz w:val="22"/>
          <w:szCs w:val="22"/>
        </w:rPr>
        <w:footnoteRef/>
      </w:r>
      <w:r w:rsidRPr="00825723">
        <w:rPr>
          <w:rFonts w:ascii="Arial" w:hAnsi="Arial" w:cs="Arial"/>
          <w:sz w:val="22"/>
          <w:szCs w:val="22"/>
        </w:rPr>
        <w:t xml:space="preserve"> </w:t>
      </w:r>
      <w:r w:rsidR="00825723" w:rsidRPr="00825723">
        <w:rPr>
          <w:rFonts w:ascii="Arial" w:hAnsi="Arial" w:cs="Arial"/>
          <w:sz w:val="22"/>
          <w:szCs w:val="22"/>
        </w:rPr>
        <w:t>I</w:t>
      </w:r>
      <w:r w:rsidR="00825723" w:rsidRPr="00EF112C">
        <w:rPr>
          <w:rFonts w:ascii="Arial" w:hAnsi="Arial" w:cs="Arial"/>
          <w:i/>
          <w:iCs/>
          <w:sz w:val="22"/>
          <w:szCs w:val="22"/>
        </w:rPr>
        <w:t>dem</w:t>
      </w:r>
      <w:r w:rsidR="00825723" w:rsidRPr="00825723">
        <w:rPr>
          <w:rFonts w:ascii="Arial" w:hAnsi="Arial" w:cs="Arial"/>
          <w:sz w:val="22"/>
          <w:szCs w:val="22"/>
        </w:rPr>
        <w:t>, p</w:t>
      </w:r>
      <w:r w:rsidRPr="00825723">
        <w:rPr>
          <w:rFonts w:ascii="Arial" w:hAnsi="Arial" w:cs="Arial"/>
          <w:sz w:val="22"/>
          <w:szCs w:val="22"/>
        </w:rPr>
        <w:t xml:space="preserve"> 38</w:t>
      </w:r>
      <w:r w:rsidR="00825723" w:rsidRPr="00825723">
        <w:rPr>
          <w:rFonts w:ascii="Arial" w:hAnsi="Arial" w:cs="Arial"/>
          <w:sz w:val="22"/>
          <w:szCs w:val="22"/>
        </w:rPr>
        <w:t>.</w:t>
      </w:r>
    </w:p>
  </w:footnote>
  <w:footnote w:id="5">
    <w:p w14:paraId="11FA8E3D" w14:textId="3755F9D6" w:rsidR="00882024" w:rsidRPr="00825723" w:rsidRDefault="00882024" w:rsidP="00882024">
      <w:pPr>
        <w:pStyle w:val="FootnoteText"/>
        <w:rPr>
          <w:rFonts w:ascii="Arial" w:hAnsi="Arial" w:cs="Arial"/>
          <w:sz w:val="22"/>
          <w:szCs w:val="22"/>
        </w:rPr>
      </w:pPr>
      <w:r w:rsidRPr="00825723">
        <w:rPr>
          <w:rStyle w:val="FootnoteReference"/>
          <w:rFonts w:ascii="Arial" w:hAnsi="Arial" w:cs="Arial"/>
          <w:sz w:val="22"/>
          <w:szCs w:val="22"/>
        </w:rPr>
        <w:footnoteRef/>
      </w:r>
      <w:r w:rsidRPr="00825723">
        <w:rPr>
          <w:rFonts w:ascii="Arial" w:hAnsi="Arial" w:cs="Arial"/>
          <w:sz w:val="22"/>
          <w:szCs w:val="22"/>
        </w:rPr>
        <w:t xml:space="preserve"> </w:t>
      </w:r>
      <w:r w:rsidR="00825723" w:rsidRPr="00EF112C">
        <w:rPr>
          <w:rFonts w:ascii="Arial" w:hAnsi="Arial" w:cs="Arial"/>
          <w:i/>
          <w:iCs/>
          <w:sz w:val="22"/>
          <w:szCs w:val="22"/>
        </w:rPr>
        <w:t>Idem</w:t>
      </w:r>
      <w:r w:rsidR="00825723" w:rsidRPr="00825723">
        <w:rPr>
          <w:rFonts w:ascii="Arial" w:hAnsi="Arial" w:cs="Arial"/>
          <w:sz w:val="22"/>
          <w:szCs w:val="22"/>
        </w:rPr>
        <w:t>, p</w:t>
      </w:r>
      <w:r w:rsidRPr="00825723">
        <w:rPr>
          <w:rFonts w:ascii="Arial" w:hAnsi="Arial" w:cs="Arial"/>
          <w:sz w:val="22"/>
          <w:szCs w:val="22"/>
        </w:rPr>
        <w:t xml:space="preserve"> 38</w:t>
      </w:r>
      <w:r w:rsidR="00825723" w:rsidRPr="00825723">
        <w:rPr>
          <w:rFonts w:ascii="Arial" w:hAnsi="Arial" w:cs="Arial"/>
          <w:sz w:val="22"/>
          <w:szCs w:val="22"/>
        </w:rPr>
        <w:t>.</w:t>
      </w:r>
    </w:p>
  </w:footnote>
  <w:footnote w:id="6">
    <w:p w14:paraId="0D0D1F55" w14:textId="7EBD94A6" w:rsidR="00882024" w:rsidRPr="00825723" w:rsidRDefault="00882024" w:rsidP="00882024">
      <w:pPr>
        <w:pStyle w:val="FootnoteText"/>
        <w:rPr>
          <w:rFonts w:ascii="Arial" w:hAnsi="Arial" w:cs="Arial"/>
          <w:sz w:val="22"/>
          <w:szCs w:val="22"/>
        </w:rPr>
      </w:pPr>
      <w:r w:rsidRPr="00825723">
        <w:rPr>
          <w:rStyle w:val="FootnoteReference"/>
          <w:rFonts w:ascii="Arial" w:hAnsi="Arial" w:cs="Arial"/>
          <w:sz w:val="22"/>
          <w:szCs w:val="22"/>
        </w:rPr>
        <w:footnoteRef/>
      </w:r>
      <w:r w:rsidRPr="00825723">
        <w:rPr>
          <w:rFonts w:ascii="Arial" w:hAnsi="Arial" w:cs="Arial"/>
          <w:sz w:val="22"/>
          <w:szCs w:val="22"/>
        </w:rPr>
        <w:t xml:space="preserve"> </w:t>
      </w:r>
      <w:r w:rsidR="00825723" w:rsidRPr="00EF112C">
        <w:rPr>
          <w:rFonts w:ascii="Arial" w:hAnsi="Arial" w:cs="Arial"/>
          <w:i/>
          <w:iCs/>
          <w:sz w:val="22"/>
          <w:szCs w:val="22"/>
        </w:rPr>
        <w:t>Idem</w:t>
      </w:r>
      <w:r w:rsidR="00825723" w:rsidRPr="00825723">
        <w:rPr>
          <w:rFonts w:ascii="Arial" w:hAnsi="Arial" w:cs="Arial"/>
          <w:sz w:val="22"/>
          <w:szCs w:val="22"/>
        </w:rPr>
        <w:t xml:space="preserve"> p</w:t>
      </w:r>
      <w:r w:rsidRPr="00825723">
        <w:rPr>
          <w:rFonts w:ascii="Arial" w:hAnsi="Arial" w:cs="Arial"/>
          <w:sz w:val="22"/>
          <w:szCs w:val="22"/>
        </w:rPr>
        <w:t xml:space="preserve"> 67</w:t>
      </w:r>
      <w:r w:rsidR="00825723" w:rsidRPr="00825723">
        <w:rPr>
          <w:rFonts w:ascii="Arial" w:hAnsi="Arial" w:cs="Arial"/>
          <w:sz w:val="22"/>
          <w:szCs w:val="22"/>
        </w:rPr>
        <w:t xml:space="preserve">. </w:t>
      </w:r>
      <w:r w:rsidRPr="00825723">
        <w:rPr>
          <w:rFonts w:ascii="Arial" w:hAnsi="Arial" w:cs="Arial"/>
          <w:sz w:val="22"/>
          <w:szCs w:val="22"/>
        </w:rPr>
        <w:t xml:space="preserve"> </w:t>
      </w:r>
    </w:p>
  </w:footnote>
  <w:footnote w:id="7">
    <w:p w14:paraId="4B77B18E" w14:textId="77777777" w:rsidR="00882024" w:rsidRPr="00825723" w:rsidRDefault="00882024" w:rsidP="00882024">
      <w:pPr>
        <w:pStyle w:val="FootnoteText"/>
        <w:rPr>
          <w:rFonts w:ascii="Arial" w:hAnsi="Arial" w:cs="Arial"/>
          <w:sz w:val="22"/>
          <w:szCs w:val="22"/>
        </w:rPr>
      </w:pPr>
      <w:r w:rsidRPr="00825723">
        <w:rPr>
          <w:rStyle w:val="FootnoteReference"/>
          <w:rFonts w:ascii="Arial" w:hAnsi="Arial" w:cs="Arial"/>
          <w:sz w:val="22"/>
          <w:szCs w:val="22"/>
        </w:rPr>
        <w:footnoteRef/>
      </w:r>
      <w:r w:rsidRPr="00825723">
        <w:rPr>
          <w:rFonts w:ascii="Arial" w:hAnsi="Arial" w:cs="Arial"/>
          <w:sz w:val="22"/>
          <w:szCs w:val="22"/>
        </w:rPr>
        <w:t xml:space="preserve"> </w:t>
      </w:r>
      <w:proofErr w:type="spellStart"/>
      <w:r w:rsidRPr="00825723">
        <w:rPr>
          <w:rFonts w:ascii="Arial" w:hAnsi="Arial" w:cs="Arial"/>
          <w:sz w:val="22"/>
          <w:szCs w:val="22"/>
        </w:rPr>
        <w:t>Saadi</w:t>
      </w:r>
      <w:proofErr w:type="spellEnd"/>
      <w:r w:rsidRPr="00825723">
        <w:rPr>
          <w:rFonts w:ascii="Arial" w:hAnsi="Arial" w:cs="Arial"/>
          <w:sz w:val="22"/>
          <w:szCs w:val="22"/>
        </w:rPr>
        <w:t>, Dania, "Saudi Arabia approves landmark bankruptcy law", at &lt;&lt;</w:t>
      </w:r>
      <w:hyperlink r:id="rId1" w:history="1">
        <w:r w:rsidRPr="00825723">
          <w:rPr>
            <w:rStyle w:val="Hyperlink"/>
            <w:rFonts w:ascii="Arial" w:hAnsi="Arial" w:cs="Arial"/>
            <w:color w:val="auto"/>
            <w:sz w:val="22"/>
            <w:szCs w:val="22"/>
            <w:u w:val="none"/>
          </w:rPr>
          <w:t>https://www.thenationalnews.com/business/economy/saudi-arabia-approves-landmark-bankruptcy-law-1.707236</w:t>
        </w:r>
      </w:hyperlink>
      <w:r w:rsidRPr="00825723">
        <w:rPr>
          <w:rFonts w:ascii="Arial" w:hAnsi="Arial" w:cs="Arial"/>
          <w:sz w:val="22"/>
          <w:szCs w:val="22"/>
        </w:rPr>
        <w:t>&gt;&gt;, accessed 14 October 2022.</w:t>
      </w:r>
    </w:p>
  </w:footnote>
  <w:footnote w:id="8">
    <w:p w14:paraId="49E37ED5" w14:textId="77777777" w:rsidR="00882024" w:rsidRDefault="00882024" w:rsidP="00882024">
      <w:pPr>
        <w:pStyle w:val="FootnoteText"/>
      </w:pPr>
      <w:r w:rsidRPr="00825723">
        <w:rPr>
          <w:rStyle w:val="FootnoteReference"/>
          <w:rFonts w:ascii="Arial" w:hAnsi="Arial" w:cs="Arial"/>
          <w:sz w:val="22"/>
          <w:szCs w:val="22"/>
        </w:rPr>
        <w:footnoteRef/>
      </w:r>
      <w:r w:rsidRPr="00825723">
        <w:rPr>
          <w:rFonts w:ascii="Arial" w:hAnsi="Arial" w:cs="Arial"/>
          <w:sz w:val="22"/>
          <w:szCs w:val="22"/>
        </w:rPr>
        <w:t xml:space="preserve"> "</w:t>
      </w:r>
      <w:proofErr w:type="spellStart"/>
      <w:r w:rsidRPr="00825723">
        <w:rPr>
          <w:rFonts w:ascii="Arial" w:hAnsi="Arial" w:cs="Arial"/>
          <w:sz w:val="22"/>
          <w:szCs w:val="22"/>
        </w:rPr>
        <w:t>Dubain</w:t>
      </w:r>
      <w:proofErr w:type="spellEnd"/>
      <w:r w:rsidRPr="00825723">
        <w:rPr>
          <w:rFonts w:ascii="Arial" w:hAnsi="Arial" w:cs="Arial"/>
          <w:sz w:val="22"/>
          <w:szCs w:val="22"/>
        </w:rPr>
        <w:t xml:space="preserve"> </w:t>
      </w:r>
      <w:proofErr w:type="spellStart"/>
      <w:r w:rsidRPr="00825723">
        <w:rPr>
          <w:rFonts w:ascii="Arial" w:hAnsi="Arial" w:cs="Arial"/>
          <w:sz w:val="22"/>
          <w:szCs w:val="22"/>
        </w:rPr>
        <w:t>Internationl</w:t>
      </w:r>
      <w:proofErr w:type="spellEnd"/>
      <w:r w:rsidRPr="00825723">
        <w:rPr>
          <w:rFonts w:ascii="Arial" w:hAnsi="Arial" w:cs="Arial"/>
          <w:sz w:val="22"/>
          <w:szCs w:val="22"/>
        </w:rPr>
        <w:t xml:space="preserve"> Financial Centre Enacts New </w:t>
      </w:r>
      <w:proofErr w:type="spellStart"/>
      <w:r w:rsidRPr="00825723">
        <w:rPr>
          <w:rFonts w:ascii="Arial" w:hAnsi="Arial" w:cs="Arial"/>
          <w:sz w:val="22"/>
          <w:szCs w:val="22"/>
        </w:rPr>
        <w:t>Insolency</w:t>
      </w:r>
      <w:proofErr w:type="spellEnd"/>
      <w:r w:rsidRPr="00825723">
        <w:rPr>
          <w:rFonts w:ascii="Arial" w:hAnsi="Arial" w:cs="Arial"/>
          <w:sz w:val="22"/>
          <w:szCs w:val="22"/>
        </w:rPr>
        <w:t xml:space="preserve"> Law", &lt;&lt;https://www.difc.ae/newsroom/news/dubai-international-financial-centre-enacts-new-insolvency-law/&gt;&gt;, accessed 14 October 2022.</w:t>
      </w:r>
    </w:p>
  </w:footnote>
  <w:footnote w:id="9">
    <w:p w14:paraId="61531E7D" w14:textId="5A0F8524" w:rsidR="00825723" w:rsidRPr="00825723" w:rsidRDefault="00825723">
      <w:pPr>
        <w:pStyle w:val="FootnoteText"/>
        <w:rPr>
          <w:lang w:val="en-NZ"/>
        </w:rPr>
      </w:pPr>
      <w:r>
        <w:rPr>
          <w:rStyle w:val="FootnoteReference"/>
        </w:rPr>
        <w:footnoteRef/>
      </w:r>
      <w:r>
        <w:t xml:space="preserve"> </w:t>
      </w:r>
      <w:r w:rsidRPr="00882024">
        <w:rPr>
          <w:rFonts w:ascii="Arial" w:hAnsi="Arial" w:cs="Arial"/>
          <w:sz w:val="22"/>
          <w:szCs w:val="28"/>
          <w:lang w:val="en"/>
        </w:rPr>
        <w:t xml:space="preserve">Sealy and Hooley, as cited in M </w:t>
      </w:r>
      <w:proofErr w:type="gramStart"/>
      <w:r w:rsidRPr="00882024">
        <w:rPr>
          <w:rFonts w:ascii="Arial" w:hAnsi="Arial" w:cs="Arial"/>
          <w:sz w:val="22"/>
          <w:szCs w:val="28"/>
          <w:lang w:val="en"/>
        </w:rPr>
        <w:t>A</w:t>
      </w:r>
      <w:proofErr w:type="gramEnd"/>
      <w:r w:rsidRPr="00882024">
        <w:rPr>
          <w:rFonts w:ascii="Arial" w:hAnsi="Arial" w:cs="Arial"/>
          <w:sz w:val="22"/>
          <w:szCs w:val="28"/>
          <w:lang w:val="en"/>
        </w:rPr>
        <w:t xml:space="preserve"> Clarke et al, </w:t>
      </w:r>
      <w:r w:rsidRPr="00EF112C">
        <w:rPr>
          <w:rFonts w:ascii="Arial" w:hAnsi="Arial" w:cs="Arial"/>
          <w:i/>
          <w:iCs/>
          <w:sz w:val="22"/>
          <w:szCs w:val="28"/>
          <w:lang w:val="en"/>
        </w:rPr>
        <w:t>Commercial Law</w:t>
      </w:r>
      <w:r w:rsidRPr="00882024">
        <w:rPr>
          <w:rFonts w:ascii="Arial" w:hAnsi="Arial" w:cs="Arial"/>
          <w:sz w:val="22"/>
          <w:szCs w:val="28"/>
          <w:lang w:val="en"/>
        </w:rPr>
        <w:t xml:space="preserve"> (Oxford University Press, 2017), chap 28.</w:t>
      </w:r>
    </w:p>
  </w:footnote>
  <w:footnote w:id="10">
    <w:p w14:paraId="274F4910" w14:textId="22FD1BB8" w:rsidR="00EF112C" w:rsidRPr="00EF112C" w:rsidRDefault="00EF112C">
      <w:pPr>
        <w:pStyle w:val="FootnoteText"/>
        <w:rPr>
          <w:rFonts w:ascii="Arial" w:hAnsi="Arial" w:cs="Arial"/>
          <w:sz w:val="22"/>
          <w:szCs w:val="22"/>
          <w:lang w:val="en-NZ"/>
        </w:rPr>
      </w:pPr>
      <w:r w:rsidRPr="00EF112C">
        <w:rPr>
          <w:rStyle w:val="FootnoteReference"/>
          <w:rFonts w:ascii="Arial" w:hAnsi="Arial" w:cs="Arial"/>
          <w:sz w:val="22"/>
          <w:szCs w:val="22"/>
        </w:rPr>
        <w:footnoteRef/>
      </w:r>
      <w:r w:rsidRPr="00EF112C">
        <w:rPr>
          <w:rFonts w:ascii="Arial" w:hAnsi="Arial" w:cs="Arial"/>
          <w:sz w:val="22"/>
          <w:szCs w:val="22"/>
        </w:rPr>
        <w:t xml:space="preserve"> </w:t>
      </w:r>
      <w:r w:rsidRPr="006C71DC">
        <w:rPr>
          <w:rFonts w:ascii="Arial" w:hAnsi="Arial" w:cs="Arial"/>
          <w:i/>
          <w:iCs/>
          <w:sz w:val="22"/>
          <w:szCs w:val="22"/>
          <w:lang w:val="en-NZ"/>
        </w:rPr>
        <w:t>Ibid.</w:t>
      </w:r>
    </w:p>
  </w:footnote>
  <w:footnote w:id="11">
    <w:p w14:paraId="106934C7" w14:textId="2BFA9CAD" w:rsidR="00EF112C" w:rsidRPr="00EF112C" w:rsidRDefault="00EF112C">
      <w:pPr>
        <w:pStyle w:val="FootnoteText"/>
        <w:rPr>
          <w:lang w:val="en-NZ"/>
        </w:rPr>
      </w:pPr>
      <w:r w:rsidRPr="00EF112C">
        <w:rPr>
          <w:rStyle w:val="FootnoteReference"/>
          <w:rFonts w:ascii="Arial" w:hAnsi="Arial" w:cs="Arial"/>
          <w:sz w:val="22"/>
          <w:szCs w:val="22"/>
        </w:rPr>
        <w:footnoteRef/>
      </w:r>
      <w:r w:rsidRPr="00EF112C">
        <w:rPr>
          <w:rFonts w:ascii="Arial" w:hAnsi="Arial" w:cs="Arial"/>
          <w:sz w:val="22"/>
          <w:szCs w:val="22"/>
        </w:rPr>
        <w:t xml:space="preserve"> </w:t>
      </w:r>
      <w:r w:rsidRPr="006C71DC">
        <w:rPr>
          <w:rFonts w:ascii="Arial" w:hAnsi="Arial" w:cs="Arial"/>
          <w:i/>
          <w:iCs/>
          <w:sz w:val="22"/>
          <w:szCs w:val="22"/>
          <w:lang w:val="en-NZ"/>
        </w:rPr>
        <w:t>Ibid</w:t>
      </w:r>
      <w:r w:rsidRPr="00EF112C">
        <w:rPr>
          <w:rFonts w:ascii="Arial" w:hAnsi="Arial" w:cs="Arial"/>
          <w:sz w:val="22"/>
          <w:szCs w:val="22"/>
          <w:lang w:val="en-NZ"/>
        </w:rPr>
        <w:t>.</w:t>
      </w:r>
    </w:p>
  </w:footnote>
  <w:footnote w:id="12">
    <w:p w14:paraId="51611944" w14:textId="15F61DF1" w:rsidR="00EF112C" w:rsidRPr="006C71DC" w:rsidRDefault="00EF112C">
      <w:pPr>
        <w:pStyle w:val="FootnoteText"/>
        <w:rPr>
          <w:rFonts w:ascii="Arial" w:hAnsi="Arial" w:cs="Arial"/>
          <w:sz w:val="22"/>
          <w:szCs w:val="22"/>
          <w:lang w:val="en-NZ"/>
        </w:rPr>
      </w:pPr>
      <w:r w:rsidRPr="006C71DC">
        <w:rPr>
          <w:rStyle w:val="FootnoteReference"/>
          <w:rFonts w:ascii="Arial" w:hAnsi="Arial" w:cs="Arial"/>
          <w:sz w:val="22"/>
          <w:szCs w:val="22"/>
        </w:rPr>
        <w:footnoteRef/>
      </w:r>
      <w:r w:rsidRPr="006C71DC">
        <w:rPr>
          <w:rFonts w:ascii="Arial" w:hAnsi="Arial" w:cs="Arial"/>
          <w:sz w:val="22"/>
          <w:szCs w:val="22"/>
        </w:rPr>
        <w:t xml:space="preserve"> </w:t>
      </w:r>
      <w:proofErr w:type="spellStart"/>
      <w:r w:rsidRPr="006C71DC">
        <w:rPr>
          <w:rFonts w:ascii="Arial" w:hAnsi="Arial" w:cs="Arial"/>
          <w:sz w:val="22"/>
          <w:szCs w:val="22"/>
          <w:lang w:val="en-NZ"/>
        </w:rPr>
        <w:t>Boraine</w:t>
      </w:r>
      <w:proofErr w:type="spellEnd"/>
      <w:r w:rsidRPr="006C71DC">
        <w:rPr>
          <w:rFonts w:ascii="Arial" w:hAnsi="Arial" w:cs="Arial"/>
          <w:sz w:val="22"/>
          <w:szCs w:val="22"/>
          <w:lang w:val="en-NZ"/>
        </w:rPr>
        <w:t xml:space="preserve"> and Mason, </w:t>
      </w:r>
      <w:r w:rsidRPr="006C71DC">
        <w:rPr>
          <w:rFonts w:ascii="Arial" w:hAnsi="Arial" w:cs="Arial"/>
          <w:i/>
          <w:iCs/>
          <w:sz w:val="22"/>
          <w:szCs w:val="22"/>
          <w:lang w:val="en-NZ"/>
        </w:rPr>
        <w:t>supra</w:t>
      </w:r>
      <w:r w:rsidRPr="006C71DC">
        <w:rPr>
          <w:rFonts w:ascii="Arial" w:hAnsi="Arial" w:cs="Arial"/>
          <w:sz w:val="22"/>
          <w:szCs w:val="22"/>
          <w:lang w:val="en-NZ"/>
        </w:rPr>
        <w:t xml:space="preserve"> note 3, p 33. </w:t>
      </w:r>
    </w:p>
  </w:footnote>
  <w:footnote w:id="13">
    <w:p w14:paraId="0A866ACC" w14:textId="5B15A8B3" w:rsidR="00EF112C" w:rsidRPr="006C71DC" w:rsidRDefault="00EF112C">
      <w:pPr>
        <w:pStyle w:val="FootnoteText"/>
        <w:rPr>
          <w:rFonts w:ascii="Arial" w:hAnsi="Arial" w:cs="Arial"/>
          <w:sz w:val="22"/>
          <w:szCs w:val="22"/>
          <w:lang w:val="en-NZ"/>
        </w:rPr>
      </w:pPr>
      <w:r w:rsidRPr="006C71DC">
        <w:rPr>
          <w:rStyle w:val="FootnoteReference"/>
          <w:rFonts w:ascii="Arial" w:hAnsi="Arial" w:cs="Arial"/>
          <w:sz w:val="22"/>
          <w:szCs w:val="22"/>
        </w:rPr>
        <w:footnoteRef/>
      </w:r>
      <w:r w:rsidRPr="006C71DC">
        <w:rPr>
          <w:rFonts w:ascii="Arial" w:hAnsi="Arial" w:cs="Arial"/>
          <w:sz w:val="22"/>
          <w:szCs w:val="22"/>
        </w:rPr>
        <w:t xml:space="preserve"> </w:t>
      </w:r>
      <w:r w:rsidRPr="006C71DC">
        <w:rPr>
          <w:rFonts w:ascii="Arial" w:hAnsi="Arial" w:cs="Arial"/>
          <w:i/>
          <w:iCs/>
          <w:sz w:val="22"/>
          <w:szCs w:val="22"/>
          <w:lang w:val="en-NZ"/>
        </w:rPr>
        <w:t>Idem,</w:t>
      </w:r>
      <w:r w:rsidRPr="006C71DC">
        <w:rPr>
          <w:rFonts w:ascii="Arial" w:hAnsi="Arial" w:cs="Arial"/>
          <w:sz w:val="22"/>
          <w:szCs w:val="22"/>
          <w:lang w:val="en-NZ"/>
        </w:rPr>
        <w:t xml:space="preserve"> p 36.</w:t>
      </w:r>
    </w:p>
  </w:footnote>
  <w:footnote w:id="14">
    <w:p w14:paraId="061CBE3E" w14:textId="4BBF9E2D" w:rsidR="006C71DC" w:rsidRPr="006C71DC" w:rsidRDefault="006C71DC">
      <w:pPr>
        <w:pStyle w:val="FootnoteText"/>
        <w:rPr>
          <w:rFonts w:ascii="Arial" w:hAnsi="Arial" w:cs="Arial"/>
          <w:sz w:val="22"/>
          <w:szCs w:val="22"/>
          <w:lang w:val="en-NZ"/>
        </w:rPr>
      </w:pPr>
      <w:r w:rsidRPr="006C71DC">
        <w:rPr>
          <w:rStyle w:val="FootnoteReference"/>
          <w:rFonts w:ascii="Arial" w:hAnsi="Arial" w:cs="Arial"/>
          <w:sz w:val="22"/>
          <w:szCs w:val="22"/>
        </w:rPr>
        <w:footnoteRef/>
      </w:r>
      <w:r w:rsidRPr="006C71DC">
        <w:rPr>
          <w:rFonts w:ascii="Arial" w:hAnsi="Arial" w:cs="Arial"/>
          <w:sz w:val="22"/>
          <w:szCs w:val="22"/>
        </w:rPr>
        <w:t xml:space="preserve"> </w:t>
      </w:r>
      <w:r w:rsidRPr="006C71DC">
        <w:rPr>
          <w:rFonts w:ascii="Arial" w:hAnsi="Arial" w:cs="Arial"/>
          <w:i/>
          <w:iCs/>
          <w:sz w:val="22"/>
          <w:szCs w:val="22"/>
          <w:lang w:val="en-NZ"/>
        </w:rPr>
        <w:t>Idem,</w:t>
      </w:r>
      <w:r w:rsidRPr="006C71DC">
        <w:rPr>
          <w:rFonts w:ascii="Arial" w:hAnsi="Arial" w:cs="Arial"/>
          <w:sz w:val="22"/>
          <w:szCs w:val="22"/>
          <w:lang w:val="en-NZ"/>
        </w:rPr>
        <w:t xml:space="preserve"> p 3</w:t>
      </w:r>
      <w:r w:rsidRPr="006C71DC">
        <w:rPr>
          <w:rFonts w:ascii="Arial" w:hAnsi="Arial" w:cs="Arial"/>
          <w:sz w:val="22"/>
          <w:szCs w:val="22"/>
          <w:lang w:val="en-NZ"/>
        </w:rPr>
        <w:t>7</w:t>
      </w:r>
      <w:r w:rsidRPr="006C71DC">
        <w:rPr>
          <w:rFonts w:ascii="Arial" w:hAnsi="Arial" w:cs="Arial"/>
          <w:sz w:val="22"/>
          <w:szCs w:val="22"/>
          <w:lang w:val="en-NZ"/>
        </w:rPr>
        <w:t>.</w:t>
      </w:r>
    </w:p>
  </w:footnote>
  <w:footnote w:id="15">
    <w:p w14:paraId="6E9E1E5C" w14:textId="716C55F9" w:rsidR="006C71DC" w:rsidRPr="006C71DC" w:rsidRDefault="006C71DC">
      <w:pPr>
        <w:pStyle w:val="FootnoteText"/>
        <w:rPr>
          <w:rFonts w:ascii="Arial" w:hAnsi="Arial" w:cs="Arial"/>
          <w:sz w:val="22"/>
          <w:szCs w:val="22"/>
          <w:lang w:val="en-NZ"/>
        </w:rPr>
      </w:pPr>
      <w:r w:rsidRPr="006C71DC">
        <w:rPr>
          <w:rStyle w:val="FootnoteReference"/>
          <w:rFonts w:ascii="Arial" w:hAnsi="Arial" w:cs="Arial"/>
          <w:sz w:val="22"/>
          <w:szCs w:val="22"/>
        </w:rPr>
        <w:footnoteRef/>
      </w:r>
      <w:r w:rsidRPr="006C71DC">
        <w:rPr>
          <w:rFonts w:ascii="Arial" w:hAnsi="Arial" w:cs="Arial"/>
          <w:sz w:val="22"/>
          <w:szCs w:val="22"/>
        </w:rPr>
        <w:t xml:space="preserve"> </w:t>
      </w:r>
      <w:r w:rsidRPr="006C71DC">
        <w:rPr>
          <w:rFonts w:ascii="Arial" w:hAnsi="Arial" w:cs="Arial"/>
          <w:i/>
          <w:iCs/>
          <w:sz w:val="22"/>
          <w:szCs w:val="22"/>
          <w:lang w:val="en-NZ"/>
        </w:rPr>
        <w:t>Ibid</w:t>
      </w:r>
      <w:r w:rsidRPr="006C71DC">
        <w:rPr>
          <w:rFonts w:ascii="Arial" w:hAnsi="Arial" w:cs="Arial"/>
          <w:sz w:val="22"/>
          <w:szCs w:val="22"/>
          <w:lang w:val="en-NZ"/>
        </w:rPr>
        <w:t>.</w:t>
      </w:r>
    </w:p>
  </w:footnote>
  <w:footnote w:id="16">
    <w:p w14:paraId="6240392B" w14:textId="0933613E" w:rsidR="006C71DC" w:rsidRPr="006C71DC" w:rsidRDefault="006C71DC">
      <w:pPr>
        <w:pStyle w:val="FootnoteText"/>
        <w:rPr>
          <w:lang w:val="en-NZ"/>
        </w:rPr>
      </w:pPr>
      <w:r w:rsidRPr="006C71DC">
        <w:rPr>
          <w:rStyle w:val="FootnoteReference"/>
          <w:rFonts w:ascii="Arial" w:hAnsi="Arial" w:cs="Arial"/>
          <w:sz w:val="22"/>
          <w:szCs w:val="22"/>
        </w:rPr>
        <w:footnoteRef/>
      </w:r>
      <w:r w:rsidRPr="006C71DC">
        <w:rPr>
          <w:rFonts w:ascii="Arial" w:hAnsi="Arial" w:cs="Arial"/>
          <w:sz w:val="22"/>
          <w:szCs w:val="22"/>
        </w:rPr>
        <w:t xml:space="preserve"> </w:t>
      </w:r>
      <w:r w:rsidRPr="006C71DC">
        <w:rPr>
          <w:rFonts w:ascii="Arial" w:hAnsi="Arial" w:cs="Arial"/>
          <w:i/>
          <w:iCs/>
          <w:sz w:val="22"/>
          <w:szCs w:val="22"/>
          <w:lang w:val="en-NZ"/>
        </w:rPr>
        <w:t>Ibid.</w:t>
      </w:r>
    </w:p>
  </w:footnote>
  <w:footnote w:id="17">
    <w:p w14:paraId="708317F2" w14:textId="23890FCA" w:rsidR="006C71DC" w:rsidRPr="001E013B" w:rsidRDefault="006C71DC">
      <w:pPr>
        <w:pStyle w:val="FootnoteText"/>
        <w:rPr>
          <w:rFonts w:ascii="Arial" w:hAnsi="Arial" w:cs="Arial"/>
          <w:sz w:val="22"/>
          <w:szCs w:val="22"/>
          <w:lang w:val="en-NZ"/>
        </w:rPr>
      </w:pPr>
      <w:r w:rsidRPr="001E013B">
        <w:rPr>
          <w:rStyle w:val="FootnoteReference"/>
          <w:rFonts w:ascii="Arial" w:hAnsi="Arial" w:cs="Arial"/>
          <w:sz w:val="22"/>
          <w:szCs w:val="22"/>
        </w:rPr>
        <w:footnoteRef/>
      </w:r>
      <w:r w:rsidRPr="001E013B">
        <w:rPr>
          <w:rFonts w:ascii="Arial" w:hAnsi="Arial" w:cs="Arial"/>
          <w:sz w:val="22"/>
          <w:szCs w:val="22"/>
        </w:rPr>
        <w:t xml:space="preserve"> J L Westbrook, "Developments in Transnational Bankruptcy", (1995) 39, </w:t>
      </w:r>
      <w:r w:rsidRPr="001E013B">
        <w:rPr>
          <w:rFonts w:ascii="Arial" w:hAnsi="Arial" w:cs="Arial"/>
          <w:i/>
          <w:iCs/>
          <w:sz w:val="22"/>
          <w:szCs w:val="22"/>
        </w:rPr>
        <w:t>St Louis University Law Journal</w:t>
      </w:r>
      <w:r w:rsidRPr="001E013B">
        <w:rPr>
          <w:rFonts w:ascii="Arial" w:hAnsi="Arial" w:cs="Arial"/>
          <w:sz w:val="22"/>
          <w:szCs w:val="22"/>
        </w:rPr>
        <w:t xml:space="preserve"> 753, pp 753-757, </w:t>
      </w:r>
      <w:r w:rsidRPr="001E013B">
        <w:rPr>
          <w:rFonts w:ascii="Arial" w:hAnsi="Arial" w:cs="Arial"/>
          <w:i/>
          <w:iCs/>
          <w:sz w:val="22"/>
          <w:szCs w:val="22"/>
        </w:rPr>
        <w:t>supra</w:t>
      </w:r>
      <w:r w:rsidRPr="001E013B">
        <w:rPr>
          <w:rFonts w:ascii="Arial" w:hAnsi="Arial" w:cs="Arial"/>
          <w:sz w:val="22"/>
          <w:szCs w:val="22"/>
        </w:rPr>
        <w:t xml:space="preserve"> note 3, p 42. </w:t>
      </w:r>
    </w:p>
  </w:footnote>
  <w:footnote w:id="18">
    <w:p w14:paraId="2E4C4CBA" w14:textId="0541A3E7" w:rsidR="006C71DC" w:rsidRPr="001E013B" w:rsidRDefault="006C71DC">
      <w:pPr>
        <w:pStyle w:val="FootnoteText"/>
        <w:rPr>
          <w:rFonts w:ascii="Arial" w:hAnsi="Arial" w:cs="Arial"/>
          <w:sz w:val="22"/>
          <w:szCs w:val="22"/>
          <w:lang w:val="en-NZ"/>
        </w:rPr>
      </w:pPr>
      <w:r w:rsidRPr="001E013B">
        <w:rPr>
          <w:rStyle w:val="FootnoteReference"/>
          <w:rFonts w:ascii="Arial" w:hAnsi="Arial" w:cs="Arial"/>
          <w:sz w:val="22"/>
          <w:szCs w:val="22"/>
        </w:rPr>
        <w:footnoteRef/>
      </w:r>
      <w:r w:rsidRPr="001E013B">
        <w:rPr>
          <w:rFonts w:ascii="Arial" w:hAnsi="Arial" w:cs="Arial"/>
          <w:sz w:val="22"/>
          <w:szCs w:val="22"/>
        </w:rPr>
        <w:t xml:space="preserve"> </w:t>
      </w:r>
      <w:r w:rsidR="001E013B" w:rsidRPr="001E013B">
        <w:rPr>
          <w:rFonts w:ascii="Arial" w:hAnsi="Arial" w:cs="Arial"/>
          <w:sz w:val="22"/>
          <w:szCs w:val="22"/>
        </w:rPr>
        <w:t>&lt;&lt;</w:t>
      </w:r>
      <w:r w:rsidR="005D23F0" w:rsidRPr="001E013B">
        <w:rPr>
          <w:rFonts w:ascii="Arial" w:hAnsi="Arial" w:cs="Arial"/>
          <w:sz w:val="22"/>
          <w:szCs w:val="22"/>
        </w:rPr>
        <w:t>https://uncitral.un.org/sites/uncitral.un.org/files/media-documents/uncitral/en/05-80722_ebook.pdf</w:t>
      </w:r>
      <w:r w:rsidR="001E013B" w:rsidRPr="001E013B">
        <w:rPr>
          <w:rFonts w:ascii="Arial" w:hAnsi="Arial" w:cs="Arial"/>
          <w:sz w:val="22"/>
          <w:szCs w:val="22"/>
        </w:rPr>
        <w:t xml:space="preserve">&gt;&gt;, accessed 15 October 2022. </w:t>
      </w:r>
    </w:p>
  </w:footnote>
  <w:footnote w:id="19">
    <w:p w14:paraId="2C1A422B" w14:textId="369E512E" w:rsidR="001E013B" w:rsidRPr="001E013B" w:rsidRDefault="001E013B">
      <w:pPr>
        <w:pStyle w:val="FootnoteText"/>
        <w:rPr>
          <w:rFonts w:ascii="Arial" w:hAnsi="Arial" w:cs="Arial"/>
          <w:sz w:val="22"/>
          <w:szCs w:val="22"/>
          <w:lang w:val="en-NZ"/>
        </w:rPr>
      </w:pPr>
      <w:r w:rsidRPr="001E013B">
        <w:rPr>
          <w:rStyle w:val="FootnoteReference"/>
          <w:rFonts w:ascii="Arial" w:hAnsi="Arial" w:cs="Arial"/>
          <w:sz w:val="22"/>
          <w:szCs w:val="22"/>
        </w:rPr>
        <w:footnoteRef/>
      </w:r>
      <w:r w:rsidRPr="001E013B">
        <w:rPr>
          <w:rFonts w:ascii="Arial" w:hAnsi="Arial" w:cs="Arial"/>
          <w:sz w:val="22"/>
          <w:szCs w:val="22"/>
        </w:rPr>
        <w:t xml:space="preserve"> </w:t>
      </w:r>
      <w:proofErr w:type="spellStart"/>
      <w:r w:rsidRPr="001E013B">
        <w:rPr>
          <w:rFonts w:ascii="Arial" w:hAnsi="Arial" w:cs="Arial"/>
          <w:sz w:val="22"/>
          <w:szCs w:val="22"/>
          <w:lang w:val="en-NZ"/>
        </w:rPr>
        <w:t>Boraine</w:t>
      </w:r>
      <w:proofErr w:type="spellEnd"/>
      <w:r w:rsidRPr="001E013B">
        <w:rPr>
          <w:rFonts w:ascii="Arial" w:hAnsi="Arial" w:cs="Arial"/>
          <w:sz w:val="22"/>
          <w:szCs w:val="22"/>
          <w:lang w:val="en-NZ"/>
        </w:rPr>
        <w:t xml:space="preserve"> and Mason, </w:t>
      </w:r>
      <w:r w:rsidRPr="001E013B">
        <w:rPr>
          <w:rFonts w:ascii="Arial" w:hAnsi="Arial" w:cs="Arial"/>
          <w:i/>
          <w:iCs/>
          <w:sz w:val="22"/>
          <w:szCs w:val="22"/>
          <w:lang w:val="en-NZ"/>
        </w:rPr>
        <w:t>supra</w:t>
      </w:r>
      <w:r w:rsidRPr="001E013B">
        <w:rPr>
          <w:rFonts w:ascii="Arial" w:hAnsi="Arial" w:cs="Arial"/>
          <w:sz w:val="22"/>
          <w:szCs w:val="22"/>
          <w:lang w:val="en-NZ"/>
        </w:rPr>
        <w:t xml:space="preserve"> note 3, p </w:t>
      </w:r>
      <w:r w:rsidRPr="001E013B">
        <w:rPr>
          <w:rFonts w:ascii="Arial" w:hAnsi="Arial" w:cs="Arial"/>
          <w:sz w:val="22"/>
          <w:szCs w:val="22"/>
          <w:lang w:val="en-NZ"/>
        </w:rPr>
        <w:t>53.</w:t>
      </w:r>
    </w:p>
  </w:footnote>
  <w:footnote w:id="20">
    <w:p w14:paraId="0BA12CD8" w14:textId="08823B06" w:rsidR="001E013B" w:rsidRPr="001E013B" w:rsidRDefault="001E013B">
      <w:pPr>
        <w:pStyle w:val="FootnoteText"/>
        <w:rPr>
          <w:rFonts w:ascii="Arial" w:hAnsi="Arial" w:cs="Arial"/>
          <w:sz w:val="22"/>
          <w:szCs w:val="22"/>
          <w:lang w:val="en-NZ"/>
        </w:rPr>
      </w:pPr>
      <w:r w:rsidRPr="001E013B">
        <w:rPr>
          <w:rStyle w:val="FootnoteReference"/>
          <w:rFonts w:ascii="Arial" w:hAnsi="Arial" w:cs="Arial"/>
          <w:sz w:val="22"/>
          <w:szCs w:val="22"/>
        </w:rPr>
        <w:footnoteRef/>
      </w:r>
      <w:r w:rsidRPr="001E013B">
        <w:rPr>
          <w:rFonts w:ascii="Arial" w:hAnsi="Arial" w:cs="Arial"/>
          <w:sz w:val="22"/>
          <w:szCs w:val="22"/>
        </w:rPr>
        <w:t xml:space="preserve"> &lt;&lt;</w:t>
      </w:r>
      <w:r w:rsidRPr="001E013B">
        <w:rPr>
          <w:rFonts w:ascii="Arial" w:hAnsi="Arial" w:cs="Arial"/>
          <w:sz w:val="22"/>
          <w:szCs w:val="22"/>
        </w:rPr>
        <w:t>https://www.worldbank.org/en/topic/financialsector/brief/the-world-bank-principles-for-effective-insolvency-and-creditor-rights</w:t>
      </w:r>
      <w:r w:rsidRPr="001E013B">
        <w:rPr>
          <w:rFonts w:ascii="Arial" w:hAnsi="Arial" w:cs="Arial"/>
          <w:sz w:val="22"/>
          <w:szCs w:val="22"/>
        </w:rPr>
        <w:t xml:space="preserve">&gt;&gt;, accessed 15 October 2022. </w:t>
      </w:r>
    </w:p>
  </w:footnote>
  <w:footnote w:id="21">
    <w:p w14:paraId="4331EA3A" w14:textId="6DE9AB52" w:rsidR="001E013B" w:rsidRPr="001E013B" w:rsidRDefault="001E013B">
      <w:pPr>
        <w:pStyle w:val="FootnoteText"/>
        <w:rPr>
          <w:rFonts w:ascii="Arial" w:hAnsi="Arial" w:cs="Arial"/>
          <w:sz w:val="22"/>
          <w:szCs w:val="22"/>
          <w:lang w:val="en-NZ"/>
        </w:rPr>
      </w:pPr>
      <w:r w:rsidRPr="001E013B">
        <w:rPr>
          <w:rStyle w:val="FootnoteReference"/>
          <w:rFonts w:ascii="Arial" w:hAnsi="Arial" w:cs="Arial"/>
          <w:sz w:val="22"/>
          <w:szCs w:val="22"/>
        </w:rPr>
        <w:footnoteRef/>
      </w:r>
      <w:r w:rsidRPr="001E013B">
        <w:rPr>
          <w:rFonts w:ascii="Arial" w:hAnsi="Arial" w:cs="Arial"/>
          <w:sz w:val="22"/>
          <w:szCs w:val="22"/>
        </w:rPr>
        <w:t xml:space="preserve"> I </w:t>
      </w:r>
      <w:proofErr w:type="spellStart"/>
      <w:r w:rsidRPr="001E013B">
        <w:rPr>
          <w:rFonts w:ascii="Arial" w:hAnsi="Arial" w:cs="Arial"/>
          <w:sz w:val="22"/>
          <w:szCs w:val="22"/>
          <w:lang w:val="en-NZ"/>
        </w:rPr>
        <w:t>Mevorach</w:t>
      </w:r>
      <w:proofErr w:type="spellEnd"/>
      <w:r w:rsidRPr="001E013B">
        <w:rPr>
          <w:rFonts w:ascii="Arial" w:hAnsi="Arial" w:cs="Arial"/>
          <w:sz w:val="22"/>
          <w:szCs w:val="22"/>
          <w:lang w:val="en-NZ"/>
        </w:rPr>
        <w:t>, "The Future of Cross-Border Insolvency: Overcoming Biases and Closing Gaps", (Oxford University Press, 2018), p 40.</w:t>
      </w:r>
    </w:p>
  </w:footnote>
  <w:footnote w:id="22">
    <w:p w14:paraId="329E145C" w14:textId="7E495EA5" w:rsidR="001E013B" w:rsidRPr="001E013B" w:rsidRDefault="001E013B">
      <w:pPr>
        <w:pStyle w:val="FootnoteText"/>
        <w:rPr>
          <w:lang w:val="en-NZ"/>
        </w:rPr>
      </w:pPr>
      <w:r w:rsidRPr="001E013B">
        <w:rPr>
          <w:rStyle w:val="FootnoteReference"/>
          <w:rFonts w:ascii="Arial" w:hAnsi="Arial" w:cs="Arial"/>
          <w:sz w:val="22"/>
          <w:szCs w:val="22"/>
        </w:rPr>
        <w:footnoteRef/>
      </w:r>
      <w:r w:rsidRPr="001E013B">
        <w:rPr>
          <w:rFonts w:ascii="Arial" w:hAnsi="Arial" w:cs="Arial"/>
          <w:sz w:val="22"/>
          <w:szCs w:val="22"/>
        </w:rPr>
        <w:t xml:space="preserve"> &lt;&lt;</w:t>
      </w:r>
      <w:r w:rsidRPr="001E013B">
        <w:rPr>
          <w:rFonts w:ascii="Arial" w:hAnsi="Arial" w:cs="Arial"/>
          <w:sz w:val="22"/>
          <w:szCs w:val="22"/>
        </w:rPr>
        <w:t>https://www.eesc.europa.eu/sites/default/files/resources/docs/ipol-juri_nt2010419633_en.pdf</w:t>
      </w:r>
      <w:r w:rsidRPr="001E013B">
        <w:rPr>
          <w:rFonts w:ascii="Arial" w:hAnsi="Arial" w:cs="Arial"/>
          <w:sz w:val="22"/>
          <w:szCs w:val="22"/>
        </w:rPr>
        <w:t>&gt;&gt;, accessed 15 October 2022.</w:t>
      </w:r>
      <w:r>
        <w:t xml:space="preserve"> </w:t>
      </w:r>
    </w:p>
  </w:footnote>
  <w:footnote w:id="23">
    <w:p w14:paraId="426CC858" w14:textId="604C80F8" w:rsidR="001E013B" w:rsidRPr="00C70183" w:rsidRDefault="001E013B">
      <w:pPr>
        <w:pStyle w:val="FootnoteText"/>
        <w:rPr>
          <w:rFonts w:ascii="Arial" w:hAnsi="Arial" w:cs="Arial"/>
          <w:sz w:val="22"/>
          <w:szCs w:val="22"/>
          <w:lang w:val="en-NZ"/>
        </w:rPr>
      </w:pPr>
      <w:r w:rsidRPr="00C70183">
        <w:rPr>
          <w:rStyle w:val="FootnoteReference"/>
          <w:rFonts w:ascii="Arial" w:hAnsi="Arial" w:cs="Arial"/>
          <w:sz w:val="22"/>
          <w:szCs w:val="22"/>
        </w:rPr>
        <w:footnoteRef/>
      </w:r>
      <w:r w:rsidRPr="00C70183">
        <w:rPr>
          <w:rFonts w:ascii="Arial" w:hAnsi="Arial" w:cs="Arial"/>
          <w:sz w:val="22"/>
          <w:szCs w:val="22"/>
        </w:rPr>
        <w:t xml:space="preserve"> </w:t>
      </w:r>
      <w:proofErr w:type="spellStart"/>
      <w:r w:rsidRPr="00C70183">
        <w:rPr>
          <w:rFonts w:ascii="Arial" w:hAnsi="Arial" w:cs="Arial"/>
          <w:sz w:val="22"/>
          <w:szCs w:val="22"/>
          <w:lang w:val="en-NZ"/>
        </w:rPr>
        <w:t>Boraine</w:t>
      </w:r>
      <w:proofErr w:type="spellEnd"/>
      <w:r w:rsidRPr="00C70183">
        <w:rPr>
          <w:rFonts w:ascii="Arial" w:hAnsi="Arial" w:cs="Arial"/>
          <w:sz w:val="22"/>
          <w:szCs w:val="22"/>
          <w:lang w:val="en-NZ"/>
        </w:rPr>
        <w:t xml:space="preserve"> and Mason, </w:t>
      </w:r>
      <w:r w:rsidRPr="00C70183">
        <w:rPr>
          <w:rFonts w:ascii="Arial" w:hAnsi="Arial" w:cs="Arial"/>
          <w:i/>
          <w:iCs/>
          <w:sz w:val="22"/>
          <w:szCs w:val="22"/>
          <w:lang w:val="en-NZ"/>
        </w:rPr>
        <w:t>supra</w:t>
      </w:r>
      <w:r w:rsidRPr="00C70183">
        <w:rPr>
          <w:rFonts w:ascii="Arial" w:hAnsi="Arial" w:cs="Arial"/>
          <w:sz w:val="22"/>
          <w:szCs w:val="22"/>
          <w:lang w:val="en-NZ"/>
        </w:rPr>
        <w:t xml:space="preserve"> note 3, p </w:t>
      </w:r>
      <w:r w:rsidRPr="00C70183">
        <w:rPr>
          <w:rFonts w:ascii="Arial" w:hAnsi="Arial" w:cs="Arial"/>
          <w:sz w:val="22"/>
          <w:szCs w:val="22"/>
          <w:lang w:val="en-NZ"/>
        </w:rPr>
        <w:t>54.</w:t>
      </w:r>
    </w:p>
  </w:footnote>
  <w:footnote w:id="24">
    <w:p w14:paraId="300944BA" w14:textId="7BC788C7" w:rsidR="00C70183" w:rsidRPr="00C70183" w:rsidRDefault="00C70183">
      <w:pPr>
        <w:pStyle w:val="FootnoteText"/>
        <w:rPr>
          <w:rFonts w:ascii="Arial" w:hAnsi="Arial" w:cs="Arial"/>
          <w:i/>
          <w:iCs/>
          <w:sz w:val="22"/>
          <w:szCs w:val="22"/>
          <w:lang w:val="en-NZ"/>
        </w:rPr>
      </w:pPr>
      <w:r w:rsidRPr="00C70183">
        <w:rPr>
          <w:rStyle w:val="FootnoteReference"/>
          <w:rFonts w:ascii="Arial" w:hAnsi="Arial" w:cs="Arial"/>
          <w:sz w:val="22"/>
          <w:szCs w:val="22"/>
        </w:rPr>
        <w:footnoteRef/>
      </w:r>
      <w:r w:rsidRPr="00C70183">
        <w:rPr>
          <w:rFonts w:ascii="Arial" w:hAnsi="Arial" w:cs="Arial"/>
          <w:sz w:val="22"/>
          <w:szCs w:val="22"/>
        </w:rPr>
        <w:t xml:space="preserve"> </w:t>
      </w:r>
      <w:r w:rsidRPr="00C70183">
        <w:rPr>
          <w:rFonts w:ascii="Arial" w:hAnsi="Arial" w:cs="Arial"/>
          <w:i/>
          <w:iCs/>
          <w:sz w:val="22"/>
          <w:szCs w:val="22"/>
          <w:lang w:val="en-NZ"/>
        </w:rPr>
        <w:t>Ibid.</w:t>
      </w:r>
    </w:p>
  </w:footnote>
  <w:footnote w:id="25">
    <w:p w14:paraId="0495CB0E" w14:textId="0E4C8EDD" w:rsidR="001575D4" w:rsidRPr="00C70183" w:rsidRDefault="001575D4" w:rsidP="001575D4">
      <w:pPr>
        <w:pStyle w:val="FootnoteText"/>
        <w:rPr>
          <w:rFonts w:ascii="Arial" w:hAnsi="Arial" w:cs="Arial"/>
          <w:sz w:val="22"/>
          <w:szCs w:val="22"/>
        </w:rPr>
      </w:pPr>
      <w:r w:rsidRPr="00C70183">
        <w:rPr>
          <w:rStyle w:val="FootnoteReference"/>
          <w:rFonts w:ascii="Arial" w:hAnsi="Arial" w:cs="Arial"/>
          <w:sz w:val="22"/>
          <w:szCs w:val="22"/>
        </w:rPr>
        <w:footnoteRef/>
      </w:r>
      <w:r w:rsidRPr="00C70183">
        <w:rPr>
          <w:rFonts w:ascii="Arial" w:hAnsi="Arial" w:cs="Arial"/>
          <w:sz w:val="22"/>
          <w:szCs w:val="22"/>
        </w:rPr>
        <w:t xml:space="preserve"> </w:t>
      </w:r>
      <w:r w:rsidR="00C70183" w:rsidRPr="00C70183">
        <w:rPr>
          <w:rFonts w:ascii="Arial" w:hAnsi="Arial" w:cs="Arial"/>
          <w:i/>
          <w:iCs/>
          <w:sz w:val="22"/>
          <w:szCs w:val="22"/>
        </w:rPr>
        <w:t>Idem,</w:t>
      </w:r>
      <w:r w:rsidR="00C70183" w:rsidRPr="00C70183">
        <w:rPr>
          <w:rFonts w:ascii="Arial" w:hAnsi="Arial" w:cs="Arial"/>
          <w:sz w:val="22"/>
          <w:szCs w:val="22"/>
        </w:rPr>
        <w:t xml:space="preserve"> p </w:t>
      </w:r>
      <w:r w:rsidRPr="00C70183">
        <w:rPr>
          <w:rFonts w:ascii="Arial" w:hAnsi="Arial" w:cs="Arial"/>
          <w:sz w:val="22"/>
          <w:szCs w:val="22"/>
        </w:rPr>
        <w:t>68</w:t>
      </w:r>
      <w:r w:rsidR="00C70183" w:rsidRPr="00C70183">
        <w:rPr>
          <w:rFonts w:ascii="Arial" w:hAnsi="Arial" w:cs="Arial"/>
          <w:sz w:val="22"/>
          <w:szCs w:val="22"/>
        </w:rPr>
        <w:t>.</w:t>
      </w:r>
    </w:p>
  </w:footnote>
  <w:footnote w:id="26">
    <w:p w14:paraId="019B8E43" w14:textId="24FF72AC" w:rsidR="001575D4" w:rsidRPr="00C70183" w:rsidRDefault="001575D4" w:rsidP="001575D4">
      <w:pPr>
        <w:pStyle w:val="FootnoteText"/>
        <w:rPr>
          <w:rFonts w:ascii="Arial" w:hAnsi="Arial" w:cs="Arial"/>
          <w:sz w:val="22"/>
          <w:szCs w:val="22"/>
        </w:rPr>
      </w:pPr>
      <w:r w:rsidRPr="00C70183">
        <w:rPr>
          <w:rStyle w:val="FootnoteReference"/>
          <w:rFonts w:ascii="Arial" w:hAnsi="Arial" w:cs="Arial"/>
          <w:sz w:val="22"/>
          <w:szCs w:val="22"/>
        </w:rPr>
        <w:footnoteRef/>
      </w:r>
      <w:r w:rsidRPr="00C70183">
        <w:rPr>
          <w:rFonts w:ascii="Arial" w:hAnsi="Arial" w:cs="Arial"/>
          <w:sz w:val="22"/>
          <w:szCs w:val="22"/>
        </w:rPr>
        <w:t xml:space="preserve"> </w:t>
      </w:r>
      <w:r w:rsidR="00C70183" w:rsidRPr="00C70183">
        <w:rPr>
          <w:rFonts w:ascii="Arial" w:hAnsi="Arial" w:cs="Arial"/>
          <w:i/>
          <w:iCs/>
          <w:sz w:val="22"/>
          <w:szCs w:val="22"/>
        </w:rPr>
        <w:t>Idem</w:t>
      </w:r>
      <w:r w:rsidR="00C70183" w:rsidRPr="00C70183">
        <w:rPr>
          <w:rFonts w:ascii="Arial" w:hAnsi="Arial" w:cs="Arial"/>
          <w:sz w:val="22"/>
          <w:szCs w:val="22"/>
        </w:rPr>
        <w:t xml:space="preserve">, p </w:t>
      </w:r>
      <w:r w:rsidRPr="00C70183">
        <w:rPr>
          <w:rFonts w:ascii="Arial" w:hAnsi="Arial" w:cs="Arial"/>
          <w:sz w:val="22"/>
          <w:szCs w:val="22"/>
        </w:rPr>
        <w:t>68</w:t>
      </w:r>
      <w:r w:rsidR="00C70183" w:rsidRPr="00C70183">
        <w:rPr>
          <w:rFonts w:ascii="Arial" w:hAnsi="Arial" w:cs="Arial"/>
          <w:sz w:val="22"/>
          <w:szCs w:val="22"/>
        </w:rPr>
        <w:t>.</w:t>
      </w:r>
    </w:p>
  </w:footnote>
  <w:footnote w:id="27">
    <w:p w14:paraId="47AD6054" w14:textId="18E04470" w:rsidR="001575D4" w:rsidRDefault="001575D4" w:rsidP="001575D4">
      <w:pPr>
        <w:pStyle w:val="FootnoteText"/>
      </w:pPr>
      <w:r w:rsidRPr="00C70183">
        <w:rPr>
          <w:rStyle w:val="FootnoteReference"/>
          <w:rFonts w:ascii="Arial" w:hAnsi="Arial" w:cs="Arial"/>
          <w:sz w:val="22"/>
          <w:szCs w:val="22"/>
        </w:rPr>
        <w:footnoteRef/>
      </w:r>
      <w:r w:rsidRPr="00C70183">
        <w:rPr>
          <w:rFonts w:ascii="Arial" w:hAnsi="Arial" w:cs="Arial"/>
          <w:sz w:val="22"/>
          <w:szCs w:val="22"/>
        </w:rPr>
        <w:t xml:space="preserve"> </w:t>
      </w:r>
      <w:r w:rsidR="00C70183" w:rsidRPr="00C70183">
        <w:rPr>
          <w:rFonts w:ascii="Arial" w:hAnsi="Arial" w:cs="Arial"/>
          <w:i/>
          <w:iCs/>
          <w:sz w:val="22"/>
          <w:szCs w:val="22"/>
        </w:rPr>
        <w:t>Idem,</w:t>
      </w:r>
      <w:r w:rsidR="00C70183" w:rsidRPr="00C70183">
        <w:rPr>
          <w:rFonts w:ascii="Arial" w:hAnsi="Arial" w:cs="Arial"/>
          <w:sz w:val="22"/>
          <w:szCs w:val="22"/>
        </w:rPr>
        <w:t xml:space="preserve"> p </w:t>
      </w:r>
      <w:r w:rsidRPr="00C70183">
        <w:rPr>
          <w:rFonts w:ascii="Arial" w:hAnsi="Arial" w:cs="Arial"/>
          <w:sz w:val="22"/>
          <w:szCs w:val="22"/>
        </w:rPr>
        <w:t>69, citing Article 27(d) of the MLCBI.</w:t>
      </w:r>
      <w:r>
        <w:t xml:space="preserve"> </w:t>
      </w:r>
    </w:p>
  </w:footnote>
  <w:footnote w:id="28">
    <w:p w14:paraId="5C886195" w14:textId="54A3F3A1" w:rsidR="00FB644C" w:rsidRPr="0024164D" w:rsidRDefault="00FB644C" w:rsidP="00FB644C">
      <w:pPr>
        <w:pStyle w:val="FootnoteText"/>
        <w:rPr>
          <w:rFonts w:ascii="Arial" w:hAnsi="Arial" w:cs="Arial"/>
          <w:sz w:val="22"/>
          <w:szCs w:val="22"/>
        </w:rPr>
      </w:pPr>
      <w:r w:rsidRPr="0024164D">
        <w:rPr>
          <w:rStyle w:val="FootnoteReference"/>
          <w:rFonts w:ascii="Arial" w:hAnsi="Arial" w:cs="Arial"/>
          <w:sz w:val="22"/>
          <w:szCs w:val="22"/>
        </w:rPr>
        <w:footnoteRef/>
      </w:r>
      <w:r w:rsidRPr="0024164D">
        <w:rPr>
          <w:rFonts w:ascii="Arial" w:hAnsi="Arial" w:cs="Arial"/>
          <w:sz w:val="22"/>
          <w:szCs w:val="22"/>
        </w:rPr>
        <w:t xml:space="preserve"> </w:t>
      </w:r>
      <w:proofErr w:type="spellStart"/>
      <w:r w:rsidR="00C70183" w:rsidRPr="0024164D">
        <w:rPr>
          <w:rFonts w:ascii="Arial" w:hAnsi="Arial" w:cs="Arial"/>
          <w:sz w:val="22"/>
          <w:szCs w:val="22"/>
          <w:lang w:val="en-NZ"/>
        </w:rPr>
        <w:t>Boraine</w:t>
      </w:r>
      <w:proofErr w:type="spellEnd"/>
      <w:r w:rsidR="00C70183" w:rsidRPr="0024164D">
        <w:rPr>
          <w:rFonts w:ascii="Arial" w:hAnsi="Arial" w:cs="Arial"/>
          <w:sz w:val="22"/>
          <w:szCs w:val="22"/>
          <w:lang w:val="en-NZ"/>
        </w:rPr>
        <w:t xml:space="preserve"> and Mason, </w:t>
      </w:r>
      <w:r w:rsidR="00C70183" w:rsidRPr="0024164D">
        <w:rPr>
          <w:rFonts w:ascii="Arial" w:hAnsi="Arial" w:cs="Arial"/>
          <w:i/>
          <w:iCs/>
          <w:sz w:val="22"/>
          <w:szCs w:val="22"/>
          <w:lang w:val="en-NZ"/>
        </w:rPr>
        <w:t>supra</w:t>
      </w:r>
      <w:r w:rsidR="00C70183" w:rsidRPr="0024164D">
        <w:rPr>
          <w:rFonts w:ascii="Arial" w:hAnsi="Arial" w:cs="Arial"/>
          <w:sz w:val="22"/>
          <w:szCs w:val="22"/>
          <w:lang w:val="en-NZ"/>
        </w:rPr>
        <w:t xml:space="preserve"> note 3, p </w:t>
      </w:r>
      <w:r w:rsidR="00C70183" w:rsidRPr="0024164D">
        <w:rPr>
          <w:rFonts w:ascii="Arial" w:hAnsi="Arial" w:cs="Arial"/>
          <w:sz w:val="22"/>
          <w:szCs w:val="22"/>
          <w:lang w:val="en-NZ"/>
        </w:rPr>
        <w:t>65.</w:t>
      </w:r>
    </w:p>
  </w:footnote>
  <w:footnote w:id="29">
    <w:p w14:paraId="7714692B" w14:textId="213E6E13" w:rsidR="00FB644C" w:rsidRPr="0024164D" w:rsidRDefault="00FB644C" w:rsidP="00FB644C">
      <w:pPr>
        <w:pStyle w:val="FootnoteText"/>
        <w:rPr>
          <w:rFonts w:ascii="Arial" w:hAnsi="Arial" w:cs="Arial"/>
          <w:sz w:val="22"/>
          <w:szCs w:val="22"/>
        </w:rPr>
      </w:pPr>
      <w:r w:rsidRPr="0024164D">
        <w:rPr>
          <w:rStyle w:val="FootnoteReference"/>
          <w:rFonts w:ascii="Arial" w:hAnsi="Arial" w:cs="Arial"/>
          <w:sz w:val="22"/>
          <w:szCs w:val="22"/>
        </w:rPr>
        <w:footnoteRef/>
      </w:r>
      <w:r w:rsidRPr="0024164D">
        <w:rPr>
          <w:rFonts w:ascii="Arial" w:hAnsi="Arial" w:cs="Arial"/>
          <w:sz w:val="22"/>
          <w:szCs w:val="22"/>
        </w:rPr>
        <w:t xml:space="preserve"> </w:t>
      </w:r>
      <w:r w:rsidR="0024164D" w:rsidRPr="0024164D">
        <w:rPr>
          <w:rFonts w:ascii="Arial" w:hAnsi="Arial" w:cs="Arial"/>
          <w:sz w:val="22"/>
          <w:szCs w:val="22"/>
        </w:rPr>
        <w:t xml:space="preserve">Ibid. </w:t>
      </w:r>
    </w:p>
  </w:footnote>
  <w:footnote w:id="30">
    <w:p w14:paraId="651380DE" w14:textId="199BC6C7" w:rsidR="00FB644C" w:rsidRDefault="00FB644C" w:rsidP="00FB644C">
      <w:pPr>
        <w:pStyle w:val="FootnoteText"/>
      </w:pPr>
      <w:r w:rsidRPr="0024164D">
        <w:rPr>
          <w:rStyle w:val="FootnoteReference"/>
          <w:rFonts w:ascii="Arial" w:hAnsi="Arial" w:cs="Arial"/>
          <w:sz w:val="22"/>
          <w:szCs w:val="22"/>
        </w:rPr>
        <w:footnoteRef/>
      </w:r>
      <w:r w:rsidRPr="0024164D">
        <w:rPr>
          <w:rFonts w:ascii="Arial" w:hAnsi="Arial" w:cs="Arial"/>
          <w:sz w:val="22"/>
          <w:szCs w:val="22"/>
        </w:rPr>
        <w:t xml:space="preserve"> </w:t>
      </w:r>
      <w:proofErr w:type="spellStart"/>
      <w:r w:rsidR="0024164D" w:rsidRPr="0024164D">
        <w:rPr>
          <w:rFonts w:ascii="Arial" w:hAnsi="Arial" w:cs="Arial"/>
          <w:sz w:val="22"/>
          <w:szCs w:val="22"/>
          <w:lang w:val="en-NZ"/>
        </w:rPr>
        <w:t>Boraine</w:t>
      </w:r>
      <w:proofErr w:type="spellEnd"/>
      <w:r w:rsidR="0024164D" w:rsidRPr="0024164D">
        <w:rPr>
          <w:rFonts w:ascii="Arial" w:hAnsi="Arial" w:cs="Arial"/>
          <w:sz w:val="22"/>
          <w:szCs w:val="22"/>
          <w:lang w:val="en-NZ"/>
        </w:rPr>
        <w:t xml:space="preserve"> and Mason, </w:t>
      </w:r>
      <w:r w:rsidR="0024164D" w:rsidRPr="0024164D">
        <w:rPr>
          <w:rFonts w:ascii="Arial" w:hAnsi="Arial" w:cs="Arial"/>
          <w:i/>
          <w:iCs/>
          <w:sz w:val="22"/>
          <w:szCs w:val="22"/>
          <w:lang w:val="en-NZ"/>
        </w:rPr>
        <w:t>supra</w:t>
      </w:r>
      <w:r w:rsidR="0024164D" w:rsidRPr="0024164D">
        <w:rPr>
          <w:rFonts w:ascii="Arial" w:hAnsi="Arial" w:cs="Arial"/>
          <w:sz w:val="22"/>
          <w:szCs w:val="22"/>
          <w:lang w:val="en-NZ"/>
        </w:rPr>
        <w:t xml:space="preserve"> note 3, p </w:t>
      </w:r>
      <w:r w:rsidR="0024164D" w:rsidRPr="0024164D">
        <w:rPr>
          <w:rFonts w:ascii="Arial" w:hAnsi="Arial" w:cs="Arial"/>
          <w:sz w:val="22"/>
          <w:szCs w:val="22"/>
          <w:lang w:val="en-NZ"/>
        </w:rPr>
        <w:t>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20D66C"/>
    <w:lvl w:ilvl="0">
      <w:numFmt w:val="bullet"/>
      <w:lvlText w:val="*"/>
      <w:lvlJc w:val="left"/>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4B1C7C"/>
    <w:multiLevelType w:val="hybridMultilevel"/>
    <w:tmpl w:val="658640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566B2"/>
    <w:multiLevelType w:val="hybridMultilevel"/>
    <w:tmpl w:val="48181D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2"/>
  </w:num>
  <w:num w:numId="3">
    <w:abstractNumId w:val="6"/>
  </w:num>
  <w:num w:numId="4">
    <w:abstractNumId w:val="3"/>
  </w:num>
  <w:num w:numId="5">
    <w:abstractNumId w:val="9"/>
  </w:num>
  <w:num w:numId="6">
    <w:abstractNumId w:val="16"/>
  </w:num>
  <w:num w:numId="7">
    <w:abstractNumId w:val="23"/>
  </w:num>
  <w:num w:numId="8">
    <w:abstractNumId w:val="15"/>
  </w:num>
  <w:num w:numId="9">
    <w:abstractNumId w:val="5"/>
  </w:num>
  <w:num w:numId="10">
    <w:abstractNumId w:val="8"/>
  </w:num>
  <w:num w:numId="11">
    <w:abstractNumId w:val="7"/>
  </w:num>
  <w:num w:numId="12">
    <w:abstractNumId w:val="4"/>
  </w:num>
  <w:num w:numId="13">
    <w:abstractNumId w:val="12"/>
  </w:num>
  <w:num w:numId="14">
    <w:abstractNumId w:val="1"/>
  </w:num>
  <w:num w:numId="15">
    <w:abstractNumId w:val="2"/>
  </w:num>
  <w:num w:numId="16">
    <w:abstractNumId w:val="13"/>
  </w:num>
  <w:num w:numId="17">
    <w:abstractNumId w:val="11"/>
  </w:num>
  <w:num w:numId="18">
    <w:abstractNumId w:val="21"/>
  </w:num>
  <w:num w:numId="19">
    <w:abstractNumId w:val="17"/>
  </w:num>
  <w:num w:numId="20">
    <w:abstractNumId w:val="24"/>
  </w:num>
  <w:num w:numId="21">
    <w:abstractNumId w:val="18"/>
  </w:num>
  <w:num w:numId="22">
    <w:abstractNumId w:val="10"/>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4"/>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575D4"/>
    <w:rsid w:val="00161F1B"/>
    <w:rsid w:val="00162829"/>
    <w:rsid w:val="00180548"/>
    <w:rsid w:val="00180CCE"/>
    <w:rsid w:val="0018267A"/>
    <w:rsid w:val="00182779"/>
    <w:rsid w:val="001830DF"/>
    <w:rsid w:val="001966D9"/>
    <w:rsid w:val="001A7E9A"/>
    <w:rsid w:val="001B5016"/>
    <w:rsid w:val="001C45FC"/>
    <w:rsid w:val="001D4862"/>
    <w:rsid w:val="001E013B"/>
    <w:rsid w:val="001E25B9"/>
    <w:rsid w:val="001E49E0"/>
    <w:rsid w:val="001E7B5A"/>
    <w:rsid w:val="001F7412"/>
    <w:rsid w:val="0020725B"/>
    <w:rsid w:val="0024164D"/>
    <w:rsid w:val="00241B44"/>
    <w:rsid w:val="00245EFB"/>
    <w:rsid w:val="002477E3"/>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23F0"/>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71DC"/>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5723"/>
    <w:rsid w:val="008279C0"/>
    <w:rsid w:val="00827D56"/>
    <w:rsid w:val="008723F3"/>
    <w:rsid w:val="00875FCA"/>
    <w:rsid w:val="00881DE6"/>
    <w:rsid w:val="00882024"/>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750D2"/>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AF6198"/>
    <w:rsid w:val="00B14819"/>
    <w:rsid w:val="00B17AA9"/>
    <w:rsid w:val="00B560F2"/>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018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EF112C"/>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644C"/>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1E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nationalnews.com/business/economy/saudi-arabia-approves-landmark-bankruptcy-law-1.707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3768</Words>
  <Characters>20273</Characters>
  <Application>Microsoft Office Word</Application>
  <DocSecurity>0</DocSecurity>
  <Lines>596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Harper</cp:lastModifiedBy>
  <cp:revision>3</cp:revision>
  <cp:lastPrinted>2019-09-04T15:45:00Z</cp:lastPrinted>
  <dcterms:created xsi:type="dcterms:W3CDTF">2022-10-15T10:03:00Z</dcterms:created>
  <dcterms:modified xsi:type="dcterms:W3CDTF">2022-10-15T10:04:00Z</dcterms:modified>
</cp:coreProperties>
</file>