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46CF0" w:rsidRDefault="00B736DF" w:rsidP="009E1027">
      <w:pPr>
        <w:pStyle w:val="ListParagraph"/>
        <w:numPr>
          <w:ilvl w:val="0"/>
          <w:numId w:val="12"/>
        </w:numPr>
        <w:ind w:left="426"/>
        <w:jc w:val="both"/>
        <w:rPr>
          <w:rFonts w:ascii="Avenir Next" w:hAnsi="Avenir Next" w:cs="Arial"/>
          <w:sz w:val="22"/>
          <w:szCs w:val="22"/>
          <w:highlight w:val="yellow"/>
          <w:lang w:val="en-GB"/>
        </w:rPr>
      </w:pPr>
      <w:r w:rsidRPr="00746CF0">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746CF0" w:rsidRDefault="00161F1B" w:rsidP="009E1027">
      <w:pPr>
        <w:pStyle w:val="ListParagraph"/>
        <w:numPr>
          <w:ilvl w:val="0"/>
          <w:numId w:val="13"/>
        </w:numPr>
        <w:ind w:left="426"/>
        <w:jc w:val="both"/>
        <w:rPr>
          <w:rFonts w:ascii="Avenir Next" w:hAnsi="Avenir Next" w:cs="Arial"/>
          <w:sz w:val="22"/>
          <w:szCs w:val="22"/>
          <w:highlight w:val="yellow"/>
          <w:lang w:val="en-GB"/>
        </w:rPr>
      </w:pPr>
      <w:r w:rsidRPr="00746CF0">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746CF0" w:rsidRDefault="009E2E27" w:rsidP="008031A7">
      <w:pPr>
        <w:pStyle w:val="ListParagraph"/>
        <w:numPr>
          <w:ilvl w:val="0"/>
          <w:numId w:val="14"/>
        </w:numPr>
        <w:ind w:left="426"/>
        <w:jc w:val="both"/>
        <w:rPr>
          <w:rFonts w:ascii="Avenir Next" w:hAnsi="Avenir Next" w:cs="Arial"/>
          <w:sz w:val="22"/>
          <w:szCs w:val="22"/>
          <w:highlight w:val="yellow"/>
          <w:lang w:val="en-GB"/>
        </w:rPr>
      </w:pPr>
      <w:r w:rsidRPr="00746CF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746CF0" w:rsidRDefault="009E2E27" w:rsidP="008031A7">
      <w:pPr>
        <w:pStyle w:val="ListParagraph"/>
        <w:numPr>
          <w:ilvl w:val="0"/>
          <w:numId w:val="15"/>
        </w:numPr>
        <w:ind w:left="426"/>
        <w:jc w:val="both"/>
        <w:rPr>
          <w:rFonts w:ascii="Avenir Next" w:hAnsi="Avenir Next" w:cs="Arial"/>
          <w:sz w:val="22"/>
          <w:szCs w:val="22"/>
          <w:highlight w:val="yellow"/>
          <w:lang w:val="en-GB"/>
        </w:rPr>
      </w:pPr>
      <w:r w:rsidRPr="00746CF0">
        <w:rPr>
          <w:rFonts w:ascii="Avenir Next" w:hAnsi="Avenir Next" w:cs="Arial"/>
          <w:sz w:val="22"/>
          <w:szCs w:val="22"/>
          <w:highlight w:val="yellow"/>
          <w:lang w:val="en-GB"/>
        </w:rPr>
        <w:t>Thi</w:t>
      </w:r>
      <w:r w:rsidR="00E15BA9" w:rsidRPr="00746CF0">
        <w:rPr>
          <w:rFonts w:ascii="Avenir Next" w:hAnsi="Avenir Next" w:cs="Arial"/>
          <w:sz w:val="22"/>
          <w:szCs w:val="22"/>
          <w:highlight w:val="yellow"/>
          <w:lang w:val="en-GB"/>
        </w:rPr>
        <w:t>s statement is untrue since some</w:t>
      </w:r>
      <w:r w:rsidRPr="00746CF0">
        <w:rPr>
          <w:rFonts w:ascii="Avenir Next" w:hAnsi="Avenir Next" w:cs="Arial"/>
          <w:sz w:val="22"/>
          <w:szCs w:val="22"/>
          <w:highlight w:val="yellow"/>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46CF0" w:rsidRDefault="00A235B7" w:rsidP="006D01C2">
      <w:pPr>
        <w:pStyle w:val="ListParagraph"/>
        <w:numPr>
          <w:ilvl w:val="0"/>
          <w:numId w:val="16"/>
        </w:numPr>
        <w:ind w:left="426"/>
        <w:jc w:val="both"/>
        <w:rPr>
          <w:rFonts w:ascii="Avenir Next" w:hAnsi="Avenir Next" w:cs="Arial"/>
          <w:sz w:val="22"/>
          <w:szCs w:val="22"/>
          <w:highlight w:val="yellow"/>
          <w:lang w:val="en-GB"/>
        </w:rPr>
      </w:pPr>
      <w:r w:rsidRPr="00746CF0">
        <w:rPr>
          <w:rFonts w:ascii="Avenir Next" w:hAnsi="Avenir Next" w:cs="Arial"/>
          <w:sz w:val="22"/>
          <w:szCs w:val="22"/>
          <w:highlight w:val="yellow"/>
          <w:lang w:val="en-GB"/>
        </w:rPr>
        <w:t>The statement</w:t>
      </w:r>
      <w:r w:rsidR="0037465A" w:rsidRPr="00746CF0">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9417F6"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9417F6">
        <w:rPr>
          <w:rFonts w:ascii="Avenir Next" w:eastAsiaTheme="minorHAnsi" w:hAnsi="Avenir Next" w:cs="Arial"/>
          <w:sz w:val="22"/>
          <w:szCs w:val="22"/>
          <w:highlight w:val="yellow"/>
          <w:lang w:val="en-GB"/>
        </w:rPr>
        <w:t>UNCITRAL Legislative Guide on Insolvency Law</w:t>
      </w:r>
      <w:r w:rsidR="00991428" w:rsidRPr="009417F6">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9417F6">
      <w:pPr>
        <w:keepNext/>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F28C4" w:rsidRDefault="004D1A5A" w:rsidP="006D01C2">
      <w:pPr>
        <w:pStyle w:val="ListParagraph"/>
        <w:numPr>
          <w:ilvl w:val="0"/>
          <w:numId w:val="18"/>
        </w:numPr>
        <w:ind w:left="426"/>
        <w:jc w:val="both"/>
        <w:rPr>
          <w:rFonts w:ascii="Avenir Next" w:hAnsi="Avenir Next" w:cs="Arial"/>
          <w:sz w:val="22"/>
          <w:szCs w:val="22"/>
          <w:highlight w:val="yellow"/>
          <w:lang w:val="en-GB"/>
        </w:rPr>
      </w:pPr>
      <w:r w:rsidRPr="008F28C4">
        <w:rPr>
          <w:rFonts w:ascii="Avenir Next" w:hAnsi="Avenir Next" w:cs="Arial"/>
          <w:sz w:val="22"/>
          <w:szCs w:val="22"/>
          <w:highlight w:val="yellow"/>
          <w:lang w:val="en-GB"/>
        </w:rPr>
        <w:t>UNCITRAL Model Law on Cross-border Insolvency (1997)</w:t>
      </w:r>
      <w:r w:rsidR="00912C79" w:rsidRPr="008F28C4">
        <w:rPr>
          <w:rFonts w:ascii="Avenir Next" w:hAnsi="Avenir Next" w:cs="Arial"/>
          <w:sz w:val="22"/>
          <w:szCs w:val="22"/>
          <w:highlight w:val="yellow"/>
          <w:lang w:val="en-GB"/>
        </w:rPr>
        <w:t>.</w:t>
      </w:r>
      <w:r w:rsidRPr="008F28C4">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F28C4" w:rsidRDefault="001A7E9A" w:rsidP="006D01C2">
      <w:pPr>
        <w:pStyle w:val="ListParagraph"/>
        <w:numPr>
          <w:ilvl w:val="0"/>
          <w:numId w:val="19"/>
        </w:numPr>
        <w:ind w:left="426"/>
        <w:jc w:val="both"/>
        <w:rPr>
          <w:rFonts w:ascii="Avenir Next" w:hAnsi="Avenir Next" w:cs="Arial"/>
          <w:sz w:val="22"/>
          <w:szCs w:val="22"/>
          <w:highlight w:val="yellow"/>
          <w:lang w:val="en-GB"/>
        </w:rPr>
      </w:pPr>
      <w:r w:rsidRPr="008F28C4">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58461057" w:rsidR="00DC3089" w:rsidRPr="00827D56" w:rsidRDefault="007143E1" w:rsidP="00C053F7">
      <w:pPr>
        <w:jc w:val="both"/>
        <w:rPr>
          <w:rFonts w:ascii="Avenir Next" w:hAnsi="Avenir Next" w:cs="Arial"/>
          <w:sz w:val="22"/>
          <w:szCs w:val="22"/>
          <w:lang w:val="en-GB"/>
        </w:rPr>
      </w:pPr>
      <w:r>
        <w:rPr>
          <w:rFonts w:ascii="Avenir Next" w:hAnsi="Avenir Next" w:cs="Arial"/>
          <w:color w:val="0000FF"/>
          <w:sz w:val="22"/>
          <w:szCs w:val="22"/>
          <w:lang w:val="en-GB"/>
        </w:rPr>
        <w:t>I’m confused with this one – sorry. I can find aspects of all four elements in the Recast Regulation:</w:t>
      </w:r>
    </w:p>
    <w:p w14:paraId="6A822DA7" w14:textId="66256257"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r w:rsidR="007143E1">
        <w:rPr>
          <w:rFonts w:ascii="Avenir Next" w:hAnsi="Avenir Next" w:cs="Arial"/>
          <w:sz w:val="22"/>
          <w:szCs w:val="22"/>
          <w:lang w:val="en-GB"/>
        </w:rPr>
        <w:t xml:space="preserve"> </w:t>
      </w:r>
      <w:r w:rsidR="007143E1">
        <w:rPr>
          <w:rFonts w:ascii="Avenir Next" w:hAnsi="Avenir Next" w:cs="Arial"/>
          <w:color w:val="0000FF"/>
          <w:sz w:val="22"/>
          <w:szCs w:val="22"/>
          <w:lang w:val="en-GB"/>
        </w:rPr>
        <w:t>Recital 10, Art 1</w:t>
      </w:r>
    </w:p>
    <w:p w14:paraId="1F1E47D2" w14:textId="5E508DD0"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r w:rsidR="007143E1">
        <w:rPr>
          <w:rFonts w:ascii="Avenir Next" w:hAnsi="Avenir Next" w:cs="Arial"/>
          <w:sz w:val="22"/>
          <w:szCs w:val="22"/>
          <w:lang w:val="en-GB"/>
        </w:rPr>
        <w:t xml:space="preserve"> </w:t>
      </w:r>
      <w:r w:rsidR="007143E1">
        <w:rPr>
          <w:rFonts w:ascii="Avenir Next" w:hAnsi="Avenir Next" w:cs="Arial"/>
          <w:color w:val="0000FF"/>
          <w:sz w:val="22"/>
          <w:szCs w:val="22"/>
          <w:lang w:val="en-GB"/>
        </w:rPr>
        <w:t>Article 3</w:t>
      </w:r>
    </w:p>
    <w:p w14:paraId="67B60932" w14:textId="71B98502"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r w:rsidR="007143E1">
        <w:rPr>
          <w:rFonts w:ascii="Avenir Next" w:hAnsi="Avenir Next" w:cs="Arial"/>
          <w:sz w:val="22"/>
          <w:szCs w:val="22"/>
          <w:lang w:val="en-GB"/>
        </w:rPr>
        <w:t xml:space="preserve"> </w:t>
      </w:r>
      <w:r w:rsidR="007143E1">
        <w:rPr>
          <w:rFonts w:ascii="Avenir Next" w:hAnsi="Avenir Next" w:cs="Arial"/>
          <w:color w:val="0000FF"/>
          <w:sz w:val="22"/>
          <w:szCs w:val="22"/>
          <w:lang w:val="en-GB"/>
        </w:rPr>
        <w:t>Recital 76</w:t>
      </w:r>
    </w:p>
    <w:p w14:paraId="4D8BAF0F" w14:textId="77407595"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r w:rsidR="007143E1">
        <w:rPr>
          <w:rFonts w:ascii="Avenir Next" w:hAnsi="Avenir Next" w:cs="Arial"/>
          <w:color w:val="0000FF"/>
          <w:sz w:val="22"/>
          <w:szCs w:val="22"/>
          <w:lang w:val="en-GB"/>
        </w:rPr>
        <w:t>Article 60</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7741F2BD" w14:textId="69899358" w:rsidR="00ED0BC4" w:rsidRPr="00E33950"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E33950">
        <w:rPr>
          <w:rFonts w:ascii="Avenir Next" w:eastAsiaTheme="minorHAnsi" w:hAnsi="Avenir Next" w:cs="Arial"/>
          <w:sz w:val="22"/>
          <w:szCs w:val="22"/>
          <w:highlight w:val="yellow"/>
          <w:lang w:val="en-GB"/>
        </w:rPr>
        <w:t>The foreign liquidator’s standing to request a stay of the local proceedings.</w:t>
      </w: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48F0BB70" w:rsidR="009B07AD" w:rsidRPr="00E33950" w:rsidRDefault="00E33950" w:rsidP="00E33950">
      <w:pPr>
        <w:jc w:val="both"/>
        <w:rPr>
          <w:rFonts w:ascii="Avenir Next" w:hAnsi="Avenir Next" w:cs="Arial"/>
          <w:color w:val="0000FF"/>
          <w:sz w:val="22"/>
          <w:szCs w:val="22"/>
          <w:lang w:val="en-GB"/>
        </w:rPr>
      </w:pPr>
      <w:r w:rsidRPr="00E33950">
        <w:rPr>
          <w:rFonts w:ascii="Avenir Next" w:hAnsi="Avenir Next" w:cs="Arial"/>
          <w:color w:val="0000FF"/>
          <w:sz w:val="22"/>
          <w:szCs w:val="22"/>
          <w:lang w:val="en-GB"/>
        </w:rPr>
        <w:t xml:space="preserve">International insolvency law represents attempts to develop unified mechanisms for dealing with international insolvency, to address three </w:t>
      </w:r>
      <w:proofErr w:type="gramStart"/>
      <w:r w:rsidRPr="00E33950">
        <w:rPr>
          <w:rFonts w:ascii="Avenir Next" w:hAnsi="Avenir Next" w:cs="Arial"/>
          <w:color w:val="0000FF"/>
          <w:sz w:val="22"/>
          <w:szCs w:val="22"/>
          <w:lang w:val="en-GB"/>
        </w:rPr>
        <w:t>particular issues</w:t>
      </w:r>
      <w:proofErr w:type="gramEnd"/>
      <w:r w:rsidRPr="00E33950">
        <w:rPr>
          <w:rFonts w:ascii="Avenir Next" w:hAnsi="Avenir Next" w:cs="Arial"/>
          <w:color w:val="0000FF"/>
          <w:sz w:val="22"/>
          <w:szCs w:val="22"/>
          <w:lang w:val="en-GB"/>
        </w:rPr>
        <w:t>: (1) whether foreign representative</w:t>
      </w:r>
      <w:r w:rsidR="00365E9E">
        <w:rPr>
          <w:rFonts w:ascii="Avenir Next" w:hAnsi="Avenir Next" w:cs="Arial"/>
          <w:color w:val="0000FF"/>
          <w:sz w:val="22"/>
          <w:szCs w:val="22"/>
          <w:lang w:val="en-GB"/>
        </w:rPr>
        <w:t>s</w:t>
      </w:r>
      <w:r w:rsidRPr="00E33950">
        <w:rPr>
          <w:rFonts w:ascii="Avenir Next" w:hAnsi="Avenir Next" w:cs="Arial"/>
          <w:color w:val="0000FF"/>
          <w:sz w:val="22"/>
          <w:szCs w:val="22"/>
          <w:lang w:val="en-GB"/>
        </w:rPr>
        <w:t xml:space="preserve"> can act in domestic bankruptcy proceeding; (2) whether domestic court</w:t>
      </w:r>
      <w:r w:rsidR="00365E9E">
        <w:rPr>
          <w:rFonts w:ascii="Avenir Next" w:hAnsi="Avenir Next" w:cs="Arial"/>
          <w:color w:val="0000FF"/>
          <w:sz w:val="22"/>
          <w:szCs w:val="22"/>
          <w:lang w:val="en-GB"/>
        </w:rPr>
        <w:t>s</w:t>
      </w:r>
      <w:r w:rsidRPr="00E33950">
        <w:rPr>
          <w:rFonts w:ascii="Avenir Next" w:hAnsi="Avenir Next" w:cs="Arial"/>
          <w:color w:val="0000FF"/>
          <w:sz w:val="22"/>
          <w:szCs w:val="22"/>
          <w:lang w:val="en-GB"/>
        </w:rPr>
        <w:t xml:space="preserve"> should recognize foreign ancillary proceedings; and (3) if domestic court</w:t>
      </w:r>
      <w:r w:rsidR="00365E9E">
        <w:rPr>
          <w:rFonts w:ascii="Avenir Next" w:hAnsi="Avenir Next" w:cs="Arial"/>
          <w:color w:val="0000FF"/>
          <w:sz w:val="22"/>
          <w:szCs w:val="22"/>
          <w:lang w:val="en-GB"/>
        </w:rPr>
        <w:t>s</w:t>
      </w:r>
      <w:r w:rsidRPr="00E33950">
        <w:rPr>
          <w:rFonts w:ascii="Avenir Next" w:hAnsi="Avenir Next" w:cs="Arial"/>
          <w:color w:val="0000FF"/>
          <w:sz w:val="22"/>
          <w:szCs w:val="22"/>
          <w:lang w:val="en-GB"/>
        </w:rPr>
        <w:t xml:space="preserve"> should recognize foreign ancillary proceedings, whether the</w:t>
      </w:r>
      <w:r w:rsidR="00365E9E">
        <w:rPr>
          <w:rFonts w:ascii="Avenir Next" w:hAnsi="Avenir Next" w:cs="Arial"/>
          <w:color w:val="0000FF"/>
          <w:sz w:val="22"/>
          <w:szCs w:val="22"/>
          <w:lang w:val="en-GB"/>
        </w:rPr>
        <w:t>y</w:t>
      </w:r>
      <w:r w:rsidRPr="00E33950">
        <w:rPr>
          <w:rFonts w:ascii="Avenir Next" w:hAnsi="Avenir Next" w:cs="Arial"/>
          <w:color w:val="0000FF"/>
          <w:sz w:val="22"/>
          <w:szCs w:val="22"/>
          <w:lang w:val="en-GB"/>
        </w:rPr>
        <w:t xml:space="preserve"> should defer to conflicting foreign law.</w:t>
      </w:r>
    </w:p>
    <w:p w14:paraId="505ABC23" w14:textId="28B5A961" w:rsidR="00D17FDC" w:rsidRPr="00E33950" w:rsidRDefault="00D17FDC" w:rsidP="00C053F7">
      <w:pPr>
        <w:jc w:val="both"/>
        <w:rPr>
          <w:rFonts w:ascii="Avenir Next" w:hAnsi="Avenir Next" w:cs="Arial"/>
          <w:color w:val="0000FF"/>
          <w:sz w:val="22"/>
          <w:szCs w:val="22"/>
          <w:lang w:val="en-GB"/>
        </w:rPr>
      </w:pPr>
    </w:p>
    <w:p w14:paraId="5C2FB425" w14:textId="69BE2FB9" w:rsidR="00E33950" w:rsidRPr="00E33950" w:rsidRDefault="00E33950" w:rsidP="00C053F7">
      <w:pPr>
        <w:jc w:val="both"/>
        <w:rPr>
          <w:rFonts w:ascii="Avenir Next" w:hAnsi="Avenir Next" w:cs="Arial"/>
          <w:color w:val="0000FF"/>
          <w:sz w:val="22"/>
          <w:szCs w:val="22"/>
          <w:lang w:val="en-GB"/>
        </w:rPr>
      </w:pPr>
      <w:r w:rsidRPr="00E33950">
        <w:rPr>
          <w:rFonts w:ascii="Avenir Next" w:hAnsi="Avenir Next" w:cs="Arial"/>
          <w:color w:val="0000FF"/>
          <w:sz w:val="22"/>
          <w:szCs w:val="22"/>
          <w:lang w:val="en-GB"/>
        </w:rPr>
        <w:t xml:space="preserve">Howell, Jonathan L. "International insolvency law." </w:t>
      </w:r>
      <w:r w:rsidRPr="00E33950">
        <w:rPr>
          <w:rFonts w:ascii="Avenir Next" w:hAnsi="Avenir Next" w:cs="Arial"/>
          <w:i/>
          <w:iCs/>
          <w:color w:val="0000FF"/>
          <w:sz w:val="22"/>
          <w:szCs w:val="22"/>
          <w:lang w:val="en-GB"/>
        </w:rPr>
        <w:t>Int'l Law.</w:t>
      </w:r>
      <w:r w:rsidRPr="00E33950">
        <w:rPr>
          <w:rFonts w:ascii="Avenir Next" w:hAnsi="Avenir Next" w:cs="Arial"/>
          <w:color w:val="0000FF"/>
          <w:sz w:val="22"/>
          <w:szCs w:val="22"/>
          <w:lang w:val="en-GB"/>
        </w:rPr>
        <w:t xml:space="preserve"> 42 (2008): 113.</w:t>
      </w:r>
    </w:p>
    <w:p w14:paraId="4039AF30" w14:textId="77777777" w:rsidR="00E33950" w:rsidRPr="00827D56" w:rsidRDefault="00E33950"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43E82694" w14:textId="77777777" w:rsidR="00365E9E" w:rsidRDefault="00365E9E" w:rsidP="00365E9E">
      <w:pPr>
        <w:spacing w:after="120"/>
        <w:jc w:val="both"/>
        <w:rPr>
          <w:rFonts w:ascii="Avenir Next" w:hAnsi="Avenir Next" w:cs="Arial"/>
          <w:color w:val="0000FF"/>
          <w:sz w:val="22"/>
          <w:szCs w:val="22"/>
          <w:lang w:val="en-GB"/>
        </w:rPr>
      </w:pPr>
      <w:r w:rsidRPr="00365E9E">
        <w:rPr>
          <w:rFonts w:ascii="Avenir Next" w:hAnsi="Avenir Next" w:cs="Arial"/>
          <w:color w:val="0000FF"/>
          <w:sz w:val="22"/>
          <w:szCs w:val="22"/>
          <w:lang w:val="en-GB"/>
        </w:rPr>
        <w:t xml:space="preserve">Universalism and territoriality represent the two </w:t>
      </w:r>
      <w:r>
        <w:rPr>
          <w:rFonts w:ascii="Avenir Next" w:hAnsi="Avenir Next" w:cs="Arial"/>
          <w:color w:val="0000FF"/>
          <w:sz w:val="22"/>
          <w:szCs w:val="22"/>
          <w:lang w:val="en-GB"/>
        </w:rPr>
        <w:t xml:space="preserve">main </w:t>
      </w:r>
      <w:r w:rsidRPr="00365E9E">
        <w:rPr>
          <w:rFonts w:ascii="Avenir Next" w:hAnsi="Avenir Next" w:cs="Arial"/>
          <w:color w:val="0000FF"/>
          <w:sz w:val="22"/>
          <w:szCs w:val="22"/>
          <w:lang w:val="en-GB"/>
        </w:rPr>
        <w:t xml:space="preserve">cross-border insolvency regimes. </w:t>
      </w:r>
    </w:p>
    <w:p w14:paraId="3F2F9022" w14:textId="73DCEB0B" w:rsidR="00365E9E" w:rsidRPr="00365E9E" w:rsidRDefault="00365E9E" w:rsidP="00365E9E">
      <w:pPr>
        <w:spacing w:after="120"/>
        <w:jc w:val="both"/>
        <w:rPr>
          <w:rFonts w:ascii="Avenir Next" w:hAnsi="Avenir Next" w:cs="Arial"/>
          <w:color w:val="0000FF"/>
          <w:sz w:val="22"/>
          <w:szCs w:val="22"/>
          <w:lang w:val="en-GB"/>
        </w:rPr>
      </w:pPr>
      <w:r w:rsidRPr="00365E9E">
        <w:rPr>
          <w:rFonts w:ascii="Avenir Next" w:hAnsi="Avenir Next" w:cs="Arial"/>
          <w:color w:val="0000FF"/>
          <w:sz w:val="22"/>
          <w:szCs w:val="22"/>
          <w:lang w:val="en-GB"/>
        </w:rPr>
        <w:t xml:space="preserve">Universalist regimes require countries with debtor assets to transfer </w:t>
      </w:r>
      <w:r>
        <w:rPr>
          <w:rFonts w:ascii="Avenir Next" w:hAnsi="Avenir Next" w:cs="Arial"/>
          <w:color w:val="0000FF"/>
          <w:sz w:val="22"/>
          <w:szCs w:val="22"/>
          <w:lang w:val="en-GB"/>
        </w:rPr>
        <w:t xml:space="preserve">their control </w:t>
      </w:r>
      <w:r w:rsidRPr="00365E9E">
        <w:rPr>
          <w:rFonts w:ascii="Avenir Next" w:hAnsi="Avenir Next" w:cs="Arial"/>
          <w:color w:val="0000FF"/>
          <w:sz w:val="22"/>
          <w:szCs w:val="22"/>
          <w:lang w:val="en-GB"/>
        </w:rPr>
        <w:t>to court proceedings in the debtor</w:t>
      </w:r>
      <w:r>
        <w:rPr>
          <w:rFonts w:ascii="Avenir Next" w:hAnsi="Avenir Next" w:cs="Arial"/>
          <w:color w:val="0000FF"/>
          <w:sz w:val="22"/>
          <w:szCs w:val="22"/>
          <w:lang w:val="en-GB"/>
        </w:rPr>
        <w:t>’s Centre of Main Interest (</w:t>
      </w:r>
      <w:proofErr w:type="spellStart"/>
      <w:r w:rsidRPr="00365E9E">
        <w:rPr>
          <w:rFonts w:ascii="Avenir Next" w:hAnsi="Avenir Next" w:cs="Arial"/>
          <w:b/>
          <w:bCs/>
          <w:color w:val="0000FF"/>
          <w:sz w:val="22"/>
          <w:szCs w:val="22"/>
          <w:lang w:val="en-GB"/>
        </w:rPr>
        <w:t>COMI</w:t>
      </w:r>
      <w:proofErr w:type="spellEnd"/>
      <w:r>
        <w:rPr>
          <w:rFonts w:ascii="Avenir Next" w:hAnsi="Avenir Next" w:cs="Arial"/>
          <w:color w:val="0000FF"/>
          <w:sz w:val="22"/>
          <w:szCs w:val="22"/>
          <w:lang w:val="en-GB"/>
        </w:rPr>
        <w:t>)</w:t>
      </w:r>
      <w:r w:rsidRPr="00365E9E">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This effectively gives the courts in the </w:t>
      </w:r>
      <w:proofErr w:type="spellStart"/>
      <w:r>
        <w:rPr>
          <w:rFonts w:ascii="Avenir Next" w:hAnsi="Avenir Next" w:cs="Arial"/>
          <w:color w:val="0000FF"/>
          <w:sz w:val="22"/>
          <w:szCs w:val="22"/>
          <w:lang w:val="en-GB"/>
        </w:rPr>
        <w:t>COMI</w:t>
      </w:r>
      <w:proofErr w:type="spellEnd"/>
      <w:r>
        <w:rPr>
          <w:rFonts w:ascii="Avenir Next" w:hAnsi="Avenir Next" w:cs="Arial"/>
          <w:color w:val="0000FF"/>
          <w:sz w:val="22"/>
          <w:szCs w:val="22"/>
          <w:lang w:val="en-GB"/>
        </w:rPr>
        <w:t xml:space="preserve"> almost exclusive control of the proceedings (noting that some assets, such as those </w:t>
      </w:r>
      <w:r>
        <w:rPr>
          <w:rFonts w:ascii="Avenir Next" w:hAnsi="Avenir Next" w:cs="Arial"/>
          <w:i/>
          <w:iCs/>
          <w:color w:val="0000FF"/>
          <w:sz w:val="22"/>
          <w:szCs w:val="22"/>
          <w:lang w:val="en-GB"/>
        </w:rPr>
        <w:t>in rem</w:t>
      </w:r>
      <w:r>
        <w:rPr>
          <w:rFonts w:ascii="Avenir Next" w:hAnsi="Avenir Next" w:cs="Arial"/>
          <w:color w:val="0000FF"/>
          <w:sz w:val="22"/>
          <w:szCs w:val="22"/>
          <w:lang w:val="en-GB"/>
        </w:rPr>
        <w:t xml:space="preserve">, </w:t>
      </w:r>
      <w:proofErr w:type="gramStart"/>
      <w:r>
        <w:rPr>
          <w:rFonts w:ascii="Avenir Next" w:hAnsi="Avenir Next" w:cs="Arial"/>
          <w:color w:val="0000FF"/>
          <w:sz w:val="22"/>
          <w:szCs w:val="22"/>
          <w:lang w:val="en-GB"/>
        </w:rPr>
        <w:t>e.g.</w:t>
      </w:r>
      <w:proofErr w:type="gramEnd"/>
      <w:r>
        <w:rPr>
          <w:rFonts w:ascii="Avenir Next" w:hAnsi="Avenir Next" w:cs="Arial"/>
          <w:color w:val="0000FF"/>
          <w:sz w:val="22"/>
          <w:szCs w:val="22"/>
          <w:lang w:val="en-GB"/>
        </w:rPr>
        <w:t xml:space="preserve"> property, may still have a domestic locus of control).</w:t>
      </w:r>
    </w:p>
    <w:p w14:paraId="77971644" w14:textId="3D3B9BCE" w:rsidR="00365E9E" w:rsidRDefault="00365E9E" w:rsidP="00365E9E">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By contrast, </w:t>
      </w:r>
      <w:r w:rsidRPr="00365E9E">
        <w:rPr>
          <w:rFonts w:ascii="Avenir Next" w:hAnsi="Avenir Next" w:cs="Arial"/>
          <w:color w:val="0000FF"/>
          <w:sz w:val="22"/>
          <w:szCs w:val="22"/>
          <w:lang w:val="en-GB"/>
        </w:rPr>
        <w:t>territoriality system</w:t>
      </w:r>
      <w:r>
        <w:rPr>
          <w:rFonts w:ascii="Avenir Next" w:hAnsi="Avenir Next" w:cs="Arial"/>
          <w:color w:val="0000FF"/>
          <w:sz w:val="22"/>
          <w:szCs w:val="22"/>
          <w:lang w:val="en-GB"/>
        </w:rPr>
        <w:t>s</w:t>
      </w:r>
      <w:r w:rsidRPr="00365E9E">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permit the </w:t>
      </w:r>
      <w:r w:rsidRPr="00365E9E">
        <w:rPr>
          <w:rFonts w:ascii="Avenir Next" w:hAnsi="Avenir Next" w:cs="Arial"/>
          <w:color w:val="0000FF"/>
          <w:sz w:val="22"/>
          <w:szCs w:val="22"/>
          <w:lang w:val="en-GB"/>
        </w:rPr>
        <w:t xml:space="preserve">courts </w:t>
      </w:r>
      <w:r>
        <w:rPr>
          <w:rFonts w:ascii="Avenir Next" w:hAnsi="Avenir Next" w:cs="Arial"/>
          <w:color w:val="0000FF"/>
          <w:sz w:val="22"/>
          <w:szCs w:val="22"/>
          <w:lang w:val="en-GB"/>
        </w:rPr>
        <w:t xml:space="preserve">in jurisdiction in which the assets exist </w:t>
      </w:r>
      <w:r w:rsidRPr="00365E9E">
        <w:rPr>
          <w:rFonts w:ascii="Avenir Next" w:hAnsi="Avenir Next" w:cs="Arial"/>
          <w:color w:val="0000FF"/>
          <w:sz w:val="22"/>
          <w:szCs w:val="22"/>
          <w:lang w:val="en-GB"/>
        </w:rPr>
        <w:t xml:space="preserve">to apply </w:t>
      </w:r>
      <w:r>
        <w:rPr>
          <w:rFonts w:ascii="Avenir Next" w:hAnsi="Avenir Next" w:cs="Arial"/>
          <w:color w:val="0000FF"/>
          <w:sz w:val="22"/>
          <w:szCs w:val="22"/>
          <w:lang w:val="en-GB"/>
        </w:rPr>
        <w:t xml:space="preserve">their own </w:t>
      </w:r>
      <w:r w:rsidRPr="00365E9E">
        <w:rPr>
          <w:rFonts w:ascii="Avenir Next" w:hAnsi="Avenir Next" w:cs="Arial"/>
          <w:color w:val="0000FF"/>
          <w:sz w:val="22"/>
          <w:szCs w:val="22"/>
          <w:lang w:val="en-GB"/>
        </w:rPr>
        <w:t xml:space="preserve">local insolvency law without deferring to other proceedings. </w:t>
      </w:r>
      <w:r>
        <w:rPr>
          <w:rFonts w:ascii="Avenir Next" w:hAnsi="Avenir Next" w:cs="Arial"/>
          <w:color w:val="0000FF"/>
          <w:sz w:val="22"/>
          <w:szCs w:val="22"/>
          <w:lang w:val="en-GB"/>
        </w:rPr>
        <w:t xml:space="preserve">If observed strictly, this would in many cases lead to a multiplicity of proceedings in several jurisdictions. </w:t>
      </w:r>
    </w:p>
    <w:p w14:paraId="32D51251" w14:textId="5433DDF3" w:rsidR="00365E9E" w:rsidRPr="00365E9E" w:rsidRDefault="00365E9E" w:rsidP="00365E9E">
      <w:pPr>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Modified universalism combines the two: courts in the </w:t>
      </w:r>
      <w:proofErr w:type="spellStart"/>
      <w:r>
        <w:rPr>
          <w:rFonts w:ascii="Avenir Next" w:hAnsi="Avenir Next" w:cs="Arial"/>
          <w:color w:val="0000FF"/>
          <w:sz w:val="22"/>
          <w:szCs w:val="22"/>
          <w:lang w:val="en-GB"/>
        </w:rPr>
        <w:t>COMI</w:t>
      </w:r>
      <w:proofErr w:type="spellEnd"/>
      <w:r>
        <w:rPr>
          <w:rFonts w:ascii="Avenir Next" w:hAnsi="Avenir Next" w:cs="Arial"/>
          <w:color w:val="0000FF"/>
          <w:sz w:val="22"/>
          <w:szCs w:val="22"/>
          <w:lang w:val="en-GB"/>
        </w:rPr>
        <w:t xml:space="preserve"> are responsible</w:t>
      </w:r>
      <w:r w:rsidR="004735B7">
        <w:rPr>
          <w:rFonts w:ascii="Avenir Next" w:hAnsi="Avenir Next" w:cs="Arial"/>
          <w:color w:val="0000FF"/>
          <w:sz w:val="22"/>
          <w:szCs w:val="22"/>
          <w:lang w:val="en-GB"/>
        </w:rPr>
        <w:t xml:space="preserve"> for the main proceedings</w:t>
      </w:r>
      <w:r>
        <w:rPr>
          <w:rFonts w:ascii="Avenir Next" w:hAnsi="Avenir Next" w:cs="Arial"/>
          <w:color w:val="0000FF"/>
          <w:sz w:val="22"/>
          <w:szCs w:val="22"/>
          <w:lang w:val="en-GB"/>
        </w:rPr>
        <w:t xml:space="preserve">, but courts in </w:t>
      </w:r>
      <w:r w:rsidR="004735B7">
        <w:rPr>
          <w:rFonts w:ascii="Avenir Next" w:hAnsi="Avenir Next" w:cs="Arial"/>
          <w:color w:val="0000FF"/>
          <w:sz w:val="22"/>
          <w:szCs w:val="22"/>
          <w:lang w:val="en-GB"/>
        </w:rPr>
        <w:t>undertaking so-called secondary or ancillary proceedings are supposed to cooperate with the court undertaking the main proceedings.</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365E9E">
      <w:pPr>
        <w:keepNext/>
        <w:spacing w:after="240"/>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B36E4B6" w14:textId="77777777" w:rsidR="004735B7" w:rsidRPr="004735B7" w:rsidRDefault="004735B7" w:rsidP="004735B7">
      <w:pPr>
        <w:spacing w:after="120"/>
        <w:ind w:left="720" w:hanging="720"/>
        <w:jc w:val="both"/>
        <w:rPr>
          <w:rFonts w:ascii="Avenir Next" w:hAnsi="Avenir Next" w:cs="Arial"/>
          <w:color w:val="0000FF"/>
          <w:sz w:val="22"/>
          <w:szCs w:val="22"/>
          <w:lang w:val="en-GB"/>
        </w:rPr>
      </w:pPr>
    </w:p>
    <w:p w14:paraId="5322273C" w14:textId="3730128F" w:rsidR="00173575" w:rsidRDefault="004735B7" w:rsidP="004735B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 the last five years, </w:t>
      </w:r>
      <w:r w:rsidR="00173575">
        <w:rPr>
          <w:rFonts w:ascii="Avenir Next" w:hAnsi="Avenir Next" w:cs="Arial"/>
          <w:color w:val="0000FF"/>
          <w:sz w:val="22"/>
          <w:szCs w:val="22"/>
          <w:lang w:val="en-GB"/>
        </w:rPr>
        <w:t xml:space="preserve">several Middle Eastern states including </w:t>
      </w:r>
      <w:r w:rsidRPr="004735B7">
        <w:rPr>
          <w:rFonts w:ascii="Avenir Next" w:hAnsi="Avenir Next" w:cs="Arial"/>
          <w:color w:val="0000FF"/>
          <w:sz w:val="22"/>
          <w:szCs w:val="22"/>
          <w:lang w:val="en-GB"/>
        </w:rPr>
        <w:t>Tunisia,</w:t>
      </w:r>
      <w:r>
        <w:rPr>
          <w:rFonts w:ascii="Avenir Next" w:hAnsi="Avenir Next" w:cs="Arial"/>
          <w:color w:val="0000FF"/>
          <w:sz w:val="22"/>
          <w:szCs w:val="22"/>
          <w:lang w:val="en-GB"/>
        </w:rPr>
        <w:t xml:space="preserve"> </w:t>
      </w:r>
      <w:r w:rsidRPr="004735B7">
        <w:rPr>
          <w:rFonts w:ascii="Avenir Next" w:hAnsi="Avenir Next" w:cs="Arial"/>
          <w:color w:val="0000FF"/>
          <w:sz w:val="22"/>
          <w:szCs w:val="22"/>
          <w:lang w:val="en-GB"/>
        </w:rPr>
        <w:t>the UAE, Bahrain,</w:t>
      </w:r>
      <w:r>
        <w:rPr>
          <w:rFonts w:ascii="Avenir Next" w:hAnsi="Avenir Next" w:cs="Arial"/>
          <w:color w:val="0000FF"/>
          <w:sz w:val="22"/>
          <w:szCs w:val="22"/>
          <w:lang w:val="en-GB"/>
        </w:rPr>
        <w:t xml:space="preserve"> </w:t>
      </w:r>
      <w:r w:rsidRPr="004735B7">
        <w:rPr>
          <w:rFonts w:ascii="Avenir Next" w:hAnsi="Avenir Next" w:cs="Arial"/>
          <w:color w:val="0000FF"/>
          <w:sz w:val="22"/>
          <w:szCs w:val="22"/>
          <w:lang w:val="en-GB"/>
        </w:rPr>
        <w:t>Morocco, Oman, Egypt, and Saudi Arabia</w:t>
      </w:r>
      <w:r>
        <w:rPr>
          <w:rFonts w:ascii="Avenir Next" w:hAnsi="Avenir Next" w:cs="Arial"/>
          <w:color w:val="0000FF"/>
          <w:sz w:val="22"/>
          <w:szCs w:val="22"/>
          <w:lang w:val="en-GB"/>
        </w:rPr>
        <w:t xml:space="preserve"> </w:t>
      </w:r>
      <w:r w:rsidRPr="004735B7">
        <w:rPr>
          <w:rFonts w:ascii="Avenir Next" w:hAnsi="Avenir Next" w:cs="Arial"/>
          <w:color w:val="0000FF"/>
          <w:sz w:val="22"/>
          <w:szCs w:val="22"/>
          <w:lang w:val="en-GB"/>
        </w:rPr>
        <w:t>have enacted new bankruptcy laws</w:t>
      </w:r>
      <w:r w:rsidR="0009131E" w:rsidRPr="0009131E">
        <w:rPr>
          <w:rFonts w:ascii="Avenir Next" w:hAnsi="Avenir Next" w:cs="Arial"/>
          <w:color w:val="0000FF"/>
          <w:sz w:val="22"/>
          <w:szCs w:val="22"/>
          <w:lang w:val="en-GB"/>
        </w:rPr>
        <w:t xml:space="preserve"> </w:t>
      </w:r>
      <w:r w:rsidR="0009131E" w:rsidRPr="004735B7">
        <w:rPr>
          <w:rFonts w:ascii="Avenir Next" w:hAnsi="Avenir Next" w:cs="Arial"/>
          <w:color w:val="0000FF"/>
          <w:sz w:val="22"/>
          <w:szCs w:val="22"/>
          <w:lang w:val="en-GB"/>
        </w:rPr>
        <w:t>to make their bankruptcy systems effective and attractive for both debtors</w:t>
      </w:r>
      <w:r w:rsidR="0009131E">
        <w:rPr>
          <w:rFonts w:ascii="Avenir Next" w:hAnsi="Avenir Next" w:cs="Arial"/>
          <w:color w:val="0000FF"/>
          <w:sz w:val="22"/>
          <w:szCs w:val="22"/>
          <w:lang w:val="en-GB"/>
        </w:rPr>
        <w:t xml:space="preserve"> </w:t>
      </w:r>
      <w:r w:rsidR="0009131E" w:rsidRPr="004735B7">
        <w:rPr>
          <w:rFonts w:ascii="Avenir Next" w:hAnsi="Avenir Next" w:cs="Arial"/>
          <w:color w:val="0000FF"/>
          <w:sz w:val="22"/>
          <w:szCs w:val="22"/>
          <w:lang w:val="en-GB"/>
        </w:rPr>
        <w:t>and creditors</w:t>
      </w:r>
      <w:r w:rsidR="0009131E">
        <w:rPr>
          <w:rFonts w:ascii="Avenir Next" w:hAnsi="Avenir Next" w:cs="Arial"/>
          <w:color w:val="0000FF"/>
          <w:sz w:val="22"/>
          <w:szCs w:val="22"/>
          <w:lang w:val="en-GB"/>
        </w:rPr>
        <w:t>:</w:t>
      </w:r>
    </w:p>
    <w:p w14:paraId="7F1DCEC2" w14:textId="43778E83" w:rsidR="00173575" w:rsidRDefault="00173575" w:rsidP="00173575">
      <w:pPr>
        <w:spacing w:after="120"/>
        <w:jc w:val="both"/>
        <w:rPr>
          <w:rFonts w:ascii="Avenir Next" w:hAnsi="Avenir Next" w:cs="Arial"/>
          <w:color w:val="0000FF"/>
          <w:sz w:val="22"/>
          <w:szCs w:val="22"/>
          <w:lang w:val="en-GB"/>
        </w:rPr>
      </w:pPr>
      <w:r w:rsidRPr="00173575">
        <w:rPr>
          <w:rFonts w:ascii="Avenir Next" w:hAnsi="Avenir Next" w:cs="Arial"/>
          <w:b/>
          <w:bCs/>
          <w:color w:val="0000FF"/>
          <w:sz w:val="22"/>
          <w:szCs w:val="22"/>
          <w:lang w:val="en-GB"/>
        </w:rPr>
        <w:t>Debtor-in-possession</w:t>
      </w:r>
      <w:r>
        <w:rPr>
          <w:rFonts w:ascii="Avenir Next" w:hAnsi="Avenir Next" w:cs="Arial"/>
          <w:color w:val="0000FF"/>
          <w:sz w:val="22"/>
          <w:szCs w:val="22"/>
          <w:lang w:val="en-GB"/>
        </w:rPr>
        <w:t>. U</w:t>
      </w:r>
      <w:r w:rsidRPr="00173575">
        <w:rPr>
          <w:rFonts w:ascii="Avenir Next" w:hAnsi="Avenir Next" w:cs="Arial"/>
          <w:color w:val="0000FF"/>
          <w:sz w:val="22"/>
          <w:szCs w:val="22"/>
          <w:lang w:val="en-GB"/>
        </w:rPr>
        <w:t xml:space="preserve">nder </w:t>
      </w:r>
      <w:r>
        <w:rPr>
          <w:rFonts w:ascii="Avenir Next" w:hAnsi="Avenir Next" w:cs="Arial"/>
          <w:color w:val="0000FF"/>
          <w:sz w:val="22"/>
          <w:szCs w:val="22"/>
          <w:lang w:val="en-GB"/>
        </w:rPr>
        <w:t xml:space="preserve">a </w:t>
      </w:r>
      <w:r w:rsidRPr="00173575">
        <w:rPr>
          <w:rFonts w:ascii="Avenir Next" w:hAnsi="Avenir Next" w:cs="Arial"/>
          <w:color w:val="0000FF"/>
          <w:sz w:val="22"/>
          <w:szCs w:val="22"/>
          <w:lang w:val="en-GB"/>
        </w:rPr>
        <w:t xml:space="preserve">new </w:t>
      </w:r>
      <w:r w:rsidRPr="0009131E">
        <w:rPr>
          <w:rFonts w:ascii="Avenir Next" w:hAnsi="Avenir Next" w:cs="Arial"/>
          <w:b/>
          <w:bCs/>
          <w:color w:val="0000FF"/>
          <w:sz w:val="22"/>
          <w:szCs w:val="22"/>
          <w:u w:val="single"/>
          <w:lang w:val="en-GB"/>
        </w:rPr>
        <w:t>Saudi</w:t>
      </w:r>
      <w:r w:rsidRPr="00173575">
        <w:rPr>
          <w:rFonts w:ascii="Avenir Next" w:hAnsi="Avenir Next" w:cs="Arial"/>
          <w:color w:val="0000FF"/>
          <w:sz w:val="22"/>
          <w:szCs w:val="22"/>
          <w:lang w:val="en-GB"/>
        </w:rPr>
        <w:t xml:space="preserve"> law, management of the debtor</w:t>
      </w:r>
      <w:r>
        <w:rPr>
          <w:rFonts w:ascii="Avenir Next" w:hAnsi="Avenir Next" w:cs="Arial"/>
          <w:color w:val="0000FF"/>
          <w:sz w:val="22"/>
          <w:szCs w:val="22"/>
          <w:lang w:val="en-GB"/>
        </w:rPr>
        <w:t>’</w:t>
      </w:r>
      <w:r w:rsidRPr="00173575">
        <w:rPr>
          <w:rFonts w:ascii="Avenir Next" w:hAnsi="Avenir Next" w:cs="Arial"/>
          <w:color w:val="0000FF"/>
          <w:sz w:val="22"/>
          <w:szCs w:val="22"/>
          <w:lang w:val="en-GB"/>
        </w:rPr>
        <w:t>s business is given to a “financial reorganization trustee.”</w:t>
      </w:r>
      <w:r>
        <w:rPr>
          <w:rFonts w:ascii="Avenir Next" w:hAnsi="Avenir Next" w:cs="Arial"/>
          <w:color w:val="0000FF"/>
          <w:sz w:val="22"/>
          <w:szCs w:val="22"/>
          <w:lang w:val="en-GB"/>
        </w:rPr>
        <w:t xml:space="preserve"> [1]</w:t>
      </w:r>
    </w:p>
    <w:p w14:paraId="75BA478C" w14:textId="6CD2E54D" w:rsidR="00173575" w:rsidRDefault="00173575" w:rsidP="004735B7">
      <w:pPr>
        <w:spacing w:after="120"/>
        <w:jc w:val="both"/>
        <w:rPr>
          <w:rFonts w:ascii="Avenir Next" w:hAnsi="Avenir Next" w:cs="Arial"/>
          <w:color w:val="0000FF"/>
          <w:sz w:val="22"/>
          <w:szCs w:val="22"/>
          <w:lang w:val="en-GB"/>
        </w:rPr>
      </w:pPr>
      <w:r w:rsidRPr="00173575">
        <w:rPr>
          <w:rFonts w:ascii="Avenir Next" w:hAnsi="Avenir Next" w:cs="Arial"/>
          <w:b/>
          <w:bCs/>
          <w:color w:val="0000FF"/>
          <w:sz w:val="22"/>
          <w:szCs w:val="22"/>
          <w:lang w:val="en-GB"/>
        </w:rPr>
        <w:t>Debtor financing</w:t>
      </w:r>
      <w:r>
        <w:rPr>
          <w:rFonts w:ascii="Avenir Next" w:hAnsi="Avenir Next" w:cs="Arial"/>
          <w:color w:val="0000FF"/>
          <w:sz w:val="22"/>
          <w:szCs w:val="22"/>
          <w:lang w:val="en-GB"/>
        </w:rPr>
        <w:t xml:space="preserve">. </w:t>
      </w:r>
      <w:r w:rsidRPr="00173575">
        <w:rPr>
          <w:rFonts w:ascii="Avenir Next" w:hAnsi="Avenir Next" w:cs="Arial"/>
          <w:color w:val="0000FF"/>
          <w:sz w:val="22"/>
          <w:szCs w:val="22"/>
          <w:lang w:val="en-GB"/>
        </w:rPr>
        <w:t xml:space="preserve">Debtors often need to access new funds, particularly viable businesses with temporary cash flow problems. Allowing debtors to access credit after commencing bankruptcy procedure, and assigning priority to such credit, is </w:t>
      </w:r>
      <w:proofErr w:type="spellStart"/>
      <w:r w:rsidRPr="00173575">
        <w:rPr>
          <w:rFonts w:ascii="Avenir Next" w:hAnsi="Avenir Next" w:cs="Arial"/>
          <w:color w:val="0000FF"/>
          <w:sz w:val="22"/>
          <w:szCs w:val="22"/>
          <w:lang w:val="en-GB"/>
        </w:rPr>
        <w:t>threfore</w:t>
      </w:r>
      <w:proofErr w:type="spellEnd"/>
      <w:r w:rsidRPr="00173575">
        <w:rPr>
          <w:rFonts w:ascii="Avenir Next" w:hAnsi="Avenir Next" w:cs="Arial"/>
          <w:color w:val="0000FF"/>
          <w:sz w:val="22"/>
          <w:szCs w:val="22"/>
          <w:lang w:val="en-GB"/>
        </w:rPr>
        <w:t xml:space="preserve"> important. Under </w:t>
      </w:r>
      <w:r w:rsidRPr="0009131E">
        <w:rPr>
          <w:rFonts w:ascii="Avenir Next" w:hAnsi="Avenir Next" w:cs="Arial"/>
          <w:b/>
          <w:bCs/>
          <w:color w:val="0000FF"/>
          <w:sz w:val="22"/>
          <w:szCs w:val="22"/>
          <w:u w:val="single"/>
          <w:lang w:val="en-GB"/>
        </w:rPr>
        <w:t>Bahrain's</w:t>
      </w:r>
      <w:r w:rsidRPr="00173575">
        <w:rPr>
          <w:rFonts w:ascii="Avenir Next" w:hAnsi="Avenir Next" w:cs="Arial"/>
          <w:color w:val="0000FF"/>
          <w:sz w:val="22"/>
          <w:szCs w:val="22"/>
          <w:lang w:val="en-GB"/>
        </w:rPr>
        <w:t xml:space="preserve"> new law, debtors can obtain unsecured credit during a </w:t>
      </w:r>
      <w:proofErr w:type="gramStart"/>
      <w:r w:rsidRPr="00173575">
        <w:rPr>
          <w:rFonts w:ascii="Avenir Next" w:hAnsi="Avenir Next" w:cs="Arial"/>
          <w:color w:val="0000FF"/>
          <w:sz w:val="22"/>
          <w:szCs w:val="22"/>
          <w:lang w:val="en-GB"/>
        </w:rPr>
        <w:t>restructuring</w:t>
      </w:r>
      <w:proofErr w:type="gramEnd"/>
      <w:r w:rsidRPr="00173575">
        <w:rPr>
          <w:rFonts w:ascii="Avenir Next" w:hAnsi="Avenir Next" w:cs="Arial"/>
          <w:color w:val="0000FF"/>
          <w:sz w:val="22"/>
          <w:szCs w:val="22"/>
          <w:lang w:val="en-GB"/>
        </w:rPr>
        <w:t xml:space="preserve"> and this can be given priority above other unsecured credit as an administrative expense.</w:t>
      </w:r>
      <w:r>
        <w:rPr>
          <w:rFonts w:ascii="Avenir Next" w:hAnsi="Avenir Next" w:cs="Arial"/>
          <w:color w:val="0000FF"/>
          <w:sz w:val="22"/>
          <w:szCs w:val="22"/>
          <w:lang w:val="en-GB"/>
        </w:rPr>
        <w:t xml:space="preserve"> [2]</w:t>
      </w:r>
    </w:p>
    <w:p w14:paraId="479C81BD" w14:textId="4CABEC6B" w:rsidR="00173575" w:rsidRDefault="00173575" w:rsidP="00173575">
      <w:pPr>
        <w:spacing w:after="120"/>
        <w:jc w:val="both"/>
        <w:rPr>
          <w:rFonts w:ascii="Avenir Next" w:hAnsi="Avenir Next" w:cs="Arial"/>
          <w:color w:val="0000FF"/>
          <w:sz w:val="22"/>
          <w:szCs w:val="22"/>
          <w:lang w:val="en-GB"/>
        </w:rPr>
      </w:pPr>
      <w:r w:rsidRPr="00173575">
        <w:rPr>
          <w:rFonts w:ascii="Avenir Next" w:hAnsi="Avenir Next" w:cs="Arial"/>
          <w:b/>
          <w:bCs/>
          <w:color w:val="0000FF"/>
          <w:sz w:val="22"/>
          <w:szCs w:val="22"/>
          <w:lang w:val="en-GB"/>
        </w:rPr>
        <w:t>Prioritisation of creditors</w:t>
      </w:r>
      <w:r>
        <w:rPr>
          <w:rFonts w:ascii="Avenir Next" w:hAnsi="Avenir Next" w:cs="Arial"/>
          <w:color w:val="0000FF"/>
          <w:sz w:val="22"/>
          <w:szCs w:val="22"/>
          <w:lang w:val="en-GB"/>
        </w:rPr>
        <w:t xml:space="preserve">. </w:t>
      </w:r>
      <w:r w:rsidRPr="00173575">
        <w:rPr>
          <w:rFonts w:ascii="Avenir Next" w:hAnsi="Avenir Next" w:cs="Arial"/>
          <w:color w:val="0000FF"/>
          <w:sz w:val="22"/>
          <w:szCs w:val="22"/>
          <w:lang w:val="en-GB"/>
        </w:rPr>
        <w:t>One of the main objectives of an effective bankruptcy system should be to</w:t>
      </w:r>
      <w:r>
        <w:rPr>
          <w:rFonts w:ascii="Avenir Next" w:hAnsi="Avenir Next" w:cs="Arial"/>
          <w:color w:val="0000FF"/>
          <w:sz w:val="22"/>
          <w:szCs w:val="22"/>
          <w:lang w:val="en-GB"/>
        </w:rPr>
        <w:t xml:space="preserve"> </w:t>
      </w:r>
      <w:r w:rsidRPr="00173575">
        <w:rPr>
          <w:rFonts w:ascii="Avenir Next" w:hAnsi="Avenir Next" w:cs="Arial"/>
          <w:color w:val="0000FF"/>
          <w:sz w:val="22"/>
          <w:szCs w:val="22"/>
          <w:lang w:val="en-GB"/>
        </w:rPr>
        <w:t>recogni</w:t>
      </w:r>
      <w:r>
        <w:rPr>
          <w:rFonts w:ascii="Avenir Next" w:hAnsi="Avenir Next" w:cs="Arial"/>
          <w:color w:val="0000FF"/>
          <w:sz w:val="22"/>
          <w:szCs w:val="22"/>
          <w:lang w:val="en-GB"/>
        </w:rPr>
        <w:t>s</w:t>
      </w:r>
      <w:r w:rsidRPr="00173575">
        <w:rPr>
          <w:rFonts w:ascii="Avenir Next" w:hAnsi="Avenir Next" w:cs="Arial"/>
          <w:color w:val="0000FF"/>
          <w:sz w:val="22"/>
          <w:szCs w:val="22"/>
          <w:lang w:val="en-GB"/>
        </w:rPr>
        <w:t>e existing creditor rights and respect the priority of claims with a predict</w:t>
      </w:r>
      <w:r>
        <w:rPr>
          <w:rFonts w:ascii="Avenir Next" w:hAnsi="Avenir Next" w:cs="Arial"/>
          <w:color w:val="0000FF"/>
          <w:sz w:val="22"/>
          <w:szCs w:val="22"/>
          <w:lang w:val="en-GB"/>
        </w:rPr>
        <w:t>a</w:t>
      </w:r>
      <w:r w:rsidRPr="00173575">
        <w:rPr>
          <w:rFonts w:ascii="Avenir Next" w:hAnsi="Avenir Next" w:cs="Arial"/>
          <w:color w:val="0000FF"/>
          <w:sz w:val="22"/>
          <w:szCs w:val="22"/>
          <w:lang w:val="en-GB"/>
        </w:rPr>
        <w:t>ble and established process</w:t>
      </w:r>
      <w:r>
        <w:rPr>
          <w:rFonts w:ascii="Avenir Next" w:hAnsi="Avenir Next" w:cs="Arial"/>
          <w:color w:val="0000FF"/>
          <w:sz w:val="22"/>
          <w:szCs w:val="22"/>
          <w:lang w:val="en-GB"/>
        </w:rPr>
        <w:t xml:space="preserve">. </w:t>
      </w:r>
      <w:r w:rsidRPr="00173575">
        <w:rPr>
          <w:rFonts w:ascii="Avenir Next" w:hAnsi="Avenir Next" w:cs="Arial"/>
          <w:color w:val="0000FF"/>
          <w:sz w:val="22"/>
          <w:szCs w:val="22"/>
          <w:lang w:val="en-GB"/>
        </w:rPr>
        <w:t xml:space="preserve">One of the key reforms of </w:t>
      </w:r>
      <w:r>
        <w:rPr>
          <w:rFonts w:ascii="Avenir Next" w:hAnsi="Avenir Next" w:cs="Arial"/>
          <w:color w:val="0000FF"/>
          <w:sz w:val="22"/>
          <w:szCs w:val="22"/>
          <w:lang w:val="en-GB"/>
        </w:rPr>
        <w:t xml:space="preserve">the </w:t>
      </w:r>
      <w:r w:rsidRPr="00173575">
        <w:rPr>
          <w:rFonts w:ascii="Avenir Next" w:hAnsi="Avenir Next" w:cs="Arial"/>
          <w:color w:val="0000FF"/>
          <w:sz w:val="22"/>
          <w:szCs w:val="22"/>
          <w:lang w:val="en-GB"/>
        </w:rPr>
        <w:t xml:space="preserve">new </w:t>
      </w:r>
      <w:r w:rsidRPr="0009131E">
        <w:rPr>
          <w:rFonts w:ascii="Avenir Next" w:hAnsi="Avenir Next" w:cs="Arial"/>
          <w:b/>
          <w:bCs/>
          <w:color w:val="0000FF"/>
          <w:sz w:val="22"/>
          <w:szCs w:val="22"/>
          <w:u w:val="single"/>
          <w:lang w:val="en-GB"/>
        </w:rPr>
        <w:t>UAE</w:t>
      </w:r>
      <w:r w:rsidRPr="00173575">
        <w:rPr>
          <w:rFonts w:ascii="Avenir Next" w:hAnsi="Avenir Next" w:cs="Arial"/>
          <w:color w:val="0000FF"/>
          <w:sz w:val="22"/>
          <w:szCs w:val="22"/>
          <w:lang w:val="en-GB"/>
        </w:rPr>
        <w:t xml:space="preserve"> bankruptcy laws is the inclusion</w:t>
      </w:r>
      <w:r>
        <w:rPr>
          <w:rFonts w:ascii="Avenir Next" w:hAnsi="Avenir Next" w:cs="Arial"/>
          <w:color w:val="0000FF"/>
          <w:sz w:val="22"/>
          <w:szCs w:val="22"/>
          <w:lang w:val="en-GB"/>
        </w:rPr>
        <w:t xml:space="preserve"> </w:t>
      </w:r>
      <w:r w:rsidRPr="00173575">
        <w:rPr>
          <w:rFonts w:ascii="Avenir Next" w:hAnsi="Avenir Next" w:cs="Arial"/>
          <w:color w:val="0000FF"/>
          <w:sz w:val="22"/>
          <w:szCs w:val="22"/>
          <w:lang w:val="en-GB"/>
        </w:rPr>
        <w:t>of detailed guidance on the prioritization of creditors under the new bankruptcy procedures.</w:t>
      </w:r>
    </w:p>
    <w:p w14:paraId="5BFB2651" w14:textId="77777777" w:rsidR="00173575" w:rsidRDefault="00173575" w:rsidP="00173575">
      <w:pPr>
        <w:spacing w:after="120"/>
        <w:jc w:val="both"/>
        <w:rPr>
          <w:rFonts w:ascii="Avenir Next" w:hAnsi="Avenir Next" w:cs="Arial"/>
          <w:color w:val="0000FF"/>
          <w:sz w:val="22"/>
          <w:szCs w:val="22"/>
          <w:lang w:val="en-GB"/>
        </w:rPr>
      </w:pPr>
    </w:p>
    <w:p w14:paraId="5ADB687F" w14:textId="134CF994" w:rsidR="00173575" w:rsidRDefault="00173575" w:rsidP="00173575">
      <w:pPr>
        <w:spacing w:after="120"/>
        <w:jc w:val="both"/>
        <w:rPr>
          <w:rFonts w:ascii="Avenir Next" w:hAnsi="Avenir Next" w:cs="Arial"/>
          <w:color w:val="0000FF"/>
          <w:sz w:val="18"/>
          <w:szCs w:val="18"/>
          <w:lang w:val="en-GB"/>
        </w:rPr>
      </w:pPr>
      <w:r>
        <w:rPr>
          <w:rFonts w:ascii="Avenir Next" w:hAnsi="Avenir Next" w:cs="Arial"/>
          <w:color w:val="0000FF"/>
          <w:sz w:val="18"/>
          <w:szCs w:val="18"/>
          <w:lang w:val="en-GB"/>
        </w:rPr>
        <w:t xml:space="preserve">[1] </w:t>
      </w:r>
      <w:r w:rsidRPr="00173575">
        <w:rPr>
          <w:rFonts w:ascii="Avenir Next" w:hAnsi="Avenir Next" w:cs="Arial"/>
          <w:color w:val="0000FF"/>
          <w:sz w:val="18"/>
          <w:szCs w:val="18"/>
          <w:lang w:val="en-GB"/>
        </w:rPr>
        <w:t>Saudi Arabia Cabinet Decision No. 264/1439, issued on February 13, 2018, “On the Approval of the Bankruptcy Law” (“</w:t>
      </w:r>
      <w:proofErr w:type="spellStart"/>
      <w:r w:rsidRPr="00173575">
        <w:rPr>
          <w:rFonts w:ascii="Avenir Next" w:hAnsi="Avenir Next" w:cs="Arial"/>
          <w:color w:val="0000FF"/>
          <w:sz w:val="18"/>
          <w:szCs w:val="18"/>
          <w:lang w:val="en-GB"/>
        </w:rPr>
        <w:t>KSA</w:t>
      </w:r>
      <w:proofErr w:type="spellEnd"/>
      <w:r w:rsidRPr="00173575">
        <w:rPr>
          <w:rFonts w:ascii="Avenir Next" w:hAnsi="Avenir Next" w:cs="Arial"/>
          <w:color w:val="0000FF"/>
          <w:sz w:val="18"/>
          <w:szCs w:val="18"/>
          <w:lang w:val="en-GB"/>
        </w:rPr>
        <w:t xml:space="preserve"> Bankruptcy Law”). See Tom Arnold, Reem </w:t>
      </w:r>
      <w:proofErr w:type="spellStart"/>
      <w:r w:rsidRPr="00173575">
        <w:rPr>
          <w:rFonts w:ascii="Avenir Next" w:hAnsi="Avenir Next" w:cs="Arial"/>
          <w:color w:val="0000FF"/>
          <w:sz w:val="18"/>
          <w:szCs w:val="18"/>
          <w:lang w:val="en-GB"/>
        </w:rPr>
        <w:t>Shamseddine</w:t>
      </w:r>
      <w:proofErr w:type="spellEnd"/>
      <w:r w:rsidRPr="00173575">
        <w:rPr>
          <w:rFonts w:ascii="Avenir Next" w:hAnsi="Avenir Next" w:cs="Arial"/>
          <w:color w:val="0000FF"/>
          <w:sz w:val="18"/>
          <w:szCs w:val="18"/>
          <w:lang w:val="en-GB"/>
        </w:rPr>
        <w:t xml:space="preserve"> and Katie Paul, “In Boost to Reform, Saudi Arabia's Cabinet approves Bankruptcy Law” (Reuters, February 18, 2018), available at: http://www.reuters.com/article/us-saudi-bankruptcy/in-boost-to-reform-saudi-arabias-cabinet-approves-bankruptcy-law- idUSKCN1G20PJ</w:t>
      </w:r>
    </w:p>
    <w:p w14:paraId="0D2926A4" w14:textId="77777777" w:rsidR="0009131E" w:rsidRDefault="00173575" w:rsidP="00173575">
      <w:pPr>
        <w:spacing w:after="120"/>
        <w:rPr>
          <w:rFonts w:ascii="Avenir Next" w:hAnsi="Avenir Next" w:cs="Arial"/>
          <w:color w:val="0000FF"/>
          <w:sz w:val="18"/>
          <w:szCs w:val="18"/>
          <w:lang w:val="en-GB"/>
        </w:rPr>
      </w:pPr>
      <w:r>
        <w:rPr>
          <w:rFonts w:ascii="Avenir Next" w:hAnsi="Avenir Next" w:cs="Arial"/>
          <w:color w:val="0000FF"/>
          <w:sz w:val="18"/>
          <w:szCs w:val="18"/>
          <w:lang w:val="en-GB"/>
        </w:rPr>
        <w:t xml:space="preserve">[2] </w:t>
      </w:r>
      <w:r w:rsidRPr="00173575">
        <w:rPr>
          <w:rFonts w:ascii="Avenir Next" w:hAnsi="Avenir Next" w:cs="Arial"/>
          <w:color w:val="0000FF"/>
          <w:sz w:val="18"/>
          <w:szCs w:val="18"/>
          <w:lang w:val="en-GB"/>
        </w:rPr>
        <w:t>Law No. (22) of 2018, Promulgating the Law of Re-Organization and Bankruptcy (“Bahrain Reorganization and</w:t>
      </w:r>
      <w:r w:rsidRPr="00173575">
        <w:rPr>
          <w:rFonts w:ascii="Avenir Next" w:hAnsi="Avenir Next" w:cs="Arial"/>
          <w:color w:val="0000FF"/>
          <w:sz w:val="18"/>
          <w:szCs w:val="18"/>
          <w:lang w:val="en-GB"/>
        </w:rPr>
        <w:t xml:space="preserve"> </w:t>
      </w:r>
      <w:r w:rsidRPr="00173575">
        <w:rPr>
          <w:rFonts w:ascii="Avenir Next" w:hAnsi="Avenir Next" w:cs="Arial"/>
          <w:color w:val="0000FF"/>
          <w:sz w:val="18"/>
          <w:szCs w:val="18"/>
          <w:lang w:val="en-GB"/>
        </w:rPr>
        <w:t>Bankruptcy Law”). See: http://www.bna.bh/portal/en/news/843393</w:t>
      </w:r>
      <w:r>
        <w:rPr>
          <w:rFonts w:ascii="Avenir Next" w:hAnsi="Avenir Next" w:cs="Arial"/>
          <w:color w:val="0000FF"/>
          <w:sz w:val="18"/>
          <w:szCs w:val="18"/>
          <w:lang w:val="en-GB"/>
        </w:rPr>
        <w:t xml:space="preserve">.  </w:t>
      </w:r>
    </w:p>
    <w:p w14:paraId="71118D4E" w14:textId="136F81F7" w:rsidR="00173575" w:rsidRPr="00173575" w:rsidRDefault="0009131E" w:rsidP="00173575">
      <w:pPr>
        <w:spacing w:after="120"/>
        <w:rPr>
          <w:rFonts w:ascii="Avenir Next" w:hAnsi="Avenir Next" w:cs="Arial"/>
          <w:color w:val="0000FF"/>
          <w:sz w:val="18"/>
          <w:szCs w:val="18"/>
          <w:lang w:val="en-GB"/>
        </w:rPr>
      </w:pPr>
      <w:r>
        <w:rPr>
          <w:rFonts w:ascii="Avenir Next" w:hAnsi="Avenir Next" w:cs="Arial"/>
          <w:color w:val="0000FF"/>
          <w:sz w:val="18"/>
          <w:szCs w:val="18"/>
          <w:lang w:val="en-GB"/>
        </w:rPr>
        <w:t xml:space="preserve">[3] </w:t>
      </w:r>
      <w:r w:rsidR="00173575" w:rsidRPr="00173575">
        <w:rPr>
          <w:rFonts w:ascii="Avenir Next" w:hAnsi="Avenir Next" w:cs="Arial"/>
          <w:color w:val="0000FF"/>
          <w:sz w:val="18"/>
          <w:szCs w:val="18"/>
          <w:lang w:val="en-GB"/>
        </w:rPr>
        <w:t xml:space="preserve">Federal Law by Decree No. (9) of 2016 on Bankruptcy (“UAE Bankruptcy Law”). See </w:t>
      </w:r>
      <w:proofErr w:type="spellStart"/>
      <w:r w:rsidR="00173575" w:rsidRPr="00173575">
        <w:rPr>
          <w:rFonts w:ascii="Avenir Next" w:hAnsi="Avenir Next" w:cs="Arial"/>
          <w:color w:val="0000FF"/>
          <w:sz w:val="18"/>
          <w:szCs w:val="18"/>
          <w:lang w:val="en-GB"/>
        </w:rPr>
        <w:t>Lawale</w:t>
      </w:r>
      <w:proofErr w:type="spellEnd"/>
      <w:r w:rsidR="00173575" w:rsidRPr="00173575">
        <w:rPr>
          <w:rFonts w:ascii="Avenir Next" w:hAnsi="Avenir Next" w:cs="Arial"/>
          <w:color w:val="0000FF"/>
          <w:sz w:val="18"/>
          <w:szCs w:val="18"/>
          <w:lang w:val="en-GB"/>
        </w:rPr>
        <w:t xml:space="preserve"> </w:t>
      </w:r>
      <w:proofErr w:type="spellStart"/>
      <w:r w:rsidR="00173575" w:rsidRPr="00173575">
        <w:rPr>
          <w:rFonts w:ascii="Avenir Next" w:hAnsi="Avenir Next" w:cs="Arial"/>
          <w:color w:val="0000FF"/>
          <w:sz w:val="18"/>
          <w:szCs w:val="18"/>
          <w:lang w:val="en-GB"/>
        </w:rPr>
        <w:t>Ladapo</w:t>
      </w:r>
      <w:proofErr w:type="spellEnd"/>
      <w:r w:rsidR="00173575" w:rsidRPr="00173575">
        <w:rPr>
          <w:rFonts w:ascii="Avenir Next" w:hAnsi="Avenir Next" w:cs="Arial"/>
          <w:color w:val="0000FF"/>
          <w:sz w:val="18"/>
          <w:szCs w:val="18"/>
          <w:lang w:val="en-GB"/>
        </w:rPr>
        <w:t xml:space="preserve"> and</w:t>
      </w:r>
      <w:r w:rsidR="00173575">
        <w:rPr>
          <w:rFonts w:ascii="Avenir Next" w:hAnsi="Avenir Next" w:cs="Arial"/>
          <w:color w:val="0000FF"/>
          <w:sz w:val="18"/>
          <w:szCs w:val="18"/>
          <w:lang w:val="en-GB"/>
        </w:rPr>
        <w:t xml:space="preserve"> </w:t>
      </w:r>
      <w:r w:rsidR="00173575" w:rsidRPr="00173575">
        <w:rPr>
          <w:rFonts w:ascii="Avenir Next" w:hAnsi="Avenir Next" w:cs="Arial"/>
          <w:color w:val="0000FF"/>
          <w:sz w:val="18"/>
          <w:szCs w:val="18"/>
          <w:lang w:val="en-GB"/>
        </w:rPr>
        <w:t>Mohamed Taha, “The New Bankruptcy Law of the UAE: Towards a More Business-Oriented Bankruptcy</w:t>
      </w:r>
      <w:r w:rsidR="00173575">
        <w:rPr>
          <w:rFonts w:ascii="Avenir Next" w:hAnsi="Avenir Next" w:cs="Arial"/>
          <w:color w:val="0000FF"/>
          <w:sz w:val="18"/>
          <w:szCs w:val="18"/>
          <w:lang w:val="en-GB"/>
        </w:rPr>
        <w:t xml:space="preserve"> </w:t>
      </w:r>
      <w:r w:rsidR="00173575" w:rsidRPr="00173575">
        <w:rPr>
          <w:rFonts w:ascii="Avenir Next" w:hAnsi="Avenir Next" w:cs="Arial"/>
          <w:color w:val="0000FF"/>
          <w:sz w:val="18"/>
          <w:szCs w:val="18"/>
          <w:lang w:val="en-GB"/>
        </w:rPr>
        <w:t>Regime,” available at: &lt;www.clearygottlieb.com/-/media/organize-archive/cgsh/files/2017/publications/emrj-</w:t>
      </w:r>
      <w:r w:rsidR="00173575">
        <w:rPr>
          <w:rFonts w:ascii="Avenir Next" w:hAnsi="Avenir Next" w:cs="Arial"/>
          <w:color w:val="0000FF"/>
          <w:sz w:val="18"/>
          <w:szCs w:val="18"/>
          <w:lang w:val="en-GB"/>
        </w:rPr>
        <w:t xml:space="preserve"> </w:t>
      </w:r>
      <w:r w:rsidR="00173575" w:rsidRPr="00173575">
        <w:rPr>
          <w:rFonts w:ascii="Avenir Next" w:hAnsi="Avenir Next" w:cs="Arial"/>
          <w:color w:val="0000FF"/>
          <w:sz w:val="18"/>
          <w:szCs w:val="18"/>
          <w:lang w:val="en-GB"/>
        </w:rPr>
        <w:t>summer-2017-issue-4/the-new-bankruptcy-law-of-the-uae–towards-a-more-businessoriented-bankruptcy-regime-</w:t>
      </w:r>
      <w:r w:rsidR="00173575">
        <w:rPr>
          <w:rFonts w:ascii="Avenir Next" w:hAnsi="Avenir Next" w:cs="Arial"/>
          <w:color w:val="0000FF"/>
          <w:sz w:val="18"/>
          <w:szCs w:val="18"/>
          <w:lang w:val="en-GB"/>
        </w:rPr>
        <w:t xml:space="preserve"> </w:t>
      </w:r>
      <w:r w:rsidR="00173575" w:rsidRPr="00173575">
        <w:rPr>
          <w:rFonts w:ascii="Avenir Next" w:hAnsi="Avenir Next" w:cs="Arial"/>
          <w:color w:val="0000FF"/>
          <w:sz w:val="18"/>
          <w:szCs w:val="18"/>
          <w:lang w:val="en-GB"/>
        </w:rPr>
        <w:t>updated-9-19-17.pdf&gt;.</w:t>
      </w:r>
      <w:r w:rsidR="00173575">
        <w:rPr>
          <w:rFonts w:ascii="Avenir Next" w:hAnsi="Avenir Next" w:cs="Arial"/>
          <w:color w:val="0000FF"/>
          <w:sz w:val="18"/>
          <w:szCs w:val="18"/>
          <w:lang w:val="en-GB"/>
        </w:rPr>
        <w:t xml:space="preserve"> and </w:t>
      </w:r>
      <w:r w:rsidR="00173575" w:rsidRPr="00173575">
        <w:rPr>
          <w:rFonts w:ascii="Avenir Next" w:hAnsi="Avenir Next" w:cs="Arial"/>
          <w:color w:val="0000FF"/>
          <w:sz w:val="18"/>
          <w:szCs w:val="18"/>
          <w:lang w:val="en-GB"/>
        </w:rPr>
        <w:t>Principles for Effective Insolvency and Creditor/Debtor Regimes (2016), available at: &lt;http://pubdocs.</w:t>
      </w:r>
      <w:r w:rsidR="00173575">
        <w:rPr>
          <w:rFonts w:ascii="Avenir Next" w:hAnsi="Avenir Next" w:cs="Arial"/>
          <w:color w:val="0000FF"/>
          <w:sz w:val="18"/>
          <w:szCs w:val="18"/>
          <w:lang w:val="en-GB"/>
        </w:rPr>
        <w:t xml:space="preserve"> </w:t>
      </w:r>
      <w:r w:rsidR="00173575" w:rsidRPr="00173575">
        <w:rPr>
          <w:rFonts w:ascii="Avenir Next" w:hAnsi="Avenir Next" w:cs="Arial"/>
          <w:color w:val="0000FF"/>
          <w:sz w:val="18"/>
          <w:szCs w:val="18"/>
          <w:lang w:val="en-GB"/>
        </w:rPr>
        <w:t>worldbank.org/en/919511468425523509/ICR-Principles-Insolvency-Creditor-Debtor-Regimes-2016.pdf</w:t>
      </w:r>
    </w:p>
    <w:p w14:paraId="63F0F2C1" w14:textId="706950C8" w:rsidR="004735B7" w:rsidRDefault="00173575" w:rsidP="004735B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Main s</w:t>
      </w:r>
      <w:r w:rsidR="004735B7">
        <w:rPr>
          <w:rFonts w:ascii="Avenir Next" w:hAnsi="Avenir Next" w:cs="Arial"/>
          <w:color w:val="0000FF"/>
          <w:sz w:val="22"/>
          <w:szCs w:val="22"/>
          <w:lang w:val="en-GB"/>
        </w:rPr>
        <w:t xml:space="preserve">ource: </w:t>
      </w:r>
      <w:r w:rsidR="004735B7" w:rsidRPr="004735B7">
        <w:rPr>
          <w:rFonts w:ascii="Avenir Next" w:hAnsi="Avenir Next" w:cs="Arial"/>
          <w:color w:val="0000FF"/>
          <w:sz w:val="22"/>
          <w:szCs w:val="22"/>
          <w:lang w:val="en-GB"/>
        </w:rPr>
        <w:t>Al‐</w:t>
      </w:r>
      <w:proofErr w:type="spellStart"/>
      <w:r w:rsidR="004735B7" w:rsidRPr="004735B7">
        <w:rPr>
          <w:rFonts w:ascii="Avenir Next" w:hAnsi="Avenir Next" w:cs="Arial"/>
          <w:color w:val="0000FF"/>
          <w:sz w:val="22"/>
          <w:szCs w:val="22"/>
          <w:lang w:val="en-GB"/>
        </w:rPr>
        <w:t>Sarraf</w:t>
      </w:r>
      <w:proofErr w:type="spellEnd"/>
      <w:r w:rsidR="004735B7" w:rsidRPr="004735B7">
        <w:rPr>
          <w:rFonts w:ascii="Avenir Next" w:hAnsi="Avenir Next" w:cs="Arial"/>
          <w:color w:val="0000FF"/>
          <w:sz w:val="22"/>
          <w:szCs w:val="22"/>
          <w:lang w:val="en-GB"/>
        </w:rPr>
        <w:t xml:space="preserve">, Adam. "Bankruptcy reform in the Middle East and North Africa: </w:t>
      </w:r>
      <w:proofErr w:type="spellStart"/>
      <w:r w:rsidR="004735B7" w:rsidRPr="004735B7">
        <w:rPr>
          <w:rFonts w:ascii="Avenir Next" w:hAnsi="Avenir Next" w:cs="Arial"/>
          <w:color w:val="0000FF"/>
          <w:sz w:val="22"/>
          <w:szCs w:val="22"/>
          <w:lang w:val="en-GB"/>
        </w:rPr>
        <w:t>analyzing</w:t>
      </w:r>
      <w:proofErr w:type="spellEnd"/>
      <w:r w:rsidR="004735B7" w:rsidRPr="004735B7">
        <w:rPr>
          <w:rFonts w:ascii="Avenir Next" w:hAnsi="Avenir Next" w:cs="Arial"/>
          <w:color w:val="0000FF"/>
          <w:sz w:val="22"/>
          <w:szCs w:val="22"/>
          <w:lang w:val="en-GB"/>
        </w:rPr>
        <w:t xml:space="preserve"> the new bankruptcy laws in the UAE, Saudi Arabia, Morocco, Egypt, and Bahrain." </w:t>
      </w:r>
      <w:r w:rsidR="004735B7" w:rsidRPr="004735B7">
        <w:rPr>
          <w:rFonts w:ascii="Avenir Next" w:hAnsi="Avenir Next" w:cs="Arial"/>
          <w:i/>
          <w:iCs/>
          <w:color w:val="0000FF"/>
          <w:sz w:val="22"/>
          <w:szCs w:val="22"/>
          <w:lang w:val="en-GB"/>
        </w:rPr>
        <w:t>International Insolvency Review</w:t>
      </w:r>
      <w:r w:rsidR="004735B7" w:rsidRPr="004735B7">
        <w:rPr>
          <w:rFonts w:ascii="Avenir Next" w:hAnsi="Avenir Next" w:cs="Arial"/>
          <w:color w:val="0000FF"/>
          <w:sz w:val="22"/>
          <w:szCs w:val="22"/>
          <w:lang w:val="en-GB"/>
        </w:rPr>
        <w:t> 29, no. 2 (2020): 159-180.</w:t>
      </w:r>
    </w:p>
    <w:p w14:paraId="200DCE5C" w14:textId="77777777" w:rsidR="00173575" w:rsidRDefault="00173575" w:rsidP="00173575">
      <w:pPr>
        <w:spacing w:after="120"/>
        <w:jc w:val="both"/>
        <w:rPr>
          <w:rFonts w:ascii="Avenir Next" w:hAnsi="Avenir Next" w:cs="Arial"/>
          <w:color w:val="0000FF"/>
          <w:sz w:val="22"/>
          <w:szCs w:val="22"/>
          <w:lang w:val="en-GB"/>
        </w:rPr>
      </w:pPr>
    </w:p>
    <w:p w14:paraId="0D795387" w14:textId="77777777" w:rsidR="00173575" w:rsidRPr="004735B7" w:rsidRDefault="00173575" w:rsidP="00173575">
      <w:pPr>
        <w:spacing w:after="120"/>
        <w:jc w:val="both"/>
        <w:rPr>
          <w:rFonts w:ascii="Avenir Next" w:hAnsi="Avenir Next" w:cs="Arial"/>
          <w:color w:val="0000FF"/>
          <w:sz w:val="22"/>
          <w:szCs w:val="22"/>
          <w:lang w:val="en-GB"/>
        </w:rPr>
      </w:pPr>
    </w:p>
    <w:p w14:paraId="1A845AFD" w14:textId="77777777" w:rsidR="004735B7" w:rsidRPr="004735B7" w:rsidRDefault="004735B7" w:rsidP="004735B7">
      <w:pPr>
        <w:spacing w:after="120"/>
        <w:jc w:val="both"/>
        <w:rPr>
          <w:rFonts w:ascii="Avenir Next" w:hAnsi="Avenir Next" w:cs="Arial"/>
          <w:color w:val="0000FF"/>
          <w:sz w:val="22"/>
          <w:szCs w:val="22"/>
          <w:lang w:val="en-GB"/>
        </w:rPr>
      </w:pPr>
    </w:p>
    <w:p w14:paraId="78DB9FD8" w14:textId="2C411DAE" w:rsidR="00C72848" w:rsidRPr="004735B7" w:rsidRDefault="00C72848" w:rsidP="004735B7">
      <w:pPr>
        <w:spacing w:after="120"/>
        <w:jc w:val="both"/>
        <w:rPr>
          <w:rFonts w:ascii="Avenir Next" w:hAnsi="Avenir Next" w:cs="Arial"/>
          <w:color w:val="0000FF"/>
          <w:sz w:val="22"/>
          <w:szCs w:val="22"/>
          <w:lang w:val="en-GB"/>
        </w:rPr>
      </w:pPr>
    </w:p>
    <w:p w14:paraId="591C706E" w14:textId="33120C18" w:rsidR="004735B7" w:rsidRDefault="004735B7" w:rsidP="004735B7">
      <w:pPr>
        <w:jc w:val="both"/>
        <w:rPr>
          <w:rFonts w:ascii="Avenir Next" w:hAnsi="Avenir Next" w:cs="Arial"/>
          <w:color w:val="7B7B7B" w:themeColor="accent3" w:themeShade="BF"/>
          <w:sz w:val="22"/>
          <w:szCs w:val="22"/>
          <w:lang w:val="en-GB"/>
        </w:rPr>
      </w:pPr>
    </w:p>
    <w:p w14:paraId="5666D048" w14:textId="415132A6" w:rsidR="004735B7" w:rsidRDefault="004735B7" w:rsidP="00C053F7">
      <w:pPr>
        <w:ind w:left="720" w:hanging="720"/>
        <w:jc w:val="both"/>
        <w:rPr>
          <w:rFonts w:ascii="Avenir Next" w:hAnsi="Avenir Next" w:cs="Arial"/>
          <w:color w:val="7B7B7B" w:themeColor="accent3" w:themeShade="BF"/>
          <w:sz w:val="22"/>
          <w:szCs w:val="22"/>
          <w:lang w:val="en-GB"/>
        </w:rPr>
      </w:pPr>
    </w:p>
    <w:p w14:paraId="6310D1A2" w14:textId="77777777" w:rsidR="004735B7" w:rsidRPr="00827D56" w:rsidRDefault="004735B7"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17D1275B" w:rsidR="00544127" w:rsidRPr="0009131E" w:rsidRDefault="0009131E" w:rsidP="0009131E">
      <w:pPr>
        <w:spacing w:after="120"/>
        <w:ind w:left="720" w:hanging="720"/>
        <w:jc w:val="both"/>
        <w:rPr>
          <w:rFonts w:ascii="Avenir Next" w:hAnsi="Avenir Next" w:cs="Arial"/>
          <w:color w:val="0000FF"/>
          <w:sz w:val="22"/>
          <w:szCs w:val="22"/>
          <w:lang w:val="en-GB"/>
        </w:rPr>
      </w:pPr>
      <w:r w:rsidRPr="0009131E">
        <w:rPr>
          <w:rFonts w:ascii="Avenir Next" w:hAnsi="Avenir Next" w:cs="Arial"/>
          <w:color w:val="0000FF"/>
          <w:sz w:val="22"/>
          <w:szCs w:val="22"/>
          <w:lang w:val="en-GB"/>
        </w:rPr>
        <w:t>Differences include:</w:t>
      </w:r>
    </w:p>
    <w:p w14:paraId="4DDF7FBC" w14:textId="78104413" w:rsidR="0009131E" w:rsidRDefault="0009131E" w:rsidP="0009131E">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Only individual insolvency procedures have the objective of allowing for excluded assets for the bankrupt’s maintenance, or that of their family (</w:t>
      </w:r>
      <w:proofErr w:type="gramStart"/>
      <w:r>
        <w:rPr>
          <w:rFonts w:ascii="Avenir Next" w:hAnsi="Avenir Next" w:cs="Arial"/>
          <w:color w:val="0000FF"/>
          <w:sz w:val="22"/>
          <w:szCs w:val="22"/>
          <w:lang w:val="en-GB"/>
        </w:rPr>
        <w:t>e.g.</w:t>
      </w:r>
      <w:proofErr w:type="gramEnd"/>
      <w:r>
        <w:rPr>
          <w:rFonts w:ascii="Avenir Next" w:hAnsi="Avenir Next" w:cs="Arial"/>
          <w:color w:val="0000FF"/>
          <w:sz w:val="22"/>
          <w:szCs w:val="22"/>
          <w:lang w:val="en-GB"/>
        </w:rPr>
        <w:t xml:space="preserve"> to keep a family house);</w:t>
      </w:r>
    </w:p>
    <w:p w14:paraId="3205ED19" w14:textId="4C384D2B" w:rsidR="0009131E" w:rsidRDefault="0009131E" w:rsidP="0009131E">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Only individual insolvency procedures have the objective of </w:t>
      </w:r>
      <w:r>
        <w:rPr>
          <w:rFonts w:ascii="Avenir Next" w:hAnsi="Avenir Next" w:cs="Arial"/>
          <w:color w:val="0000FF"/>
          <w:sz w:val="22"/>
          <w:szCs w:val="22"/>
          <w:lang w:val="en-GB"/>
        </w:rPr>
        <w:t xml:space="preserve">allowing the bankrupt to be discharged, </w:t>
      </w:r>
      <w:proofErr w:type="gramStart"/>
      <w:r>
        <w:rPr>
          <w:rFonts w:ascii="Avenir Next" w:hAnsi="Avenir Next" w:cs="Arial"/>
          <w:color w:val="0000FF"/>
          <w:sz w:val="22"/>
          <w:szCs w:val="22"/>
          <w:lang w:val="en-GB"/>
        </w:rPr>
        <w:t>i.e.</w:t>
      </w:r>
      <w:proofErr w:type="gramEnd"/>
      <w:r>
        <w:rPr>
          <w:rFonts w:ascii="Avenir Next" w:hAnsi="Avenir Next" w:cs="Arial"/>
          <w:color w:val="0000FF"/>
          <w:sz w:val="22"/>
          <w:szCs w:val="22"/>
          <w:lang w:val="en-GB"/>
        </w:rPr>
        <w:t xml:space="preserve"> to rehabilitate people. This isn’t the case with corporations, which are usually dissolved upon completion of the insolvency process.</w:t>
      </w:r>
    </w:p>
    <w:p w14:paraId="051A27B7" w14:textId="6BF77980" w:rsidR="0009131E" w:rsidRDefault="0009131E" w:rsidP="0009131E">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Only corporate </w:t>
      </w:r>
      <w:r>
        <w:rPr>
          <w:rFonts w:ascii="Avenir Next" w:hAnsi="Avenir Next" w:cs="Arial"/>
          <w:color w:val="0000FF"/>
          <w:sz w:val="22"/>
          <w:szCs w:val="22"/>
          <w:lang w:val="en-GB"/>
        </w:rPr>
        <w:t>insolvency</w:t>
      </w:r>
      <w:r>
        <w:rPr>
          <w:rFonts w:ascii="Avenir Next" w:hAnsi="Avenir Next" w:cs="Arial"/>
          <w:color w:val="0000FF"/>
          <w:sz w:val="22"/>
          <w:szCs w:val="22"/>
          <w:lang w:val="en-GB"/>
        </w:rPr>
        <w:t xml:space="preserve"> proceedings </w:t>
      </w:r>
      <w:r w:rsidR="00864246">
        <w:rPr>
          <w:rFonts w:ascii="Avenir Next" w:hAnsi="Avenir Next" w:cs="Arial"/>
          <w:color w:val="0000FF"/>
          <w:sz w:val="22"/>
          <w:szCs w:val="22"/>
          <w:lang w:val="en-GB"/>
        </w:rPr>
        <w:t xml:space="preserve">are likely to </w:t>
      </w:r>
      <w:r>
        <w:rPr>
          <w:rFonts w:ascii="Avenir Next" w:hAnsi="Avenir Next" w:cs="Arial"/>
          <w:color w:val="0000FF"/>
          <w:sz w:val="22"/>
          <w:szCs w:val="22"/>
          <w:lang w:val="en-GB"/>
        </w:rPr>
        <w:t xml:space="preserve">consider the </w:t>
      </w:r>
      <w:r w:rsidR="00864246">
        <w:rPr>
          <w:rFonts w:ascii="Avenir Next" w:hAnsi="Avenir Next" w:cs="Arial"/>
          <w:color w:val="0000FF"/>
          <w:sz w:val="22"/>
          <w:szCs w:val="22"/>
          <w:lang w:val="en-GB"/>
        </w:rPr>
        <w:t xml:space="preserve">objective </w:t>
      </w:r>
      <w:r>
        <w:rPr>
          <w:rFonts w:ascii="Avenir Next" w:hAnsi="Avenir Next" w:cs="Arial"/>
          <w:color w:val="0000FF"/>
          <w:sz w:val="22"/>
          <w:szCs w:val="22"/>
          <w:lang w:val="en-GB"/>
        </w:rPr>
        <w:t xml:space="preserve">of maintaining a business, </w:t>
      </w:r>
      <w:proofErr w:type="gramStart"/>
      <w:r>
        <w:rPr>
          <w:rFonts w:ascii="Avenir Next" w:hAnsi="Avenir Next" w:cs="Arial"/>
          <w:color w:val="0000FF"/>
          <w:sz w:val="22"/>
          <w:szCs w:val="22"/>
          <w:lang w:val="en-GB"/>
        </w:rPr>
        <w:t>i.e.</w:t>
      </w:r>
      <w:proofErr w:type="gramEnd"/>
      <w:r>
        <w:rPr>
          <w:rFonts w:ascii="Avenir Next" w:hAnsi="Avenir Next" w:cs="Arial"/>
          <w:color w:val="0000FF"/>
          <w:sz w:val="22"/>
          <w:szCs w:val="22"/>
          <w:lang w:val="en-GB"/>
        </w:rPr>
        <w:t xml:space="preserve"> a rescue rather than liquidation. (This </w:t>
      </w:r>
      <w:proofErr w:type="gramStart"/>
      <w:r>
        <w:rPr>
          <w:rFonts w:ascii="Avenir Next" w:hAnsi="Avenir Next" w:cs="Arial"/>
          <w:color w:val="0000FF"/>
          <w:sz w:val="22"/>
          <w:szCs w:val="22"/>
          <w:lang w:val="en-GB"/>
        </w:rPr>
        <w:t>may</w:t>
      </w:r>
      <w:proofErr w:type="gramEnd"/>
      <w:r>
        <w:rPr>
          <w:rFonts w:ascii="Avenir Next" w:hAnsi="Avenir Next" w:cs="Arial"/>
          <w:color w:val="0000FF"/>
          <w:sz w:val="22"/>
          <w:szCs w:val="22"/>
          <w:lang w:val="en-GB"/>
        </w:rPr>
        <w:t xml:space="preserve"> less true of, e.g. sole traders, but d</w:t>
      </w:r>
      <w:r w:rsidR="00864246">
        <w:rPr>
          <w:rFonts w:ascii="Avenir Next" w:hAnsi="Avenir Next" w:cs="Arial"/>
          <w:color w:val="0000FF"/>
          <w:sz w:val="22"/>
          <w:szCs w:val="22"/>
          <w:lang w:val="en-GB"/>
        </w:rPr>
        <w:t>o</w:t>
      </w:r>
      <w:r>
        <w:rPr>
          <w:rFonts w:ascii="Avenir Next" w:hAnsi="Avenir Next" w:cs="Arial"/>
          <w:color w:val="0000FF"/>
          <w:sz w:val="22"/>
          <w:szCs w:val="22"/>
          <w:lang w:val="en-GB"/>
        </w:rPr>
        <w:t>es reflect a general difference.</w:t>
      </w:r>
    </w:p>
    <w:p w14:paraId="05136200" w14:textId="28AFB8A1" w:rsidR="0009131E" w:rsidRDefault="00864246" w:rsidP="0009131E">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Typically, a corporate insolvency is more likely to have as one of its </w:t>
      </w:r>
      <w:proofErr w:type="gramStart"/>
      <w:r>
        <w:rPr>
          <w:rFonts w:ascii="Avenir Next" w:hAnsi="Avenir Next" w:cs="Arial"/>
          <w:color w:val="0000FF"/>
          <w:sz w:val="22"/>
          <w:szCs w:val="22"/>
          <w:lang w:val="en-GB"/>
        </w:rPr>
        <w:t>objectives</w:t>
      </w:r>
      <w:proofErr w:type="gramEnd"/>
      <w:r>
        <w:rPr>
          <w:rFonts w:ascii="Avenir Next" w:hAnsi="Avenir Next" w:cs="Arial"/>
          <w:color w:val="0000FF"/>
          <w:sz w:val="22"/>
          <w:szCs w:val="22"/>
          <w:lang w:val="en-GB"/>
        </w:rPr>
        <w:t xml:space="preserve"> wider considerations such as stability of employment for employees of the debtor company.</w:t>
      </w:r>
    </w:p>
    <w:p w14:paraId="61253DE3" w14:textId="417DF8EB" w:rsidR="00864246" w:rsidRDefault="00864246" w:rsidP="0009131E">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Typically, a corporate insolvency is more likely </w:t>
      </w:r>
      <w:r>
        <w:rPr>
          <w:rFonts w:ascii="Avenir Next" w:hAnsi="Avenir Next" w:cs="Arial"/>
          <w:color w:val="0000FF"/>
          <w:sz w:val="22"/>
          <w:szCs w:val="22"/>
          <w:lang w:val="en-GB"/>
        </w:rPr>
        <w:t xml:space="preserve">to </w:t>
      </w:r>
      <w:r>
        <w:rPr>
          <w:rFonts w:ascii="Avenir Next" w:hAnsi="Avenir Next" w:cs="Arial"/>
          <w:color w:val="0000FF"/>
          <w:sz w:val="22"/>
          <w:szCs w:val="22"/>
          <w:lang w:val="en-GB"/>
        </w:rPr>
        <w:t xml:space="preserve">have as one of its objectives </w:t>
      </w:r>
      <w:r>
        <w:rPr>
          <w:rFonts w:ascii="Avenir Next" w:hAnsi="Avenir Next" w:cs="Arial"/>
          <w:color w:val="0000FF"/>
          <w:sz w:val="22"/>
          <w:szCs w:val="22"/>
          <w:lang w:val="en-GB"/>
        </w:rPr>
        <w:t xml:space="preserve">the need to coordinate collective procedures across several debtors, </w:t>
      </w:r>
      <w:proofErr w:type="gramStart"/>
      <w:r>
        <w:rPr>
          <w:rFonts w:ascii="Avenir Next" w:hAnsi="Avenir Next" w:cs="Arial"/>
          <w:color w:val="0000FF"/>
          <w:sz w:val="22"/>
          <w:szCs w:val="22"/>
          <w:lang w:val="en-GB"/>
        </w:rPr>
        <w:t>e.g.</w:t>
      </w:r>
      <w:proofErr w:type="gramEnd"/>
      <w:r>
        <w:rPr>
          <w:rFonts w:ascii="Avenir Next" w:hAnsi="Avenir Next" w:cs="Arial"/>
          <w:color w:val="0000FF"/>
          <w:sz w:val="22"/>
          <w:szCs w:val="22"/>
          <w:lang w:val="en-GB"/>
        </w:rPr>
        <w:t xml:space="preserve"> an enterprise group.</w:t>
      </w:r>
    </w:p>
    <w:p w14:paraId="18C338B9" w14:textId="2BD285AE" w:rsidR="00864246" w:rsidRPr="00864246" w:rsidRDefault="00864246" w:rsidP="00864246">
      <w:pPr>
        <w:spacing w:after="120"/>
        <w:ind w:left="360"/>
        <w:jc w:val="both"/>
        <w:rPr>
          <w:rFonts w:ascii="Avenir Next" w:hAnsi="Avenir Next" w:cs="Arial"/>
          <w:b/>
          <w:bCs/>
          <w:color w:val="0000FF"/>
          <w:sz w:val="22"/>
          <w:szCs w:val="22"/>
          <w:lang w:val="en-GB"/>
        </w:rPr>
      </w:pPr>
      <w:r w:rsidRPr="00864246">
        <w:rPr>
          <w:rFonts w:ascii="Avenir Next" w:hAnsi="Avenir Next" w:cs="Arial"/>
          <w:b/>
          <w:bCs/>
          <w:color w:val="0000FF"/>
          <w:sz w:val="22"/>
          <w:szCs w:val="22"/>
          <w:lang w:val="en-GB"/>
        </w:rPr>
        <w:t>Comment: I struggled to find five different objectives here – any advice gratefully received.</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6B027C98" w14:textId="5954C1F9" w:rsidR="00206C1D" w:rsidRPr="0009131E" w:rsidRDefault="00206C1D" w:rsidP="00206C1D">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D</w:t>
      </w:r>
      <w:r w:rsidRPr="00206C1D">
        <w:rPr>
          <w:rFonts w:ascii="Avenir Next" w:hAnsi="Avenir Next" w:cs="Arial"/>
          <w:color w:val="0000FF"/>
          <w:sz w:val="22"/>
          <w:szCs w:val="22"/>
          <w:lang w:val="en-GB"/>
        </w:rPr>
        <w:t>ifficulties that may be encountered when dealing with insolvency law in a cross-border context</w:t>
      </w:r>
      <w:r w:rsidRPr="00206C1D">
        <w:rPr>
          <w:rFonts w:ascii="Avenir Next" w:hAnsi="Avenir Next" w:cs="Arial"/>
          <w:color w:val="0000FF"/>
          <w:sz w:val="22"/>
          <w:szCs w:val="22"/>
          <w:lang w:val="en-GB"/>
        </w:rPr>
        <w:t xml:space="preserve"> </w:t>
      </w:r>
      <w:r>
        <w:rPr>
          <w:rFonts w:ascii="Avenir Next" w:hAnsi="Avenir Next" w:cs="Arial"/>
          <w:color w:val="0000FF"/>
          <w:sz w:val="22"/>
          <w:szCs w:val="22"/>
          <w:lang w:val="en-GB"/>
        </w:rPr>
        <w:t>due to d</w:t>
      </w:r>
      <w:r w:rsidRPr="0009131E">
        <w:rPr>
          <w:rFonts w:ascii="Avenir Next" w:hAnsi="Avenir Next" w:cs="Arial"/>
          <w:color w:val="0000FF"/>
          <w:sz w:val="22"/>
          <w:szCs w:val="22"/>
          <w:lang w:val="en-GB"/>
        </w:rPr>
        <w:t xml:space="preserve">ifferences </w:t>
      </w:r>
      <w:r>
        <w:rPr>
          <w:rFonts w:ascii="Avenir Next" w:hAnsi="Avenir Next" w:cs="Arial"/>
          <w:color w:val="0000FF"/>
          <w:sz w:val="22"/>
          <w:szCs w:val="22"/>
          <w:lang w:val="en-GB"/>
        </w:rPr>
        <w:t xml:space="preserve">in countries’ systems </w:t>
      </w:r>
      <w:r w:rsidRPr="0009131E">
        <w:rPr>
          <w:rFonts w:ascii="Avenir Next" w:hAnsi="Avenir Next" w:cs="Arial"/>
          <w:color w:val="0000FF"/>
          <w:sz w:val="22"/>
          <w:szCs w:val="22"/>
          <w:lang w:val="en-GB"/>
        </w:rPr>
        <w:t>include:</w:t>
      </w:r>
    </w:p>
    <w:p w14:paraId="5972BFCA" w14:textId="120C692B" w:rsidR="00206C1D" w:rsidRDefault="00206C1D" w:rsidP="00206C1D">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Some countries may have more debtor or creditor-friendly systems than others, which can create tensions. For examples, France has been notoriously debtor-friendly, certainly until amendments came into force in </w:t>
      </w:r>
      <w:proofErr w:type="gramStart"/>
      <w:r>
        <w:rPr>
          <w:rFonts w:ascii="Avenir Next" w:hAnsi="Avenir Next" w:cs="Arial"/>
          <w:color w:val="0000FF"/>
          <w:sz w:val="22"/>
          <w:szCs w:val="22"/>
          <w:lang w:val="en-GB"/>
        </w:rPr>
        <w:t>2021</w:t>
      </w:r>
      <w:r>
        <w:rPr>
          <w:rFonts w:ascii="Avenir Next" w:hAnsi="Avenir Next" w:cs="Arial"/>
          <w:color w:val="0000FF"/>
          <w:sz w:val="22"/>
          <w:szCs w:val="22"/>
          <w:lang w:val="en-GB"/>
        </w:rPr>
        <w:t>;</w:t>
      </w:r>
      <w:proofErr w:type="gramEnd"/>
    </w:p>
    <w:p w14:paraId="012B56EA" w14:textId="2F470886" w:rsidR="00206C1D" w:rsidRDefault="00206C1D" w:rsidP="00206C1D">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Domestic courts may favour their own companies at the expense of foreign creditors. For example, in </w:t>
      </w:r>
      <w:r w:rsidRPr="00206C1D">
        <w:rPr>
          <w:rFonts w:ascii="Avenir Next" w:hAnsi="Avenir Next" w:cs="Arial"/>
          <w:color w:val="0000FF"/>
          <w:sz w:val="22"/>
          <w:szCs w:val="22"/>
          <w:u w:val="single"/>
          <w:lang w:val="en-GB"/>
        </w:rPr>
        <w:t>Emerald Pasture Designated Activity Company &amp; Ors v Cassini SAS &amp; Anor</w:t>
      </w:r>
      <w:r w:rsidRPr="00206C1D">
        <w:rPr>
          <w:rFonts w:ascii="Avenir Next" w:hAnsi="Avenir Next" w:cs="Arial"/>
          <w:color w:val="0000FF"/>
          <w:sz w:val="22"/>
          <w:szCs w:val="22"/>
          <w:lang w:val="en-GB"/>
        </w:rPr>
        <w:t xml:space="preserve"> [2021] </w:t>
      </w:r>
      <w:proofErr w:type="spellStart"/>
      <w:r w:rsidRPr="00206C1D">
        <w:rPr>
          <w:rFonts w:ascii="Avenir Next" w:hAnsi="Avenir Next" w:cs="Arial"/>
          <w:color w:val="0000FF"/>
          <w:sz w:val="22"/>
          <w:szCs w:val="22"/>
          <w:lang w:val="en-GB"/>
        </w:rPr>
        <w:t>EWHC</w:t>
      </w:r>
      <w:proofErr w:type="spellEnd"/>
      <w:r w:rsidRPr="00206C1D">
        <w:rPr>
          <w:rFonts w:ascii="Avenir Next" w:hAnsi="Avenir Next" w:cs="Arial"/>
          <w:color w:val="0000FF"/>
          <w:sz w:val="22"/>
          <w:szCs w:val="22"/>
          <w:lang w:val="en-GB"/>
        </w:rPr>
        <w:t xml:space="preserve"> 2443 (Ch) (27 August 2021)</w:t>
      </w:r>
      <w:r>
        <w:rPr>
          <w:rFonts w:ascii="Avenir Next" w:hAnsi="Avenir Next" w:cs="Arial"/>
          <w:color w:val="0000FF"/>
          <w:sz w:val="22"/>
          <w:szCs w:val="22"/>
          <w:lang w:val="en-GB"/>
        </w:rPr>
        <w:t>, the French courts appeared to the creditors to be heavily favouring French debtors at the expense of the English and US creditor hedge funds.</w:t>
      </w:r>
    </w:p>
    <w:p w14:paraId="531EC9EE" w14:textId="79E5893C" w:rsidR="00206C1D" w:rsidRDefault="00206C1D" w:rsidP="00206C1D">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 standards of insolvency law, court systems and judges can vary greatly and in less developed countries this can be an issue.</w:t>
      </w:r>
    </w:p>
    <w:p w14:paraId="75CECEC3" w14:textId="3308B215" w:rsidR="00206C1D" w:rsidRDefault="00206C1D" w:rsidP="00206C1D">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There can be tensions between universalist jurisdictions and those which retain a territorial approach. While the former is gaining prevalence in developed jurisdictions, </w:t>
      </w:r>
      <w:proofErr w:type="gramStart"/>
      <w:r>
        <w:rPr>
          <w:rFonts w:ascii="Avenir Next" w:hAnsi="Avenir Next" w:cs="Arial"/>
          <w:color w:val="0000FF"/>
          <w:sz w:val="22"/>
          <w:szCs w:val="22"/>
          <w:lang w:val="en-GB"/>
        </w:rPr>
        <w:t>e.g.</w:t>
      </w:r>
      <w:proofErr w:type="gramEnd"/>
      <w:r>
        <w:rPr>
          <w:rFonts w:ascii="Avenir Next" w:hAnsi="Avenir Next" w:cs="Arial"/>
          <w:color w:val="0000FF"/>
          <w:sz w:val="22"/>
          <w:szCs w:val="22"/>
          <w:lang w:val="en-GB"/>
        </w:rPr>
        <w:t xml:space="preserve"> Singapore moved notably away towards it in recent years, the theoretical risk remains.</w:t>
      </w:r>
    </w:p>
    <w:p w14:paraId="6FA48D38" w14:textId="4AD9460F" w:rsidR="00206C1D" w:rsidRDefault="00206C1D" w:rsidP="00206C1D">
      <w:pPr>
        <w:pStyle w:val="ListParagraph"/>
        <w:numPr>
          <w:ilvl w:val="0"/>
          <w:numId w:val="2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Certain assets may require domestic courts to </w:t>
      </w:r>
      <w:r w:rsidR="00BE5FB5">
        <w:rPr>
          <w:rFonts w:ascii="Avenir Next" w:hAnsi="Avenir Next" w:cs="Arial"/>
          <w:color w:val="0000FF"/>
          <w:sz w:val="22"/>
          <w:szCs w:val="22"/>
          <w:lang w:val="en-GB"/>
        </w:rPr>
        <w:t xml:space="preserve">play a heavier role than may otherwise be desirable, for example if there are employment implications in a restructuring then there may be overarching domestic legislation which requires the oversight and control of a domestic court rather than the court in the </w:t>
      </w:r>
      <w:proofErr w:type="spellStart"/>
      <w:r w:rsidR="00BE5FB5">
        <w:rPr>
          <w:rFonts w:ascii="Avenir Next" w:hAnsi="Avenir Next" w:cs="Arial"/>
          <w:color w:val="0000FF"/>
          <w:sz w:val="22"/>
          <w:szCs w:val="22"/>
          <w:lang w:val="en-GB"/>
        </w:rPr>
        <w:t>COMI</w:t>
      </w:r>
      <w:proofErr w:type="spellEnd"/>
      <w:r w:rsidR="00BE5FB5">
        <w:rPr>
          <w:rFonts w:ascii="Avenir Next" w:hAnsi="Avenir Next" w:cs="Arial"/>
          <w:color w:val="0000FF"/>
          <w:sz w:val="22"/>
          <w:szCs w:val="22"/>
          <w:lang w:val="en-GB"/>
        </w:rPr>
        <w:t xml:space="preserve"> which otherwise would be best placed to manage a restructuring.</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0C66A507" w14:textId="5FE83322" w:rsidR="00BE5FB5" w:rsidRPr="0009131E" w:rsidRDefault="00BE5FB5" w:rsidP="00BE5FB5">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M</w:t>
      </w:r>
      <w:r w:rsidRPr="00BE5FB5">
        <w:rPr>
          <w:rFonts w:ascii="Avenir Next" w:hAnsi="Avenir Next" w:cs="Arial"/>
          <w:color w:val="0000FF"/>
          <w:sz w:val="22"/>
          <w:szCs w:val="22"/>
          <w:lang w:val="en-GB"/>
        </w:rPr>
        <w:t>ultilateral steps taken in the 21st century to promote harmonisation of domestic insolvency laws</w:t>
      </w:r>
      <w:r>
        <w:rPr>
          <w:rFonts w:ascii="Avenir Next" w:hAnsi="Avenir Next" w:cs="Arial"/>
          <w:color w:val="0000FF"/>
          <w:sz w:val="22"/>
          <w:szCs w:val="22"/>
          <w:lang w:val="en-GB"/>
        </w:rPr>
        <w:t>, and their impact, include:</w:t>
      </w:r>
    </w:p>
    <w:p w14:paraId="58D5A661" w14:textId="0A076A4C" w:rsidR="00BE5FB5" w:rsidRDefault="00BE5FB5" w:rsidP="00BE5FB5">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Regional treaties to encourage harmonisation within geographic and/or economic zones. </w:t>
      </w:r>
      <w:r w:rsidRPr="00BE5FB5">
        <w:rPr>
          <w:rFonts w:ascii="Avenir Next" w:hAnsi="Avenir Next" w:cs="Arial"/>
          <w:color w:val="0000FF"/>
          <w:sz w:val="22"/>
          <w:szCs w:val="22"/>
          <w:lang w:val="en-GB"/>
        </w:rPr>
        <w:t>Regulation (EU) 2015/848 of the European Parliament and of the Council of 20 May 2015 on Insolvency Proceedings (Recast) (</w:t>
      </w:r>
      <w:r w:rsidRPr="00BE5FB5">
        <w:rPr>
          <w:rFonts w:ascii="Avenir Next" w:hAnsi="Avenir Next" w:cs="Arial"/>
          <w:b/>
          <w:bCs/>
          <w:color w:val="0000FF"/>
          <w:sz w:val="22"/>
          <w:szCs w:val="22"/>
          <w:lang w:val="en-GB"/>
        </w:rPr>
        <w:t>EIR Recast</w:t>
      </w:r>
      <w:r w:rsidRPr="00BE5FB5">
        <w:rPr>
          <w:rFonts w:ascii="Avenir Next" w:hAnsi="Avenir Next" w:cs="Arial"/>
          <w:color w:val="0000FF"/>
          <w:sz w:val="22"/>
          <w:szCs w:val="22"/>
          <w:lang w:val="en-GB"/>
        </w:rPr>
        <w:t>)</w:t>
      </w:r>
      <w:r w:rsidRPr="00BE5FB5">
        <w:rPr>
          <w:rFonts w:ascii="Avenir Next" w:hAnsi="Avenir Next" w:cs="Arial"/>
          <w:color w:val="0000FF"/>
          <w:sz w:val="22"/>
          <w:szCs w:val="22"/>
          <w:lang w:val="en-GB"/>
        </w:rPr>
        <w:t xml:space="preserve"> i</w:t>
      </w:r>
      <w:r>
        <w:rPr>
          <w:rFonts w:ascii="Avenir Next" w:hAnsi="Avenir Next" w:cs="Arial"/>
          <w:color w:val="0000FF"/>
          <w:sz w:val="22"/>
          <w:szCs w:val="22"/>
          <w:lang w:val="en-GB"/>
        </w:rPr>
        <w:t>s the most obvious. These have had a major impact and have enabled spurious attempts deny jurisdiction to legitimate claims (</w:t>
      </w:r>
      <w:proofErr w:type="gramStart"/>
      <w:r>
        <w:rPr>
          <w:rFonts w:ascii="Avenir Next" w:hAnsi="Avenir Next" w:cs="Arial"/>
          <w:color w:val="0000FF"/>
          <w:sz w:val="22"/>
          <w:szCs w:val="22"/>
          <w:lang w:val="en-GB"/>
        </w:rPr>
        <w:t>e.g.</w:t>
      </w:r>
      <w:proofErr w:type="gramEnd"/>
      <w:r>
        <w:rPr>
          <w:rFonts w:ascii="Avenir Next" w:hAnsi="Avenir Next" w:cs="Arial"/>
          <w:color w:val="0000FF"/>
          <w:sz w:val="22"/>
          <w:szCs w:val="22"/>
          <w:lang w:val="en-GB"/>
        </w:rPr>
        <w:t xml:space="preserve"> see </w:t>
      </w:r>
      <w:r w:rsidRPr="00BE5FB5">
        <w:rPr>
          <w:rFonts w:ascii="Avenir Next" w:hAnsi="Avenir Next" w:cs="Arial"/>
          <w:color w:val="0000FF"/>
          <w:sz w:val="22"/>
          <w:szCs w:val="22"/>
          <w:u w:val="single"/>
          <w:lang w:val="en-GB"/>
        </w:rPr>
        <w:t>Emerald Pasture Designated Activity Company &amp; Ors v Cassini SAS &amp; Anor</w:t>
      </w:r>
      <w:r w:rsidRPr="00BE5FB5">
        <w:rPr>
          <w:rFonts w:ascii="Avenir Next" w:hAnsi="Avenir Next" w:cs="Arial"/>
          <w:color w:val="0000FF"/>
          <w:sz w:val="22"/>
          <w:szCs w:val="22"/>
          <w:lang w:val="en-GB"/>
        </w:rPr>
        <w:t xml:space="preserve"> [2021] </w:t>
      </w:r>
      <w:proofErr w:type="spellStart"/>
      <w:r w:rsidRPr="00BE5FB5">
        <w:rPr>
          <w:rFonts w:ascii="Avenir Next" w:hAnsi="Avenir Next" w:cs="Arial"/>
          <w:color w:val="0000FF"/>
          <w:sz w:val="22"/>
          <w:szCs w:val="22"/>
          <w:lang w:val="en-GB"/>
        </w:rPr>
        <w:t>EWHC</w:t>
      </w:r>
      <w:proofErr w:type="spellEnd"/>
      <w:r w:rsidRPr="00BE5FB5">
        <w:rPr>
          <w:rFonts w:ascii="Avenir Next" w:hAnsi="Avenir Next" w:cs="Arial"/>
          <w:color w:val="0000FF"/>
          <w:sz w:val="22"/>
          <w:szCs w:val="22"/>
          <w:lang w:val="en-GB"/>
        </w:rPr>
        <w:t xml:space="preserve"> 2010 (Ch) (16 July 2021)</w:t>
      </w:r>
      <w:r>
        <w:rPr>
          <w:rFonts w:ascii="Avenir Next" w:hAnsi="Avenir Next" w:cs="Arial"/>
          <w:color w:val="0000FF"/>
          <w:sz w:val="22"/>
          <w:szCs w:val="22"/>
          <w:lang w:val="en-GB"/>
        </w:rPr>
        <w:t>, in which a French debtor failed in its jurisdiction challenge).</w:t>
      </w:r>
    </w:p>
    <w:p w14:paraId="59859D34" w14:textId="79539664" w:rsidR="00BE5FB5" w:rsidRDefault="00BE5FB5" w:rsidP="00BE5FB5">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International soft law, notably the UNCITRAL </w:t>
      </w:r>
      <w:r w:rsidRPr="00BE5FB5">
        <w:rPr>
          <w:rFonts w:ascii="Avenir Next" w:hAnsi="Avenir Next" w:cs="Arial"/>
          <w:color w:val="0000FF"/>
          <w:sz w:val="22"/>
          <w:szCs w:val="22"/>
          <w:lang w:val="en-GB"/>
        </w:rPr>
        <w:t>Model Law on Cross-border Insolvency (</w:t>
      </w:r>
      <w:r w:rsidRPr="00BE5FB5">
        <w:rPr>
          <w:rFonts w:ascii="Avenir Next" w:hAnsi="Avenir Next" w:cs="Arial"/>
          <w:b/>
          <w:bCs/>
          <w:color w:val="0000FF"/>
          <w:sz w:val="22"/>
          <w:szCs w:val="22"/>
          <w:lang w:val="en-GB"/>
        </w:rPr>
        <w:t>MLCBI</w:t>
      </w:r>
      <w:r w:rsidRPr="00BE5FB5">
        <w:rPr>
          <w:rFonts w:ascii="Avenir Next" w:hAnsi="Avenir Next" w:cs="Arial"/>
          <w:color w:val="0000FF"/>
          <w:sz w:val="22"/>
          <w:szCs w:val="22"/>
          <w:lang w:val="en-GB"/>
        </w:rPr>
        <w:t>)</w:t>
      </w:r>
      <w:r>
        <w:rPr>
          <w:rFonts w:ascii="Avenir Next" w:hAnsi="Avenir Next" w:cs="Arial"/>
          <w:color w:val="0000FF"/>
          <w:sz w:val="22"/>
          <w:szCs w:val="22"/>
          <w:lang w:val="en-GB"/>
        </w:rPr>
        <w:t>, which has provided superb thought leadership in the form of a best practice exemplar for countries to emulate.</w:t>
      </w:r>
      <w:r w:rsidR="00B16250">
        <w:rPr>
          <w:rFonts w:ascii="Avenir Next" w:hAnsi="Avenir Next" w:cs="Arial"/>
          <w:color w:val="0000FF"/>
          <w:sz w:val="22"/>
          <w:szCs w:val="22"/>
          <w:lang w:val="en-GB"/>
        </w:rPr>
        <w:t xml:space="preserve"> The benefit of this has been to offer a ‘neutral’ best practice model which is less prone to being considered </w:t>
      </w:r>
    </w:p>
    <w:p w14:paraId="74AFF076" w14:textId="0536BBE4" w:rsidR="00BE5FB5" w:rsidRDefault="00BE5FB5" w:rsidP="007774B9">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sidRPr="00BE5FB5">
        <w:rPr>
          <w:rFonts w:ascii="Avenir Next" w:hAnsi="Avenir Next" w:cs="Arial"/>
          <w:color w:val="0000FF"/>
          <w:sz w:val="22"/>
          <w:szCs w:val="22"/>
          <w:lang w:val="en-GB"/>
        </w:rPr>
        <w:t xml:space="preserve">Judicial cooperation. For example, episode 10 of the recent </w:t>
      </w:r>
      <w:proofErr w:type="spellStart"/>
      <w:r w:rsidRPr="00BE5FB5">
        <w:rPr>
          <w:rFonts w:ascii="Avenir Next" w:hAnsi="Avenir Next" w:cs="Arial"/>
          <w:color w:val="0000FF"/>
          <w:sz w:val="22"/>
          <w:szCs w:val="22"/>
          <w:lang w:val="en-GB"/>
        </w:rPr>
        <w:t>INSOL</w:t>
      </w:r>
      <w:proofErr w:type="spellEnd"/>
      <w:r w:rsidRPr="00BE5FB5">
        <w:rPr>
          <w:rFonts w:ascii="Avenir Next" w:hAnsi="Avenir Next" w:cs="Arial"/>
          <w:color w:val="0000FF"/>
          <w:sz w:val="22"/>
          <w:szCs w:val="22"/>
          <w:lang w:val="en-GB"/>
        </w:rPr>
        <w:t xml:space="preserve"> podcast series </w:t>
      </w:r>
      <w:r w:rsidR="00B16250">
        <w:rPr>
          <w:rFonts w:ascii="Avenir Next" w:hAnsi="Avenir Next" w:cs="Arial"/>
          <w:color w:val="0000FF"/>
          <w:sz w:val="22"/>
          <w:szCs w:val="22"/>
          <w:lang w:val="en-GB"/>
        </w:rPr>
        <w:t>(</w:t>
      </w:r>
      <w:hyperlink r:id="rId9" w:history="1">
        <w:r w:rsidR="00B16250" w:rsidRPr="009C3F91">
          <w:rPr>
            <w:rStyle w:val="Hyperlink"/>
            <w:rFonts w:ascii="Avenir Next" w:hAnsi="Avenir Next" w:cs="Arial"/>
            <w:sz w:val="22"/>
            <w:szCs w:val="22"/>
            <w:lang w:val="en-GB"/>
          </w:rPr>
          <w:t>https://www.insol.org/Focus-Groups/Academic-Group/Events-and-Podcasts</w:t>
        </w:r>
      </w:hyperlink>
      <w:r w:rsidR="00B16250">
        <w:rPr>
          <w:rFonts w:ascii="Avenir Next" w:hAnsi="Avenir Next" w:cs="Arial"/>
          <w:color w:val="0000FF"/>
          <w:sz w:val="22"/>
          <w:szCs w:val="22"/>
          <w:lang w:val="en-GB"/>
        </w:rPr>
        <w:t xml:space="preserve">) </w:t>
      </w:r>
      <w:r w:rsidRPr="00BE5FB5">
        <w:rPr>
          <w:rFonts w:ascii="Avenir Next" w:hAnsi="Avenir Next" w:cs="Arial"/>
          <w:color w:val="0000FF"/>
          <w:sz w:val="22"/>
          <w:szCs w:val="22"/>
          <w:lang w:val="en-GB"/>
        </w:rPr>
        <w:t xml:space="preserve">interviewed </w:t>
      </w:r>
      <w:r w:rsidRPr="00BE5FB5">
        <w:rPr>
          <w:rFonts w:ascii="Avenir Next" w:hAnsi="Avenir Next" w:cs="Arial"/>
          <w:color w:val="0000FF"/>
          <w:sz w:val="22"/>
          <w:szCs w:val="22"/>
          <w:lang w:val="en-GB"/>
        </w:rPr>
        <w:t xml:space="preserve">The Honourable Justice Kannan Ramesh, </w:t>
      </w:r>
      <w:r>
        <w:rPr>
          <w:rFonts w:ascii="Avenir Next" w:hAnsi="Avenir Next" w:cs="Arial"/>
          <w:color w:val="0000FF"/>
          <w:sz w:val="22"/>
          <w:szCs w:val="22"/>
          <w:lang w:val="en-GB"/>
        </w:rPr>
        <w:t xml:space="preserve">of the </w:t>
      </w:r>
      <w:r w:rsidRPr="00BE5FB5">
        <w:rPr>
          <w:rFonts w:ascii="Avenir Next" w:hAnsi="Avenir Next" w:cs="Arial"/>
          <w:color w:val="0000FF"/>
          <w:sz w:val="22"/>
          <w:szCs w:val="22"/>
          <w:lang w:val="en-GB"/>
        </w:rPr>
        <w:t>Supreme Court of Singapore</w:t>
      </w:r>
      <w:r>
        <w:rPr>
          <w:rFonts w:ascii="Avenir Next" w:hAnsi="Avenir Next" w:cs="Arial"/>
          <w:color w:val="0000FF"/>
          <w:sz w:val="22"/>
          <w:szCs w:val="22"/>
          <w:lang w:val="en-GB"/>
        </w:rPr>
        <w:t xml:space="preserve">, who discussed the success of the </w:t>
      </w:r>
      <w:r w:rsidRPr="00BE5FB5">
        <w:rPr>
          <w:rFonts w:ascii="Avenir Next" w:hAnsi="Avenir Next" w:cs="Arial"/>
          <w:color w:val="0000FF"/>
          <w:sz w:val="22"/>
          <w:szCs w:val="22"/>
          <w:lang w:val="en-GB"/>
        </w:rPr>
        <w:t>Judicial Insolvency Network</w:t>
      </w:r>
      <w:r>
        <w:rPr>
          <w:rFonts w:ascii="Avenir Next" w:hAnsi="Avenir Next" w:cs="Arial"/>
          <w:color w:val="0000FF"/>
          <w:sz w:val="22"/>
          <w:szCs w:val="22"/>
          <w:lang w:val="en-GB"/>
        </w:rPr>
        <w:t xml:space="preserve"> (</w:t>
      </w:r>
      <w:hyperlink r:id="rId10" w:history="1">
        <w:r w:rsidRPr="009C3F91">
          <w:rPr>
            <w:rStyle w:val="Hyperlink"/>
            <w:rFonts w:ascii="Avenir Next" w:hAnsi="Avenir Next" w:cs="Arial"/>
            <w:sz w:val="22"/>
            <w:szCs w:val="22"/>
            <w:lang w:val="en-GB"/>
          </w:rPr>
          <w:t>http://jin-global.org/</w:t>
        </w:r>
      </w:hyperlink>
      <w:r>
        <w:rPr>
          <w:rFonts w:ascii="Avenir Next" w:hAnsi="Avenir Next" w:cs="Arial"/>
          <w:color w:val="0000FF"/>
          <w:sz w:val="22"/>
          <w:szCs w:val="22"/>
          <w:lang w:val="en-GB"/>
        </w:rPr>
        <w:t xml:space="preserve">) in </w:t>
      </w:r>
      <w:r w:rsidR="00B16250">
        <w:rPr>
          <w:rFonts w:ascii="Avenir Next" w:hAnsi="Avenir Next" w:cs="Arial"/>
          <w:color w:val="0000FF"/>
          <w:sz w:val="22"/>
          <w:szCs w:val="22"/>
          <w:lang w:val="en-GB"/>
        </w:rPr>
        <w:t>assisting the harmonisation of domestic laws.</w:t>
      </w:r>
    </w:p>
    <w:p w14:paraId="1FD2C4FD" w14:textId="27362FB7" w:rsidR="00B16250" w:rsidRDefault="00B16250" w:rsidP="007774B9">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efforts of </w:t>
      </w:r>
      <w:proofErr w:type="spellStart"/>
      <w:r>
        <w:rPr>
          <w:rFonts w:ascii="Avenir Next" w:hAnsi="Avenir Next" w:cs="Arial"/>
          <w:color w:val="0000FF"/>
          <w:sz w:val="22"/>
          <w:szCs w:val="22"/>
          <w:lang w:val="en-GB"/>
        </w:rPr>
        <w:t>INSOL</w:t>
      </w:r>
      <w:proofErr w:type="spellEnd"/>
      <w:r>
        <w:rPr>
          <w:rFonts w:ascii="Avenir Next" w:hAnsi="Avenir Next" w:cs="Arial"/>
          <w:color w:val="0000FF"/>
          <w:sz w:val="22"/>
          <w:szCs w:val="22"/>
          <w:lang w:val="en-GB"/>
        </w:rPr>
        <w:t xml:space="preserve"> itself to identify issues and promote solutions including harmonisation have been extremely successful.</w:t>
      </w:r>
      <w:r w:rsidR="00FD4F1A">
        <w:rPr>
          <w:rFonts w:ascii="Avenir Next" w:hAnsi="Avenir Next" w:cs="Arial"/>
          <w:color w:val="0000FF"/>
          <w:sz w:val="22"/>
          <w:szCs w:val="22"/>
          <w:lang w:val="en-GB"/>
        </w:rPr>
        <w:t xml:space="preserve"> See any </w:t>
      </w:r>
      <w:proofErr w:type="spellStart"/>
      <w:r w:rsidR="00FD4F1A">
        <w:rPr>
          <w:rFonts w:ascii="Avenir Next" w:hAnsi="Avenir Next" w:cs="Arial"/>
          <w:color w:val="0000FF"/>
          <w:sz w:val="22"/>
          <w:szCs w:val="22"/>
          <w:lang w:val="en-GB"/>
        </w:rPr>
        <w:t>INSOL</w:t>
      </w:r>
      <w:proofErr w:type="spellEnd"/>
      <w:r w:rsidR="00FD4F1A">
        <w:rPr>
          <w:rFonts w:ascii="Avenir Next" w:hAnsi="Avenir Next" w:cs="Arial"/>
          <w:color w:val="0000FF"/>
          <w:sz w:val="22"/>
          <w:szCs w:val="22"/>
          <w:lang w:val="en-GB"/>
        </w:rPr>
        <w:t xml:space="preserve"> conference, and the impact that </w:t>
      </w:r>
      <w:proofErr w:type="spellStart"/>
      <w:r w:rsidR="00FD4F1A">
        <w:rPr>
          <w:rFonts w:ascii="Avenir Next" w:hAnsi="Avenir Next" w:cs="Arial"/>
          <w:color w:val="0000FF"/>
          <w:sz w:val="22"/>
          <w:szCs w:val="22"/>
          <w:lang w:val="en-GB"/>
        </w:rPr>
        <w:t>INSOL</w:t>
      </w:r>
      <w:proofErr w:type="spellEnd"/>
      <w:r w:rsidR="00FD4F1A">
        <w:rPr>
          <w:rFonts w:ascii="Avenir Next" w:hAnsi="Avenir Next" w:cs="Arial"/>
          <w:color w:val="0000FF"/>
          <w:sz w:val="22"/>
          <w:szCs w:val="22"/>
          <w:lang w:val="en-GB"/>
        </w:rPr>
        <w:t xml:space="preserve"> members then have on their respective governments – particularly in responsive governments in international financial centres, </w:t>
      </w:r>
      <w:proofErr w:type="gramStart"/>
      <w:r w:rsidR="00FD4F1A">
        <w:rPr>
          <w:rFonts w:ascii="Avenir Next" w:hAnsi="Avenir Next" w:cs="Arial"/>
          <w:color w:val="0000FF"/>
          <w:sz w:val="22"/>
          <w:szCs w:val="22"/>
          <w:lang w:val="en-GB"/>
        </w:rPr>
        <w:t>e.g.</w:t>
      </w:r>
      <w:proofErr w:type="gramEnd"/>
      <w:r w:rsidR="00FD4F1A">
        <w:rPr>
          <w:rFonts w:ascii="Avenir Next" w:hAnsi="Avenir Next" w:cs="Arial"/>
          <w:color w:val="0000FF"/>
          <w:sz w:val="22"/>
          <w:szCs w:val="22"/>
          <w:lang w:val="en-GB"/>
        </w:rPr>
        <w:t xml:space="preserve"> Cayman, </w:t>
      </w:r>
      <w:proofErr w:type="spellStart"/>
      <w:r w:rsidR="00FD4F1A">
        <w:rPr>
          <w:rFonts w:ascii="Avenir Next" w:hAnsi="Avenir Next" w:cs="Arial"/>
          <w:color w:val="0000FF"/>
          <w:sz w:val="22"/>
          <w:szCs w:val="22"/>
          <w:lang w:val="en-GB"/>
        </w:rPr>
        <w:t>BVI</w:t>
      </w:r>
      <w:proofErr w:type="spellEnd"/>
      <w:r w:rsidR="00FD4F1A">
        <w:rPr>
          <w:rFonts w:ascii="Avenir Next" w:hAnsi="Avenir Next" w:cs="Arial"/>
          <w:color w:val="0000FF"/>
          <w:sz w:val="22"/>
          <w:szCs w:val="22"/>
          <w:lang w:val="en-GB"/>
        </w:rPr>
        <w:t>, etc.</w:t>
      </w:r>
    </w:p>
    <w:p w14:paraId="5DCBD0B0" w14:textId="4B4A84F7" w:rsidR="00FD4F1A" w:rsidRPr="00FD4F1A" w:rsidRDefault="00FD4F1A" w:rsidP="00FD4F1A">
      <w:pPr>
        <w:spacing w:after="120"/>
        <w:jc w:val="both"/>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 xml:space="preserve">Comment: I struggled to find five different </w:t>
      </w:r>
      <w:r>
        <w:rPr>
          <w:rFonts w:ascii="Avenir Next" w:hAnsi="Avenir Next" w:cs="Arial"/>
          <w:b/>
          <w:bCs/>
          <w:color w:val="0000FF"/>
          <w:sz w:val="22"/>
          <w:szCs w:val="22"/>
          <w:lang w:val="en-GB"/>
        </w:rPr>
        <w:t xml:space="preserve">steps </w:t>
      </w:r>
      <w:r w:rsidRPr="00FD4F1A">
        <w:rPr>
          <w:rFonts w:ascii="Avenir Next" w:hAnsi="Avenir Next" w:cs="Arial"/>
          <w:b/>
          <w:bCs/>
          <w:color w:val="0000FF"/>
          <w:sz w:val="22"/>
          <w:szCs w:val="22"/>
          <w:lang w:val="en-GB"/>
        </w:rPr>
        <w:t>here – any advice gratefully received.</w:t>
      </w:r>
      <w:r>
        <w:rPr>
          <w:rFonts w:ascii="Avenir Next" w:hAnsi="Avenir Next" w:cs="Arial"/>
          <w:b/>
          <w:bCs/>
          <w:color w:val="0000FF"/>
          <w:sz w:val="22"/>
          <w:szCs w:val="22"/>
          <w:lang w:val="en-GB"/>
        </w:rPr>
        <w:t xml:space="preserve"> For example, does the fact that there are five marks require five distinct points? Also, are bullet </w:t>
      </w:r>
      <w:proofErr w:type="gramStart"/>
      <w:r>
        <w:rPr>
          <w:rFonts w:ascii="Avenir Next" w:hAnsi="Avenir Next" w:cs="Arial"/>
          <w:b/>
          <w:bCs/>
          <w:color w:val="0000FF"/>
          <w:sz w:val="22"/>
          <w:szCs w:val="22"/>
          <w:lang w:val="en-GB"/>
        </w:rPr>
        <w:t>points</w:t>
      </w:r>
      <w:proofErr w:type="gramEnd"/>
      <w:r>
        <w:rPr>
          <w:rFonts w:ascii="Avenir Next" w:hAnsi="Avenir Next" w:cs="Arial"/>
          <w:b/>
          <w:bCs/>
          <w:color w:val="0000FF"/>
          <w:sz w:val="22"/>
          <w:szCs w:val="22"/>
          <w:lang w:val="en-GB"/>
        </w:rPr>
        <w:t xml:space="preserve"> OK? Clients and partners usually prefer bullet points, but I appreciate that academic writing can prefer flowing prose.</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60938B22" w14:textId="77777777" w:rsidR="00FD4F1A" w:rsidRDefault="00FD4F1A" w:rsidP="00FD4F1A">
      <w:pPr>
        <w:spacing w:after="120"/>
        <w:jc w:val="both"/>
        <w:rPr>
          <w:rFonts w:ascii="Avenir Next" w:hAnsi="Avenir Next" w:cs="Arial"/>
          <w:color w:val="0000FF"/>
          <w:sz w:val="22"/>
          <w:szCs w:val="22"/>
          <w:lang w:val="en-GB"/>
        </w:rPr>
      </w:pPr>
    </w:p>
    <w:tbl>
      <w:tblPr>
        <w:tblStyle w:val="TableGrid"/>
        <w:tblW w:w="0" w:type="auto"/>
        <w:tblLook w:val="04A0" w:firstRow="1" w:lastRow="0" w:firstColumn="1" w:lastColumn="0" w:noHBand="0" w:noVBand="1"/>
      </w:tblPr>
      <w:tblGrid>
        <w:gridCol w:w="2119"/>
        <w:gridCol w:w="2062"/>
        <w:gridCol w:w="1979"/>
        <w:gridCol w:w="1612"/>
      </w:tblGrid>
      <w:tr w:rsidR="00FD4F1A" w14:paraId="6D87FDEF" w14:textId="20D309C9" w:rsidTr="000B78C0">
        <w:tc>
          <w:tcPr>
            <w:tcW w:w="0" w:type="auto"/>
          </w:tcPr>
          <w:p w14:paraId="1832CCC0" w14:textId="1525AD5E" w:rsidR="00FD4F1A" w:rsidRPr="00FD4F1A" w:rsidRDefault="00FD4F1A" w:rsidP="00200170">
            <w:pPr>
              <w:jc w:val="both"/>
              <w:rPr>
                <w:rFonts w:ascii="Avenir Next" w:hAnsi="Avenir Next" w:cs="Arial"/>
                <w:b/>
                <w:bCs/>
                <w:color w:val="0000FF"/>
                <w:sz w:val="22"/>
                <w:szCs w:val="22"/>
                <w:lang w:val="en-GB"/>
              </w:rPr>
            </w:pPr>
          </w:p>
        </w:tc>
        <w:tc>
          <w:tcPr>
            <w:tcW w:w="0" w:type="auto"/>
          </w:tcPr>
          <w:p w14:paraId="6FE5923A" w14:textId="77777777" w:rsidR="00FD4F1A" w:rsidRPr="00FD4F1A" w:rsidRDefault="00FD4F1A" w:rsidP="00200170">
            <w:pPr>
              <w:jc w:val="both"/>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Debtor</w:t>
            </w:r>
          </w:p>
        </w:tc>
        <w:tc>
          <w:tcPr>
            <w:tcW w:w="0" w:type="auto"/>
          </w:tcPr>
          <w:p w14:paraId="5527A8EA" w14:textId="77777777" w:rsidR="00FD4F1A" w:rsidRPr="00FD4F1A" w:rsidRDefault="00FD4F1A" w:rsidP="00200170">
            <w:pPr>
              <w:jc w:val="both"/>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Creditor</w:t>
            </w:r>
          </w:p>
        </w:tc>
        <w:tc>
          <w:tcPr>
            <w:tcW w:w="0" w:type="auto"/>
          </w:tcPr>
          <w:p w14:paraId="5B2B1FE3" w14:textId="5A736AD9" w:rsidR="00FD4F1A" w:rsidRPr="00FD4F1A" w:rsidRDefault="00FD4F1A" w:rsidP="00200170">
            <w:pPr>
              <w:jc w:val="both"/>
              <w:rPr>
                <w:rFonts w:ascii="Avenir Next" w:hAnsi="Avenir Next" w:cs="Arial"/>
                <w:b/>
                <w:bCs/>
                <w:color w:val="0000FF"/>
                <w:sz w:val="22"/>
                <w:szCs w:val="22"/>
                <w:lang w:val="en-GB"/>
              </w:rPr>
            </w:pPr>
            <w:r>
              <w:rPr>
                <w:rFonts w:ascii="Avenir Next" w:hAnsi="Avenir Next" w:cs="Arial"/>
                <w:b/>
                <w:bCs/>
                <w:color w:val="0000FF"/>
                <w:sz w:val="22"/>
                <w:szCs w:val="22"/>
                <w:lang w:val="en-GB"/>
              </w:rPr>
              <w:t>Other creditors</w:t>
            </w:r>
          </w:p>
        </w:tc>
      </w:tr>
      <w:tr w:rsidR="00FD4F1A" w14:paraId="05DD1D7B" w14:textId="20732654" w:rsidTr="000B78C0">
        <w:tc>
          <w:tcPr>
            <w:tcW w:w="0" w:type="auto"/>
          </w:tcPr>
          <w:p w14:paraId="465DFC06" w14:textId="00721278" w:rsidR="00FD4F1A" w:rsidRPr="00FD4F1A" w:rsidRDefault="00FD4F1A" w:rsidP="00FD4F1A">
            <w:pPr>
              <w:jc w:val="both"/>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Company</w:t>
            </w:r>
          </w:p>
        </w:tc>
        <w:tc>
          <w:tcPr>
            <w:tcW w:w="0" w:type="auto"/>
          </w:tcPr>
          <w:p w14:paraId="1E9A55D6" w14:textId="0D8567F6" w:rsidR="00FD4F1A" w:rsidRPr="00FD4F1A" w:rsidRDefault="00FD4F1A" w:rsidP="00FD4F1A">
            <w:pPr>
              <w:jc w:val="both"/>
              <w:rPr>
                <w:rFonts w:ascii="Avenir Next" w:hAnsi="Avenir Next" w:cs="Arial"/>
                <w:color w:val="0000FF"/>
                <w:sz w:val="22"/>
                <w:szCs w:val="22"/>
                <w:lang w:val="en-GB"/>
              </w:rPr>
            </w:pPr>
            <w:r w:rsidRPr="00FD4F1A">
              <w:rPr>
                <w:rFonts w:ascii="Avenir Next" w:hAnsi="Avenir Next" w:cs="Arial"/>
                <w:color w:val="0000FF"/>
                <w:sz w:val="22"/>
                <w:szCs w:val="22"/>
                <w:lang w:val="en-GB"/>
              </w:rPr>
              <w:t>Nadir Pty Ltd (</w:t>
            </w:r>
            <w:r w:rsidRPr="003E2E59">
              <w:rPr>
                <w:rFonts w:ascii="Avenir Next" w:hAnsi="Avenir Next" w:cs="Arial"/>
                <w:b/>
                <w:bCs/>
                <w:color w:val="0000FF"/>
                <w:sz w:val="22"/>
                <w:szCs w:val="22"/>
                <w:lang w:val="en-GB"/>
              </w:rPr>
              <w:t>Nadir</w:t>
            </w:r>
            <w:r w:rsidRPr="00FD4F1A">
              <w:rPr>
                <w:rFonts w:ascii="Avenir Next" w:hAnsi="Avenir Next" w:cs="Arial"/>
                <w:color w:val="0000FF"/>
                <w:sz w:val="22"/>
                <w:szCs w:val="22"/>
                <w:lang w:val="en-GB"/>
              </w:rPr>
              <w:t>)</w:t>
            </w:r>
          </w:p>
        </w:tc>
        <w:tc>
          <w:tcPr>
            <w:tcW w:w="0" w:type="auto"/>
          </w:tcPr>
          <w:p w14:paraId="21DBBC8C" w14:textId="5C04BFD2" w:rsidR="00FD4F1A" w:rsidRDefault="00FD4F1A" w:rsidP="00FD4F1A">
            <w:pPr>
              <w:jc w:val="both"/>
              <w:rPr>
                <w:rFonts w:ascii="Avenir Next" w:hAnsi="Avenir Next" w:cs="Arial"/>
                <w:color w:val="0000FF"/>
                <w:sz w:val="22"/>
                <w:szCs w:val="22"/>
                <w:lang w:val="en-GB"/>
              </w:rPr>
            </w:pPr>
            <w:r w:rsidRPr="00FD4F1A">
              <w:rPr>
                <w:rFonts w:ascii="Avenir Next" w:hAnsi="Avenir Next" w:cs="Arial"/>
                <w:color w:val="0000FF"/>
                <w:sz w:val="22"/>
                <w:szCs w:val="22"/>
                <w:lang w:val="en-GB"/>
              </w:rPr>
              <w:t>Apex Pty Ltd (</w:t>
            </w:r>
            <w:r w:rsidRPr="003E2E59">
              <w:rPr>
                <w:rFonts w:ascii="Avenir Next" w:hAnsi="Avenir Next" w:cs="Arial"/>
                <w:b/>
                <w:bCs/>
                <w:color w:val="0000FF"/>
                <w:sz w:val="22"/>
                <w:szCs w:val="22"/>
                <w:lang w:val="en-GB"/>
              </w:rPr>
              <w:t>Apex</w:t>
            </w:r>
            <w:r w:rsidRPr="00FD4F1A">
              <w:rPr>
                <w:rFonts w:ascii="Avenir Next" w:hAnsi="Avenir Next" w:cs="Arial"/>
                <w:color w:val="0000FF"/>
                <w:sz w:val="22"/>
                <w:szCs w:val="22"/>
                <w:lang w:val="en-GB"/>
              </w:rPr>
              <w:t>)</w:t>
            </w:r>
          </w:p>
        </w:tc>
        <w:tc>
          <w:tcPr>
            <w:tcW w:w="0" w:type="auto"/>
          </w:tcPr>
          <w:p w14:paraId="7C921657" w14:textId="07CB04A1" w:rsidR="00FD4F1A" w:rsidRPr="00FD4F1A" w:rsidRDefault="00FD4F1A" w:rsidP="00FD4F1A">
            <w:pPr>
              <w:jc w:val="both"/>
              <w:rPr>
                <w:rFonts w:ascii="Avenir Next" w:hAnsi="Avenir Next" w:cs="Arial"/>
                <w:color w:val="0000FF"/>
                <w:sz w:val="22"/>
                <w:szCs w:val="22"/>
                <w:lang w:val="en-GB"/>
              </w:rPr>
            </w:pPr>
            <w:r>
              <w:rPr>
                <w:rFonts w:ascii="Avenir Next" w:hAnsi="Avenir Next" w:cs="Arial"/>
                <w:color w:val="0000FF"/>
                <w:sz w:val="22"/>
                <w:szCs w:val="22"/>
                <w:lang w:val="en-GB"/>
              </w:rPr>
              <w:t>Unnamed</w:t>
            </w:r>
          </w:p>
        </w:tc>
      </w:tr>
      <w:tr w:rsidR="00FD4F1A" w14:paraId="7CDFD8F7" w14:textId="0B6FFFCB" w:rsidTr="000B78C0">
        <w:tc>
          <w:tcPr>
            <w:tcW w:w="0" w:type="auto"/>
          </w:tcPr>
          <w:p w14:paraId="0EC0AA43" w14:textId="16CA8E8E" w:rsidR="00FD4F1A" w:rsidRPr="00FD4F1A" w:rsidRDefault="00FD4F1A" w:rsidP="00FD4F1A">
            <w:pPr>
              <w:jc w:val="both"/>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Current registration</w:t>
            </w:r>
          </w:p>
        </w:tc>
        <w:tc>
          <w:tcPr>
            <w:tcW w:w="0" w:type="auto"/>
          </w:tcPr>
          <w:p w14:paraId="1050971F" w14:textId="638DE291" w:rsidR="00FD4F1A" w:rsidRDefault="00FD4F1A" w:rsidP="00FD4F1A">
            <w:pPr>
              <w:jc w:val="both"/>
              <w:rPr>
                <w:rFonts w:ascii="Avenir Next" w:hAnsi="Avenir Next" w:cs="Arial"/>
                <w:color w:val="0000FF"/>
                <w:sz w:val="22"/>
                <w:szCs w:val="22"/>
                <w:lang w:val="en-GB"/>
              </w:rPr>
            </w:pPr>
            <w:r w:rsidRPr="00FD4F1A">
              <w:rPr>
                <w:rFonts w:ascii="Avenir Next" w:hAnsi="Avenir Next" w:cs="Arial"/>
                <w:color w:val="0000FF"/>
                <w:sz w:val="22"/>
                <w:szCs w:val="22"/>
                <w:lang w:val="en-GB"/>
              </w:rPr>
              <w:t>Utopia</w:t>
            </w:r>
          </w:p>
        </w:tc>
        <w:tc>
          <w:tcPr>
            <w:tcW w:w="0" w:type="auto"/>
          </w:tcPr>
          <w:p w14:paraId="7EC23E60" w14:textId="640F9BDA" w:rsidR="00FD4F1A" w:rsidRDefault="00FD4F1A" w:rsidP="00FD4F1A">
            <w:pPr>
              <w:jc w:val="both"/>
              <w:rPr>
                <w:rFonts w:ascii="Avenir Next" w:hAnsi="Avenir Next" w:cs="Arial"/>
                <w:color w:val="0000FF"/>
                <w:sz w:val="22"/>
                <w:szCs w:val="22"/>
                <w:lang w:val="en-GB"/>
              </w:rPr>
            </w:pPr>
            <w:r w:rsidRPr="00FD4F1A">
              <w:rPr>
                <w:rFonts w:ascii="Avenir Next" w:hAnsi="Avenir Next" w:cs="Arial"/>
                <w:color w:val="0000FF"/>
                <w:sz w:val="22"/>
                <w:szCs w:val="22"/>
                <w:lang w:val="en-GB"/>
              </w:rPr>
              <w:t>Erewhon</w:t>
            </w:r>
          </w:p>
        </w:tc>
        <w:tc>
          <w:tcPr>
            <w:tcW w:w="0" w:type="auto"/>
          </w:tcPr>
          <w:p w14:paraId="62B4CFB5" w14:textId="6DC2836E" w:rsidR="00FD4F1A" w:rsidRPr="00FD4F1A" w:rsidRDefault="00FD4F1A" w:rsidP="00FD4F1A">
            <w:pPr>
              <w:jc w:val="both"/>
              <w:rPr>
                <w:rFonts w:ascii="Avenir Next" w:hAnsi="Avenir Next" w:cs="Arial"/>
                <w:color w:val="0000FF"/>
                <w:sz w:val="22"/>
                <w:szCs w:val="22"/>
                <w:lang w:val="en-GB"/>
              </w:rPr>
            </w:pPr>
            <w:r w:rsidRPr="00FD4F1A">
              <w:rPr>
                <w:rFonts w:ascii="Avenir Next" w:hAnsi="Avenir Next" w:cs="Arial"/>
                <w:color w:val="0000FF"/>
                <w:sz w:val="22"/>
                <w:szCs w:val="22"/>
                <w:lang w:val="en-GB"/>
              </w:rPr>
              <w:t>Erewhon</w:t>
            </w:r>
          </w:p>
        </w:tc>
      </w:tr>
      <w:tr w:rsidR="00FD4F1A" w14:paraId="139A2D96" w14:textId="4D913F1A" w:rsidTr="000B78C0">
        <w:tc>
          <w:tcPr>
            <w:tcW w:w="0" w:type="auto"/>
          </w:tcPr>
          <w:p w14:paraId="329371BE" w14:textId="050A5E8E" w:rsidR="00FD4F1A" w:rsidRPr="00FD4F1A" w:rsidRDefault="00FD4F1A" w:rsidP="00FD4F1A">
            <w:pPr>
              <w:jc w:val="both"/>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 xml:space="preserve">Previous </w:t>
            </w:r>
            <w:r w:rsidRPr="00FD4F1A">
              <w:rPr>
                <w:rFonts w:ascii="Avenir Next" w:hAnsi="Avenir Next" w:cs="Arial"/>
                <w:b/>
                <w:bCs/>
                <w:color w:val="0000FF"/>
                <w:sz w:val="22"/>
                <w:szCs w:val="22"/>
                <w:lang w:val="en-GB"/>
              </w:rPr>
              <w:t>registration</w:t>
            </w:r>
          </w:p>
        </w:tc>
        <w:tc>
          <w:tcPr>
            <w:tcW w:w="0" w:type="auto"/>
          </w:tcPr>
          <w:p w14:paraId="5D7F6328" w14:textId="3FDAE0BC" w:rsidR="00FD4F1A" w:rsidRDefault="00FD4F1A" w:rsidP="00FD4F1A">
            <w:pPr>
              <w:jc w:val="both"/>
              <w:rPr>
                <w:rFonts w:ascii="Avenir Next" w:hAnsi="Avenir Next" w:cs="Arial"/>
                <w:color w:val="0000FF"/>
                <w:sz w:val="22"/>
                <w:szCs w:val="22"/>
                <w:lang w:val="en-GB"/>
              </w:rPr>
            </w:pPr>
            <w:r w:rsidRPr="00FD4F1A">
              <w:rPr>
                <w:rFonts w:ascii="Avenir Next" w:hAnsi="Avenir Next" w:cs="Arial"/>
                <w:color w:val="0000FF"/>
                <w:sz w:val="22"/>
                <w:szCs w:val="22"/>
                <w:lang w:val="en-GB"/>
              </w:rPr>
              <w:t>Erewhon</w:t>
            </w:r>
          </w:p>
        </w:tc>
        <w:tc>
          <w:tcPr>
            <w:tcW w:w="0" w:type="auto"/>
          </w:tcPr>
          <w:p w14:paraId="7B0BED43" w14:textId="77777777" w:rsidR="00FD4F1A" w:rsidRDefault="00FD4F1A" w:rsidP="00FD4F1A">
            <w:pPr>
              <w:jc w:val="both"/>
              <w:rPr>
                <w:rFonts w:ascii="Avenir Next" w:hAnsi="Avenir Next" w:cs="Arial"/>
                <w:color w:val="0000FF"/>
                <w:sz w:val="22"/>
                <w:szCs w:val="22"/>
                <w:lang w:val="en-GB"/>
              </w:rPr>
            </w:pPr>
          </w:p>
        </w:tc>
        <w:tc>
          <w:tcPr>
            <w:tcW w:w="0" w:type="auto"/>
          </w:tcPr>
          <w:p w14:paraId="582E94F2" w14:textId="77777777" w:rsidR="00FD4F1A" w:rsidRDefault="00FD4F1A" w:rsidP="00FD4F1A">
            <w:pPr>
              <w:jc w:val="both"/>
              <w:rPr>
                <w:rFonts w:ascii="Avenir Next" w:hAnsi="Avenir Next" w:cs="Arial"/>
                <w:color w:val="0000FF"/>
                <w:sz w:val="22"/>
                <w:szCs w:val="22"/>
                <w:lang w:val="en-GB"/>
              </w:rPr>
            </w:pPr>
          </w:p>
        </w:tc>
      </w:tr>
    </w:tbl>
    <w:p w14:paraId="13F5F434" w14:textId="45DAF41B" w:rsidR="00FD4F1A" w:rsidRDefault="00FD4F1A" w:rsidP="00FD4F1A">
      <w:pPr>
        <w:spacing w:after="120"/>
        <w:jc w:val="both"/>
        <w:rPr>
          <w:rFonts w:ascii="Avenir Next" w:hAnsi="Avenir Next" w:cs="Arial"/>
          <w:color w:val="0000FF"/>
          <w:sz w:val="22"/>
          <w:szCs w:val="22"/>
          <w:lang w:val="en-GB"/>
        </w:rPr>
      </w:pPr>
    </w:p>
    <w:p w14:paraId="7BD38E97" w14:textId="2E352697" w:rsidR="00FD4F1A" w:rsidRDefault="003E2E59" w:rsidP="00FD4F1A">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Winding up order secured </w:t>
      </w:r>
      <w:r w:rsidR="00FD4F1A">
        <w:rPr>
          <w:rFonts w:ascii="Avenir Next" w:hAnsi="Avenir Next" w:cs="Arial"/>
          <w:color w:val="0000FF"/>
          <w:sz w:val="22"/>
          <w:szCs w:val="22"/>
          <w:lang w:val="en-GB"/>
        </w:rPr>
        <w:t>by Erewhon creditor,</w:t>
      </w:r>
      <w:r>
        <w:rPr>
          <w:rFonts w:ascii="Avenir Next" w:hAnsi="Avenir Next" w:cs="Arial"/>
          <w:color w:val="0000FF"/>
          <w:sz w:val="22"/>
          <w:szCs w:val="22"/>
          <w:lang w:val="en-GB"/>
        </w:rPr>
        <w:t xml:space="preserve"> and liquidator appointed.</w:t>
      </w: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591C664" w14:textId="44D1148B" w:rsidR="003E2E59" w:rsidRPr="003E2E59" w:rsidRDefault="003E2E59" w:rsidP="003E2E59">
      <w:pPr>
        <w:spacing w:after="120"/>
        <w:jc w:val="both"/>
        <w:rPr>
          <w:rFonts w:ascii="Avenir Next" w:hAnsi="Avenir Next" w:cs="Arial"/>
          <w:i/>
          <w:iCs/>
          <w:color w:val="0000FF"/>
          <w:sz w:val="22"/>
          <w:szCs w:val="22"/>
          <w:lang w:val="en-GB"/>
        </w:rPr>
      </w:pPr>
      <w:r w:rsidRPr="003E2E59">
        <w:rPr>
          <w:rFonts w:ascii="Avenir Next" w:hAnsi="Avenir Next" w:cs="Arial"/>
          <w:i/>
          <w:iCs/>
          <w:color w:val="0000FF"/>
          <w:sz w:val="22"/>
          <w:szCs w:val="22"/>
          <w:lang w:val="en-GB"/>
        </w:rPr>
        <w:t xml:space="preserve">[Further information required: the panoply of </w:t>
      </w:r>
      <w:proofErr w:type="gramStart"/>
      <w:r w:rsidRPr="003E2E59">
        <w:rPr>
          <w:rFonts w:ascii="Avenir Next" w:hAnsi="Avenir Next" w:cs="Arial"/>
          <w:i/>
          <w:iCs/>
          <w:color w:val="0000FF"/>
          <w:sz w:val="22"/>
          <w:szCs w:val="22"/>
          <w:lang w:val="en-GB"/>
        </w:rPr>
        <w:t>potentially</w:t>
      </w:r>
      <w:r>
        <w:rPr>
          <w:rFonts w:ascii="Avenir Next" w:hAnsi="Avenir Next" w:cs="Arial"/>
          <w:i/>
          <w:iCs/>
          <w:color w:val="0000FF"/>
          <w:sz w:val="22"/>
          <w:szCs w:val="22"/>
          <w:lang w:val="en-GB"/>
        </w:rPr>
        <w:t>-</w:t>
      </w:r>
      <w:r w:rsidRPr="003E2E59">
        <w:rPr>
          <w:rFonts w:ascii="Avenir Next" w:hAnsi="Avenir Next" w:cs="Arial"/>
          <w:i/>
          <w:iCs/>
          <w:color w:val="0000FF"/>
          <w:sz w:val="22"/>
          <w:szCs w:val="22"/>
          <w:lang w:val="en-GB"/>
        </w:rPr>
        <w:t>relevant</w:t>
      </w:r>
      <w:proofErr w:type="gramEnd"/>
      <w:r w:rsidRPr="003E2E59">
        <w:rPr>
          <w:rFonts w:ascii="Avenir Next" w:hAnsi="Avenir Next" w:cs="Arial"/>
          <w:i/>
          <w:iCs/>
          <w:color w:val="0000FF"/>
          <w:sz w:val="22"/>
          <w:szCs w:val="22"/>
          <w:lang w:val="en-GB"/>
        </w:rPr>
        <w:t xml:space="preserve"> facts to establish Nadir’s </w:t>
      </w:r>
      <w:proofErr w:type="spellStart"/>
      <w:r w:rsidRPr="003E2E59">
        <w:rPr>
          <w:rFonts w:ascii="Avenir Next" w:hAnsi="Avenir Next" w:cs="Arial"/>
          <w:i/>
          <w:iCs/>
          <w:color w:val="0000FF"/>
          <w:sz w:val="22"/>
          <w:szCs w:val="22"/>
          <w:lang w:val="en-GB"/>
        </w:rPr>
        <w:t>COMI</w:t>
      </w:r>
      <w:proofErr w:type="spellEnd"/>
      <w:r w:rsidRPr="003E2E59">
        <w:rPr>
          <w:rFonts w:ascii="Avenir Next" w:hAnsi="Avenir Next" w:cs="Arial"/>
          <w:i/>
          <w:iCs/>
          <w:color w:val="0000FF"/>
          <w:sz w:val="22"/>
          <w:szCs w:val="22"/>
          <w:lang w:val="en-GB"/>
        </w:rPr>
        <w:t>]</w:t>
      </w:r>
    </w:p>
    <w:p w14:paraId="5D83BF89" w14:textId="1E5D8A5D" w:rsidR="003E2E59" w:rsidRDefault="003E2E59" w:rsidP="003E2E59">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As a general principle of insolvency law, implemented in the Model Law, there is a m</w:t>
      </w:r>
      <w:r w:rsidRPr="003E2E59">
        <w:rPr>
          <w:rFonts w:ascii="Avenir Next" w:hAnsi="Avenir Next" w:cs="Arial"/>
          <w:color w:val="0000FF"/>
          <w:sz w:val="22"/>
          <w:szCs w:val="22"/>
          <w:lang w:val="en-GB"/>
        </w:rPr>
        <w:t>oratorium on piecemeal debt collecting and execution procedures</w:t>
      </w:r>
      <w:r>
        <w:rPr>
          <w:rFonts w:ascii="Avenir Next" w:hAnsi="Avenir Next" w:cs="Arial"/>
          <w:color w:val="0000FF"/>
          <w:sz w:val="22"/>
          <w:szCs w:val="22"/>
          <w:lang w:val="en-GB"/>
        </w:rPr>
        <w:t xml:space="preserve">. This is to ensure an orderly liquidation, and </w:t>
      </w:r>
      <w:r w:rsidRPr="003E2E59">
        <w:rPr>
          <w:rFonts w:ascii="Avenir Next" w:hAnsi="Avenir Next" w:cs="Arial"/>
          <w:i/>
          <w:iCs/>
          <w:color w:val="0000FF"/>
          <w:sz w:val="22"/>
          <w:szCs w:val="22"/>
          <w:lang w:val="en-GB"/>
        </w:rPr>
        <w:t>pari passu</w:t>
      </w:r>
      <w:r>
        <w:rPr>
          <w:rFonts w:ascii="Avenir Next" w:hAnsi="Avenir Next" w:cs="Arial"/>
          <w:color w:val="0000FF"/>
          <w:sz w:val="22"/>
          <w:szCs w:val="22"/>
          <w:lang w:val="en-GB"/>
        </w:rPr>
        <w:t xml:space="preserve"> distribution of assets to creditors. The liquidator ought to be able to apply to the Utopian domestic court seized with Nadir’s claim to impose a stay on proceedings.</w:t>
      </w:r>
    </w:p>
    <w:p w14:paraId="4817DF9D" w14:textId="2B35DB29" w:rsidR="003E2E59" w:rsidRDefault="003E2E59" w:rsidP="003E2E59">
      <w:pPr>
        <w:spacing w:after="120"/>
        <w:jc w:val="both"/>
        <w:rPr>
          <w:rFonts w:ascii="Avenir Next" w:hAnsi="Avenir Next" w:cs="Arial"/>
          <w:color w:val="0000FF"/>
          <w:sz w:val="22"/>
          <w:szCs w:val="22"/>
          <w:lang w:val="en-GB"/>
        </w:rPr>
      </w:pPr>
      <w:proofErr w:type="gramStart"/>
      <w:r>
        <w:rPr>
          <w:rFonts w:ascii="Avenir Next" w:hAnsi="Avenir Next" w:cs="Arial"/>
          <w:color w:val="0000FF"/>
          <w:sz w:val="22"/>
          <w:szCs w:val="22"/>
          <w:lang w:val="en-GB"/>
        </w:rPr>
        <w:t>Depending on the sequence of events, it</w:t>
      </w:r>
      <w:proofErr w:type="gramEnd"/>
      <w:r>
        <w:rPr>
          <w:rFonts w:ascii="Avenir Next" w:hAnsi="Avenir Next" w:cs="Arial"/>
          <w:color w:val="0000FF"/>
          <w:sz w:val="22"/>
          <w:szCs w:val="22"/>
          <w:lang w:val="en-GB"/>
        </w:rPr>
        <w:t xml:space="preserve"> is possible that </w:t>
      </w:r>
      <w:r>
        <w:rPr>
          <w:rFonts w:ascii="Avenir Next" w:hAnsi="Avenir Next" w:cs="Arial"/>
          <w:color w:val="0000FF"/>
          <w:sz w:val="22"/>
          <w:szCs w:val="22"/>
          <w:lang w:val="en-GB"/>
        </w:rPr>
        <w:t>Nadir’s claim</w:t>
      </w:r>
      <w:r>
        <w:rPr>
          <w:rFonts w:ascii="Avenir Next" w:hAnsi="Avenir Next" w:cs="Arial"/>
          <w:color w:val="0000FF"/>
          <w:sz w:val="22"/>
          <w:szCs w:val="22"/>
          <w:lang w:val="en-GB"/>
        </w:rPr>
        <w:t xml:space="preserve"> was filed after the winding-up order was handed down, in which case it could have been in breach of prohibition on issuing proceedings without the permission of the liquidator and/or court. This will also depend on the state of Nadir’s knowledge: what did they know and when? While the end client (Nadir) is unlikely to volunteer the information, their attorneys are will have professional obligations to the court, and this information should be extractable in correspondence.</w:t>
      </w:r>
    </w:p>
    <w:p w14:paraId="3BD501D0" w14:textId="03EB4196" w:rsidR="00827D56" w:rsidRPr="003E2E59" w:rsidRDefault="003E2E59" w:rsidP="003E2E59">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There may be adverse costs consequences for Nadir if they knowingly brought proceedings in violation of the moratorium.</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52672A03" w:rsidR="002D3473" w:rsidRPr="003E2E59" w:rsidRDefault="003E2E59" w:rsidP="003E2E59">
      <w:pPr>
        <w:pStyle w:val="ListParagraph"/>
        <w:numPr>
          <w:ilvl w:val="0"/>
          <w:numId w:val="24"/>
        </w:numPr>
        <w:autoSpaceDE w:val="0"/>
        <w:autoSpaceDN w:val="0"/>
        <w:adjustRightInd w:val="0"/>
        <w:spacing w:line="276" w:lineRule="auto"/>
        <w:ind w:left="714" w:hanging="357"/>
        <w:contextualSpacing w:val="0"/>
        <w:jc w:val="both"/>
        <w:rPr>
          <w:rFonts w:ascii="Avenir Next" w:hAnsi="Avenir Next" w:cs="Arial"/>
          <w:sz w:val="22"/>
          <w:szCs w:val="22"/>
          <w:lang w:val="en-GB"/>
        </w:rPr>
      </w:pPr>
      <w:r w:rsidRPr="003E2E59">
        <w:rPr>
          <w:rFonts w:ascii="Avenir Next" w:hAnsi="Avenir Next" w:cs="Arial"/>
          <w:color w:val="0000FF"/>
          <w:sz w:val="22"/>
          <w:szCs w:val="22"/>
          <w:lang w:val="en-GB"/>
        </w:rPr>
        <w:t>Yes, the moratorium would not yet be in force, and therefore the claim would not be in breach of the moratorium.</w:t>
      </w:r>
    </w:p>
    <w:p w14:paraId="5AC388B5" w14:textId="3D3C9FCF" w:rsidR="003E2E59" w:rsidRPr="003E2E59" w:rsidRDefault="003E2E59" w:rsidP="003E2E59">
      <w:pPr>
        <w:pStyle w:val="ListParagraph"/>
        <w:numPr>
          <w:ilvl w:val="0"/>
          <w:numId w:val="24"/>
        </w:numPr>
        <w:autoSpaceDE w:val="0"/>
        <w:autoSpaceDN w:val="0"/>
        <w:adjustRightInd w:val="0"/>
        <w:spacing w:line="276" w:lineRule="auto"/>
        <w:jc w:val="both"/>
        <w:rPr>
          <w:rFonts w:ascii="Avenir Next" w:hAnsi="Avenir Next" w:cs="Arial"/>
          <w:color w:val="0000FF"/>
          <w:sz w:val="22"/>
          <w:szCs w:val="22"/>
          <w:lang w:val="en-GB"/>
        </w:rPr>
      </w:pPr>
      <w:r w:rsidRPr="003E2E59">
        <w:rPr>
          <w:rFonts w:ascii="Avenir Next" w:hAnsi="Avenir Next" w:cs="Arial"/>
          <w:color w:val="0000FF"/>
          <w:sz w:val="22"/>
          <w:szCs w:val="22"/>
          <w:lang w:val="en-GB"/>
        </w:rPr>
        <w:t xml:space="preserve">Yes, the Utopian court would likely be seized of </w:t>
      </w:r>
      <w:r>
        <w:rPr>
          <w:rFonts w:ascii="Avenir Next" w:hAnsi="Avenir Next" w:cs="Arial"/>
          <w:color w:val="0000FF"/>
          <w:sz w:val="22"/>
          <w:szCs w:val="22"/>
          <w:lang w:val="en-GB"/>
        </w:rPr>
        <w:t xml:space="preserve">the matter before the Erewhon courts, and the latter would likely defer to the former unless there were compelling reasons, </w:t>
      </w:r>
      <w:proofErr w:type="gramStart"/>
      <w:r>
        <w:rPr>
          <w:rFonts w:ascii="Avenir Next" w:hAnsi="Avenir Next" w:cs="Arial"/>
          <w:color w:val="0000FF"/>
          <w:sz w:val="22"/>
          <w:szCs w:val="22"/>
          <w:lang w:val="en-GB"/>
        </w:rPr>
        <w:t>e.g.</w:t>
      </w:r>
      <w:proofErr w:type="gramEnd"/>
      <w:r>
        <w:rPr>
          <w:rFonts w:ascii="Avenir Next" w:hAnsi="Avenir Next" w:cs="Arial"/>
          <w:color w:val="0000FF"/>
          <w:sz w:val="22"/>
          <w:szCs w:val="22"/>
          <w:lang w:val="en-GB"/>
        </w:rPr>
        <w:t xml:space="preserve"> public policy, for doing otherwise.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2639DB60" w14:textId="2DA757BB" w:rsidR="00CC72B9" w:rsidRPr="0009131E" w:rsidRDefault="00CC72B9" w:rsidP="00CC72B9">
      <w:pPr>
        <w:spacing w:after="120"/>
        <w:jc w:val="both"/>
        <w:rPr>
          <w:rFonts w:ascii="Avenir Next" w:hAnsi="Avenir Next" w:cs="Arial"/>
          <w:color w:val="0000FF"/>
          <w:sz w:val="22"/>
          <w:szCs w:val="22"/>
          <w:lang w:val="en-GB"/>
        </w:rPr>
      </w:pPr>
      <w:r>
        <w:rPr>
          <w:rFonts w:ascii="Avenir Next" w:hAnsi="Avenir Next" w:cs="Arial"/>
          <w:b/>
          <w:bCs/>
          <w:color w:val="0000FF"/>
          <w:sz w:val="22"/>
          <w:szCs w:val="22"/>
          <w:lang w:val="en-GB"/>
        </w:rPr>
        <w:t>Jurisdiction</w:t>
      </w:r>
      <w:r>
        <w:rPr>
          <w:rFonts w:ascii="Avenir Next" w:hAnsi="Avenir Next" w:cs="Arial"/>
          <w:color w:val="0000FF"/>
          <w:sz w:val="22"/>
          <w:szCs w:val="22"/>
          <w:lang w:val="en-GB"/>
        </w:rPr>
        <w:t>: England &amp; Wales.</w:t>
      </w:r>
    </w:p>
    <w:p w14:paraId="56B82504" w14:textId="4463B3AA" w:rsidR="00CC72B9" w:rsidRPr="0009131E" w:rsidRDefault="00CC72B9" w:rsidP="00CC72B9">
      <w:pPr>
        <w:spacing w:after="120"/>
        <w:jc w:val="both"/>
        <w:rPr>
          <w:rFonts w:ascii="Avenir Next" w:hAnsi="Avenir Next" w:cs="Arial"/>
          <w:color w:val="0000FF"/>
          <w:sz w:val="22"/>
          <w:szCs w:val="22"/>
          <w:lang w:val="en-GB"/>
        </w:rPr>
      </w:pPr>
      <w:r>
        <w:rPr>
          <w:rFonts w:ascii="Avenir Next" w:hAnsi="Avenir Next" w:cs="Arial"/>
          <w:b/>
          <w:bCs/>
          <w:color w:val="0000FF"/>
          <w:sz w:val="22"/>
          <w:szCs w:val="22"/>
          <w:lang w:val="en-GB"/>
        </w:rPr>
        <w:t>Hypothetical i</w:t>
      </w:r>
      <w:r w:rsidRPr="00CC72B9">
        <w:rPr>
          <w:rFonts w:ascii="Avenir Next" w:hAnsi="Avenir Next" w:cs="Arial"/>
          <w:b/>
          <w:bCs/>
          <w:color w:val="0000FF"/>
          <w:sz w:val="22"/>
          <w:szCs w:val="22"/>
          <w:lang w:val="en-GB"/>
        </w:rPr>
        <w:t>ssues</w:t>
      </w:r>
      <w:r>
        <w:rPr>
          <w:rFonts w:ascii="Avenir Next" w:hAnsi="Avenir Next" w:cs="Arial"/>
          <w:color w:val="0000FF"/>
          <w:sz w:val="22"/>
          <w:szCs w:val="22"/>
          <w:lang w:val="en-GB"/>
        </w:rPr>
        <w:t>:</w:t>
      </w:r>
    </w:p>
    <w:p w14:paraId="7170FC0B" w14:textId="7DF21534" w:rsidR="00CC72B9" w:rsidRDefault="00CC72B9" w:rsidP="00CC72B9">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sidRPr="00CC72B9">
        <w:rPr>
          <w:rFonts w:ascii="Avenir Next" w:hAnsi="Avenir Next" w:cs="Arial"/>
          <w:b/>
          <w:bCs/>
          <w:color w:val="0000FF"/>
          <w:sz w:val="22"/>
          <w:szCs w:val="22"/>
          <w:lang w:val="en-GB"/>
        </w:rPr>
        <w:t>Preventing piecemeal distribution of debtor assets to creditors in response to individual creditor claims</w:t>
      </w:r>
      <w:r>
        <w:rPr>
          <w:rFonts w:ascii="Avenir Next" w:hAnsi="Avenir Next" w:cs="Arial"/>
          <w:color w:val="0000FF"/>
          <w:sz w:val="22"/>
          <w:szCs w:val="22"/>
          <w:lang w:val="en-GB"/>
        </w:rPr>
        <w:t xml:space="preserve">. </w:t>
      </w:r>
      <w:r w:rsidR="00694D51">
        <w:rPr>
          <w:rFonts w:ascii="Avenir Next" w:hAnsi="Avenir Next" w:cs="Arial"/>
          <w:color w:val="0000FF"/>
          <w:sz w:val="22"/>
          <w:szCs w:val="22"/>
          <w:lang w:val="en-GB"/>
        </w:rPr>
        <w:t>The Insolvency Practitioner (</w:t>
      </w:r>
      <w:r w:rsidR="00694D51" w:rsidRPr="00694D51">
        <w:rPr>
          <w:rFonts w:ascii="Avenir Next" w:hAnsi="Avenir Next" w:cs="Arial"/>
          <w:b/>
          <w:bCs/>
          <w:color w:val="0000FF"/>
          <w:sz w:val="22"/>
          <w:szCs w:val="22"/>
          <w:lang w:val="en-GB"/>
        </w:rPr>
        <w:t>IP</w:t>
      </w:r>
      <w:r w:rsidR="00694D51">
        <w:rPr>
          <w:rFonts w:ascii="Avenir Next" w:hAnsi="Avenir Next" w:cs="Arial"/>
          <w:color w:val="0000FF"/>
          <w:sz w:val="22"/>
          <w:szCs w:val="22"/>
          <w:lang w:val="en-GB"/>
        </w:rPr>
        <w:t xml:space="preserve">) can apply </w:t>
      </w:r>
      <w:r w:rsidR="00694D51" w:rsidRPr="00694D51">
        <w:rPr>
          <w:rFonts w:ascii="Avenir Next" w:hAnsi="Avenir Next" w:cs="Arial"/>
          <w:color w:val="0000FF"/>
          <w:sz w:val="22"/>
          <w:szCs w:val="22"/>
          <w:lang w:val="en-GB"/>
        </w:rPr>
        <w:t xml:space="preserve">the court to stay proceedings issued against the creditor </w:t>
      </w:r>
      <w:r w:rsidR="00694D51">
        <w:rPr>
          <w:rFonts w:ascii="Avenir Next" w:hAnsi="Avenir Next" w:cs="Arial"/>
          <w:color w:val="0000FF"/>
          <w:sz w:val="22"/>
          <w:szCs w:val="22"/>
          <w:lang w:val="en-GB"/>
        </w:rPr>
        <w:t xml:space="preserve">(in this example by an international creditor) </w:t>
      </w:r>
      <w:r w:rsidR="00694D51" w:rsidRPr="00694D51">
        <w:rPr>
          <w:rFonts w:ascii="Avenir Next" w:hAnsi="Avenir Next" w:cs="Arial"/>
          <w:color w:val="0000FF"/>
          <w:sz w:val="22"/>
          <w:szCs w:val="22"/>
          <w:lang w:val="en-GB"/>
        </w:rPr>
        <w:t>per the standalone moratorium procedure under Part A1 of the Insolvency Act 1986. This prevents creditors from enforcing their rights for a certain period to enable the terms of a restructuring to be agreed.</w:t>
      </w:r>
      <w:r w:rsidR="00694D51">
        <w:rPr>
          <w:rFonts w:ascii="Avenir Next" w:hAnsi="Avenir Next" w:cs="Arial"/>
          <w:color w:val="0000FF"/>
          <w:sz w:val="22"/>
          <w:szCs w:val="22"/>
          <w:lang w:val="en-GB"/>
        </w:rPr>
        <w:t xml:space="preserve"> The relevant law here would be the insolvency law of the state in which the creditor is attempting to bring the claim. That state’s courts should recognise the English court’s moratorium under the UNCITRAL assistance guidelines.</w:t>
      </w:r>
    </w:p>
    <w:p w14:paraId="224B8374" w14:textId="58067BF6" w:rsidR="00CC72B9" w:rsidRDefault="00CC72B9" w:rsidP="00CC72B9">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sidRPr="00CC72B9">
        <w:rPr>
          <w:rFonts w:ascii="Avenir Next" w:hAnsi="Avenir Next" w:cs="Arial"/>
          <w:b/>
          <w:bCs/>
          <w:color w:val="0000FF"/>
          <w:sz w:val="22"/>
          <w:szCs w:val="22"/>
          <w:lang w:val="en-GB"/>
        </w:rPr>
        <w:t>Conducting investigations</w:t>
      </w:r>
      <w:r>
        <w:rPr>
          <w:rFonts w:ascii="Avenir Next" w:hAnsi="Avenir Next" w:cs="Arial"/>
          <w:color w:val="0000FF"/>
          <w:sz w:val="22"/>
          <w:szCs w:val="22"/>
          <w:lang w:val="en-GB"/>
        </w:rPr>
        <w:t xml:space="preserve">. </w:t>
      </w:r>
      <w:r w:rsidR="00694D51" w:rsidRPr="00694D51">
        <w:rPr>
          <w:rFonts w:ascii="Avenir Next" w:hAnsi="Avenir Next" w:cs="Arial"/>
          <w:color w:val="0000FF"/>
          <w:sz w:val="22"/>
          <w:szCs w:val="22"/>
          <w:lang w:val="en-GB"/>
        </w:rPr>
        <w:t xml:space="preserve">Section 236 </w:t>
      </w:r>
      <w:r w:rsidR="00694D51">
        <w:rPr>
          <w:rFonts w:ascii="Avenir Next" w:hAnsi="Avenir Next" w:cs="Arial"/>
          <w:color w:val="0000FF"/>
          <w:sz w:val="22"/>
          <w:szCs w:val="22"/>
          <w:lang w:val="en-GB"/>
        </w:rPr>
        <w:t xml:space="preserve">of the </w:t>
      </w:r>
      <w:r w:rsidR="00694D51" w:rsidRPr="00694D51">
        <w:rPr>
          <w:rFonts w:ascii="Avenir Next" w:hAnsi="Avenir Next" w:cs="Arial"/>
          <w:color w:val="0000FF"/>
          <w:sz w:val="22"/>
          <w:szCs w:val="22"/>
          <w:lang w:val="en-GB"/>
        </w:rPr>
        <w:t xml:space="preserve">Insolvency Act 1986 is an important tool in an </w:t>
      </w:r>
      <w:r w:rsidR="00694D51">
        <w:rPr>
          <w:rFonts w:ascii="Avenir Next" w:hAnsi="Avenir Next" w:cs="Arial"/>
          <w:color w:val="0000FF"/>
          <w:sz w:val="22"/>
          <w:szCs w:val="22"/>
          <w:lang w:val="en-GB"/>
        </w:rPr>
        <w:t xml:space="preserve">IP’s </w:t>
      </w:r>
      <w:r w:rsidR="00694D51" w:rsidRPr="00694D51">
        <w:rPr>
          <w:rFonts w:ascii="Avenir Next" w:hAnsi="Avenir Next" w:cs="Arial"/>
          <w:color w:val="0000FF"/>
          <w:sz w:val="22"/>
          <w:szCs w:val="22"/>
          <w:lang w:val="en-GB"/>
        </w:rPr>
        <w:t xml:space="preserve">armoury. It gives the </w:t>
      </w:r>
      <w:r w:rsidR="00694D51">
        <w:rPr>
          <w:rFonts w:ascii="Avenir Next" w:hAnsi="Avenir Next" w:cs="Arial"/>
          <w:color w:val="0000FF"/>
          <w:sz w:val="22"/>
          <w:szCs w:val="22"/>
          <w:lang w:val="en-GB"/>
        </w:rPr>
        <w:t xml:space="preserve">IP </w:t>
      </w:r>
      <w:r w:rsidR="00694D51" w:rsidRPr="00694D51">
        <w:rPr>
          <w:rFonts w:ascii="Avenir Next" w:hAnsi="Avenir Next" w:cs="Arial"/>
          <w:color w:val="0000FF"/>
          <w:sz w:val="22"/>
          <w:szCs w:val="22"/>
          <w:lang w:val="en-GB"/>
        </w:rPr>
        <w:t>the power to require a person or entity to provide documents or to attend an examination in court where they will be questioned.</w:t>
      </w:r>
      <w:r w:rsidR="00694D51">
        <w:rPr>
          <w:rFonts w:ascii="Avenir Next" w:hAnsi="Avenir Next" w:cs="Arial"/>
          <w:color w:val="0000FF"/>
          <w:sz w:val="22"/>
          <w:szCs w:val="22"/>
          <w:lang w:val="en-GB"/>
        </w:rPr>
        <w:t xml:space="preserve"> Usually, the counterparty cooperates voluntarily following correspondence from the IP’s solicitors, as otherwise they will be both (i) compelled to </w:t>
      </w:r>
      <w:r w:rsidR="00694D51" w:rsidRPr="00694D51">
        <w:rPr>
          <w:rFonts w:ascii="Avenir Next" w:hAnsi="Avenir Next" w:cs="Arial"/>
          <w:color w:val="0000FF"/>
          <w:sz w:val="22"/>
          <w:szCs w:val="22"/>
          <w:lang w:val="en-GB"/>
        </w:rPr>
        <w:t>provide documents or to attend an examination</w:t>
      </w:r>
      <w:r w:rsidR="00694D51">
        <w:rPr>
          <w:rFonts w:ascii="Avenir Next" w:hAnsi="Avenir Next" w:cs="Arial"/>
          <w:color w:val="0000FF"/>
          <w:sz w:val="22"/>
          <w:szCs w:val="22"/>
          <w:lang w:val="en-GB"/>
        </w:rPr>
        <w:t xml:space="preserve"> anyway; and (ii) also </w:t>
      </w:r>
      <w:proofErr w:type="gramStart"/>
      <w:r w:rsidR="00694D51">
        <w:rPr>
          <w:rFonts w:ascii="Avenir Next" w:hAnsi="Avenir Next" w:cs="Arial"/>
          <w:color w:val="0000FF"/>
          <w:sz w:val="22"/>
          <w:szCs w:val="22"/>
          <w:lang w:val="en-GB"/>
        </w:rPr>
        <w:t>have to</w:t>
      </w:r>
      <w:proofErr w:type="gramEnd"/>
      <w:r w:rsidR="00694D51">
        <w:rPr>
          <w:rFonts w:ascii="Avenir Next" w:hAnsi="Avenir Next" w:cs="Arial"/>
          <w:color w:val="0000FF"/>
          <w:sz w:val="22"/>
          <w:szCs w:val="22"/>
          <w:lang w:val="en-GB"/>
        </w:rPr>
        <w:t xml:space="preserve"> pay the IP’s costs of bringing the s236 application. As above, against an international counterparty, this will rely on the foreign court’s insolvency laws – or potentially general law brought to force in pursuit of the IP’s ends. For example, if the IP needs to extract information from US-based personnel, then the IP could bring an application under Section 1782. </w:t>
      </w:r>
      <w:r w:rsidR="00694D51" w:rsidRPr="00694D51">
        <w:rPr>
          <w:rFonts w:ascii="Avenir Next" w:hAnsi="Avenir Next" w:cs="Arial"/>
          <w:i/>
          <w:iCs/>
          <w:color w:val="0000FF"/>
          <w:sz w:val="22"/>
          <w:szCs w:val="22"/>
          <w:lang w:val="en-GB"/>
        </w:rPr>
        <w:t xml:space="preserve">Section 1782 of Title 28 of the United States Code (“Section 1782”) allows an </w:t>
      </w:r>
      <w:r w:rsidR="00694D51" w:rsidRPr="00694D51">
        <w:rPr>
          <w:rFonts w:ascii="Avenir Next" w:hAnsi="Avenir Next" w:cs="Arial"/>
          <w:i/>
          <w:iCs/>
          <w:color w:val="0000FF"/>
          <w:sz w:val="22"/>
          <w:szCs w:val="22"/>
          <w:lang w:val="en-GB"/>
        </w:rPr>
        <w:t>‘</w:t>
      </w:r>
      <w:r w:rsidR="00694D51" w:rsidRPr="00694D51">
        <w:rPr>
          <w:rFonts w:ascii="Avenir Next" w:hAnsi="Avenir Next" w:cs="Arial"/>
          <w:i/>
          <w:iCs/>
          <w:color w:val="0000FF"/>
          <w:sz w:val="22"/>
          <w:szCs w:val="22"/>
          <w:lang w:val="en-GB"/>
        </w:rPr>
        <w:t>interested party</w:t>
      </w:r>
      <w:r w:rsidR="00694D51" w:rsidRPr="00694D51">
        <w:rPr>
          <w:rFonts w:ascii="Avenir Next" w:hAnsi="Avenir Next" w:cs="Arial"/>
          <w:i/>
          <w:iCs/>
          <w:color w:val="0000FF"/>
          <w:sz w:val="22"/>
          <w:szCs w:val="22"/>
          <w:lang w:val="en-GB"/>
        </w:rPr>
        <w:t>’</w:t>
      </w:r>
      <w:r w:rsidR="00694D51" w:rsidRPr="00694D51">
        <w:rPr>
          <w:rFonts w:ascii="Avenir Next" w:hAnsi="Avenir Next" w:cs="Arial"/>
          <w:i/>
          <w:iCs/>
          <w:color w:val="0000FF"/>
          <w:sz w:val="22"/>
          <w:szCs w:val="22"/>
          <w:lang w:val="en-GB"/>
        </w:rPr>
        <w:t xml:space="preserve"> to a foreign proceeding (including foreign civil and criminal proceedings) to seek US-style discovery from a person or entity located in the United States.  The statute may be used by international litigants seeking documentary or testimonial evidence in the US for use in foreign actions which are either pending or contemplated</w:t>
      </w:r>
      <w:r w:rsidR="00694D51" w:rsidRPr="00694D51">
        <w:rPr>
          <w:rFonts w:ascii="Avenir Next" w:hAnsi="Avenir Next" w:cs="Arial"/>
          <w:color w:val="0000FF"/>
          <w:sz w:val="22"/>
          <w:szCs w:val="22"/>
          <w:lang w:val="en-GB"/>
        </w:rPr>
        <w:t>.</w:t>
      </w:r>
      <w:r w:rsidR="00694D51">
        <w:rPr>
          <w:rStyle w:val="FootnoteReference"/>
          <w:rFonts w:ascii="Avenir Next" w:hAnsi="Avenir Next" w:cs="Arial"/>
          <w:color w:val="0000FF"/>
          <w:sz w:val="22"/>
          <w:szCs w:val="22"/>
          <w:lang w:val="en-GB"/>
        </w:rPr>
        <w:footnoteReference w:id="1"/>
      </w:r>
    </w:p>
    <w:p w14:paraId="4598070C" w14:textId="49A5046C" w:rsidR="00CC72B9" w:rsidRDefault="00CC72B9" w:rsidP="00CC72B9">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sidRPr="00CC72B9">
        <w:rPr>
          <w:rFonts w:ascii="Avenir Next" w:hAnsi="Avenir Next" w:cs="Arial"/>
          <w:b/>
          <w:bCs/>
          <w:color w:val="0000FF"/>
          <w:sz w:val="22"/>
          <w:szCs w:val="22"/>
          <w:lang w:val="en-GB"/>
        </w:rPr>
        <w:t>Gathering-in assets</w:t>
      </w:r>
      <w:r>
        <w:rPr>
          <w:rFonts w:ascii="Avenir Next" w:hAnsi="Avenir Next" w:cs="Arial"/>
          <w:color w:val="0000FF"/>
          <w:sz w:val="22"/>
          <w:szCs w:val="22"/>
          <w:lang w:val="en-GB"/>
        </w:rPr>
        <w:t xml:space="preserve">. </w:t>
      </w:r>
      <w:r w:rsidR="00694D51">
        <w:rPr>
          <w:rFonts w:ascii="Avenir Next" w:hAnsi="Avenir Next" w:cs="Arial"/>
          <w:color w:val="0000FF"/>
          <w:sz w:val="22"/>
          <w:szCs w:val="22"/>
          <w:lang w:val="en-GB"/>
        </w:rPr>
        <w:t>It is trite law that the IP will have powers to gather in assets creditor assets. As above, this would be a combination of the Insolvency Act 1986 for domestic assets, and the equivalent statute(s) for fore</w:t>
      </w:r>
      <w:r w:rsidR="000D53E3">
        <w:rPr>
          <w:rFonts w:ascii="Avenir Next" w:hAnsi="Avenir Next" w:cs="Arial"/>
          <w:color w:val="0000FF"/>
          <w:sz w:val="22"/>
          <w:szCs w:val="22"/>
          <w:lang w:val="en-GB"/>
        </w:rPr>
        <w:t>ign assets.</w:t>
      </w:r>
    </w:p>
    <w:p w14:paraId="19BAA026" w14:textId="09F26B79" w:rsidR="00CC72B9" w:rsidRDefault="00CC72B9" w:rsidP="00CC72B9">
      <w:pPr>
        <w:pStyle w:val="ListParagraph"/>
        <w:numPr>
          <w:ilvl w:val="0"/>
          <w:numId w:val="23"/>
        </w:numPr>
        <w:spacing w:after="120"/>
        <w:ind w:left="714" w:hanging="357"/>
        <w:contextualSpacing w:val="0"/>
        <w:jc w:val="both"/>
        <w:rPr>
          <w:rFonts w:ascii="Avenir Next" w:hAnsi="Avenir Next" w:cs="Arial"/>
          <w:color w:val="0000FF"/>
          <w:sz w:val="22"/>
          <w:szCs w:val="22"/>
          <w:lang w:val="en-GB"/>
        </w:rPr>
      </w:pPr>
      <w:r w:rsidRPr="00CC72B9">
        <w:rPr>
          <w:rFonts w:ascii="Avenir Next" w:hAnsi="Avenir Next" w:cs="Arial"/>
          <w:b/>
          <w:bCs/>
          <w:color w:val="0000FF"/>
          <w:sz w:val="22"/>
          <w:szCs w:val="22"/>
          <w:lang w:val="en-GB"/>
        </w:rPr>
        <w:t>Unwinding attempted asset dissipations by directors</w:t>
      </w:r>
      <w:r>
        <w:rPr>
          <w:rFonts w:ascii="Avenir Next" w:hAnsi="Avenir Next" w:cs="Arial"/>
          <w:color w:val="0000FF"/>
          <w:sz w:val="22"/>
          <w:szCs w:val="22"/>
          <w:lang w:val="en-GB"/>
        </w:rPr>
        <w:t xml:space="preserve">. </w:t>
      </w:r>
      <w:r w:rsidR="000D53E3" w:rsidRPr="000D53E3">
        <w:rPr>
          <w:rFonts w:ascii="Avenir Next" w:hAnsi="Avenir Next" w:cs="Arial"/>
          <w:color w:val="0000FF"/>
          <w:sz w:val="22"/>
          <w:szCs w:val="22"/>
          <w:lang w:val="en-GB"/>
        </w:rPr>
        <w:t xml:space="preserve">An administrator or liquidator may apply to the court for an order avoiding any transaction made at an undervalue in the two years before the administration or liquidation if the company was then (or </w:t>
      </w:r>
      <w:proofErr w:type="gramStart"/>
      <w:r w:rsidR="000D53E3" w:rsidRPr="000D53E3">
        <w:rPr>
          <w:rFonts w:ascii="Avenir Next" w:hAnsi="Avenir Next" w:cs="Arial"/>
          <w:color w:val="0000FF"/>
          <w:sz w:val="22"/>
          <w:szCs w:val="22"/>
          <w:lang w:val="en-GB"/>
        </w:rPr>
        <w:t>as a result of</w:t>
      </w:r>
      <w:proofErr w:type="gramEnd"/>
      <w:r w:rsidR="000D53E3" w:rsidRPr="000D53E3">
        <w:rPr>
          <w:rFonts w:ascii="Avenir Next" w:hAnsi="Avenir Next" w:cs="Arial"/>
          <w:color w:val="0000FF"/>
          <w:sz w:val="22"/>
          <w:szCs w:val="22"/>
          <w:lang w:val="en-GB"/>
        </w:rPr>
        <w:t xml:space="preserve"> the transaction became) unable to pay its debts as they fell due (section 238, Insolvency Act 1986). Inability to pay debts at the relevant time is rebuttably presumed if the transaction is with a </w:t>
      </w:r>
      <w:r w:rsidR="000D53E3" w:rsidRPr="000D53E3">
        <w:rPr>
          <w:rFonts w:ascii="Avenir Next" w:hAnsi="Avenir Next" w:cs="Arial"/>
          <w:color w:val="0000FF"/>
          <w:sz w:val="22"/>
          <w:szCs w:val="22"/>
          <w:lang w:val="en-GB"/>
        </w:rPr>
        <w:lastRenderedPageBreak/>
        <w:t>connected person (section 240(2) , Insolvency Act 1986).</w:t>
      </w:r>
      <w:r w:rsidR="000D53E3">
        <w:rPr>
          <w:rStyle w:val="FootnoteReference"/>
          <w:rFonts w:ascii="Avenir Next" w:hAnsi="Avenir Next" w:cs="Arial"/>
          <w:color w:val="0000FF"/>
          <w:sz w:val="22"/>
          <w:szCs w:val="22"/>
          <w:lang w:val="en-GB"/>
        </w:rPr>
        <w:footnoteReference w:id="2"/>
      </w:r>
      <w:r w:rsidR="000D53E3">
        <w:rPr>
          <w:rFonts w:ascii="Avenir Next" w:hAnsi="Avenir Next" w:cs="Arial"/>
          <w:color w:val="0000FF"/>
          <w:sz w:val="22"/>
          <w:szCs w:val="22"/>
          <w:lang w:val="en-GB"/>
        </w:rPr>
        <w:t xml:space="preserve"> By way of example, in a claim we brought in 2018, we acted for IPs who were joint administrators of a company in which the former director and CEO had defrauded investors, and had sought to give his wife £10m of houses in the period that investigations into his conduct were beginning. Our claim was to bring the assets back into the insolvency estate for the benefit of all creditors. (In the event, we persuaded the wife to voluntarily relinquish the houses in a ‘drop hands’ settlement whereby we left her with one house to live in, and thereafter stopping pursuing her).</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FCB1" w14:textId="77777777" w:rsidR="009C7AB6" w:rsidRDefault="009C7AB6" w:rsidP="00241B44">
      <w:r>
        <w:separator/>
      </w:r>
    </w:p>
  </w:endnote>
  <w:endnote w:type="continuationSeparator" w:id="0">
    <w:p w14:paraId="224183D3" w14:textId="77777777" w:rsidR="009C7AB6" w:rsidRDefault="009C7A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D8D0249" w:rsidR="00AD6A7D" w:rsidRPr="009634F4" w:rsidRDefault="00DC6535" w:rsidP="00AD6A7D">
    <w:pPr>
      <w:pStyle w:val="Footer"/>
      <w:ind w:right="360"/>
      <w:rPr>
        <w:rFonts w:ascii="Avenir Next" w:hAnsi="Avenir Next" w:cs="Arial"/>
        <w:sz w:val="22"/>
        <w:szCs w:val="22"/>
      </w:rPr>
    </w:pPr>
    <w:r w:rsidRPr="00DC6535">
      <w:rPr>
        <w:rFonts w:ascii="Avenir Next" w:hAnsi="Avenir Next" w:cs="Arial"/>
        <w:sz w:val="22"/>
        <w:szCs w:val="22"/>
      </w:rPr>
      <w:t>202223-766</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875B" w14:textId="77777777" w:rsidR="00DC6535" w:rsidRDefault="00DC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8034" w14:textId="77777777" w:rsidR="009C7AB6" w:rsidRDefault="009C7AB6" w:rsidP="00241B44">
      <w:r>
        <w:separator/>
      </w:r>
    </w:p>
  </w:footnote>
  <w:footnote w:type="continuationSeparator" w:id="0">
    <w:p w14:paraId="55D5207B" w14:textId="77777777" w:rsidR="009C7AB6" w:rsidRDefault="009C7AB6" w:rsidP="00241B44">
      <w:r>
        <w:continuationSeparator/>
      </w:r>
    </w:p>
  </w:footnote>
  <w:footnote w:id="1">
    <w:p w14:paraId="0BCE6F5A" w14:textId="54716426" w:rsidR="00694D51" w:rsidRPr="00694D51" w:rsidRDefault="00694D51">
      <w:pPr>
        <w:pStyle w:val="FootnoteText"/>
        <w:rPr>
          <w:lang w:val="en-GB"/>
        </w:rPr>
      </w:pPr>
      <w:r>
        <w:rPr>
          <w:rStyle w:val="FootnoteReference"/>
        </w:rPr>
        <w:footnoteRef/>
      </w:r>
      <w:r>
        <w:t xml:space="preserve"> </w:t>
      </w:r>
    </w:p>
  </w:footnote>
  <w:footnote w:id="2">
    <w:p w14:paraId="1C7561D7" w14:textId="7C5E868E" w:rsidR="000D53E3" w:rsidRPr="000D53E3" w:rsidRDefault="000D53E3">
      <w:pPr>
        <w:pStyle w:val="FootnoteText"/>
        <w:rPr>
          <w:lang w:val="en-GB"/>
        </w:rPr>
      </w:pPr>
      <w:r>
        <w:rPr>
          <w:rStyle w:val="FootnoteReference"/>
        </w:rPr>
        <w:footnoteRef/>
      </w:r>
      <w:r>
        <w:t xml:space="preserve"> Practical Law glossary, </w:t>
      </w:r>
      <w:r w:rsidRPr="000D53E3">
        <w:rPr>
          <w:i/>
          <w:iCs/>
        </w:rPr>
        <w:t>Transaction at an undervalue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C917" w14:textId="77777777" w:rsidR="00DC6535" w:rsidRDefault="00DC6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B8A5" w14:textId="77777777" w:rsidR="00DC6535" w:rsidRDefault="00DC6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85FB" w14:textId="77777777" w:rsidR="00DC6535" w:rsidRDefault="00DC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3D14531"/>
    <w:multiLevelType w:val="hybridMultilevel"/>
    <w:tmpl w:val="24042A7C"/>
    <w:lvl w:ilvl="0" w:tplc="76C24C9A">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7B963C2"/>
    <w:multiLevelType w:val="hybridMultilevel"/>
    <w:tmpl w:val="A7FE5F98"/>
    <w:lvl w:ilvl="0" w:tplc="A2623960">
      <w:start w:val="1"/>
      <w:numFmt w:val="lowerLetter"/>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1"/>
  </w:num>
  <w:num w:numId="3">
    <w:abstractNumId w:val="5"/>
  </w:num>
  <w:num w:numId="4">
    <w:abstractNumId w:val="2"/>
  </w:num>
  <w:num w:numId="5">
    <w:abstractNumId w:val="8"/>
  </w:num>
  <w:num w:numId="6">
    <w:abstractNumId w:val="15"/>
  </w:num>
  <w:num w:numId="7">
    <w:abstractNumId w:val="22"/>
  </w:num>
  <w:num w:numId="8">
    <w:abstractNumId w:val="14"/>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3"/>
  </w:num>
  <w:num w:numId="17">
    <w:abstractNumId w:val="10"/>
  </w:num>
  <w:num w:numId="18">
    <w:abstractNumId w:val="19"/>
  </w:num>
  <w:num w:numId="19">
    <w:abstractNumId w:val="16"/>
  </w:num>
  <w:num w:numId="20">
    <w:abstractNumId w:val="23"/>
  </w:num>
  <w:num w:numId="21">
    <w:abstractNumId w:val="17"/>
  </w:num>
  <w:num w:numId="22">
    <w:abstractNumId w:val="9"/>
  </w:num>
  <w:num w:numId="23">
    <w:abstractNumId w:val="12"/>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131E"/>
    <w:rsid w:val="00093BE8"/>
    <w:rsid w:val="000A68ED"/>
    <w:rsid w:val="000B5FF1"/>
    <w:rsid w:val="000B609F"/>
    <w:rsid w:val="000D53E3"/>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73575"/>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6C1D"/>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5E9E"/>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2E59"/>
    <w:rsid w:val="003E67D1"/>
    <w:rsid w:val="003F5758"/>
    <w:rsid w:val="00405DC1"/>
    <w:rsid w:val="00411B48"/>
    <w:rsid w:val="00415F1F"/>
    <w:rsid w:val="0042108F"/>
    <w:rsid w:val="00430FED"/>
    <w:rsid w:val="0043427C"/>
    <w:rsid w:val="00434A8C"/>
    <w:rsid w:val="00444284"/>
    <w:rsid w:val="00445CE6"/>
    <w:rsid w:val="004534C2"/>
    <w:rsid w:val="0045683E"/>
    <w:rsid w:val="004735B7"/>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300"/>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4D51"/>
    <w:rsid w:val="00697EA1"/>
    <w:rsid w:val="006A2646"/>
    <w:rsid w:val="006A6530"/>
    <w:rsid w:val="006B1CA2"/>
    <w:rsid w:val="006B435A"/>
    <w:rsid w:val="006B4C64"/>
    <w:rsid w:val="006D01C2"/>
    <w:rsid w:val="006E481A"/>
    <w:rsid w:val="006E5298"/>
    <w:rsid w:val="006F734A"/>
    <w:rsid w:val="00700D83"/>
    <w:rsid w:val="007074E9"/>
    <w:rsid w:val="00713DA4"/>
    <w:rsid w:val="007143E1"/>
    <w:rsid w:val="00714BF1"/>
    <w:rsid w:val="00721383"/>
    <w:rsid w:val="007333CC"/>
    <w:rsid w:val="0073399A"/>
    <w:rsid w:val="0073459E"/>
    <w:rsid w:val="00746CF0"/>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64246"/>
    <w:rsid w:val="008723F3"/>
    <w:rsid w:val="00875FCA"/>
    <w:rsid w:val="00881DE6"/>
    <w:rsid w:val="008837A6"/>
    <w:rsid w:val="0089145D"/>
    <w:rsid w:val="008A6CFE"/>
    <w:rsid w:val="008B5333"/>
    <w:rsid w:val="008B6223"/>
    <w:rsid w:val="008C66E0"/>
    <w:rsid w:val="008E3339"/>
    <w:rsid w:val="008F20FC"/>
    <w:rsid w:val="008F28C4"/>
    <w:rsid w:val="008F6301"/>
    <w:rsid w:val="00905A43"/>
    <w:rsid w:val="00912C79"/>
    <w:rsid w:val="009417F6"/>
    <w:rsid w:val="00942123"/>
    <w:rsid w:val="0095207B"/>
    <w:rsid w:val="00954845"/>
    <w:rsid w:val="00955AF1"/>
    <w:rsid w:val="00962045"/>
    <w:rsid w:val="009634F4"/>
    <w:rsid w:val="00991428"/>
    <w:rsid w:val="00992676"/>
    <w:rsid w:val="009B0723"/>
    <w:rsid w:val="009B07AD"/>
    <w:rsid w:val="009B0883"/>
    <w:rsid w:val="009B15E2"/>
    <w:rsid w:val="009C0B8E"/>
    <w:rsid w:val="009C1BC8"/>
    <w:rsid w:val="009C2442"/>
    <w:rsid w:val="009C7AB6"/>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6250"/>
    <w:rsid w:val="00B17AA9"/>
    <w:rsid w:val="00B72AE1"/>
    <w:rsid w:val="00B736DF"/>
    <w:rsid w:val="00B74FBD"/>
    <w:rsid w:val="00B82586"/>
    <w:rsid w:val="00B86DB1"/>
    <w:rsid w:val="00B87869"/>
    <w:rsid w:val="00BB0F2B"/>
    <w:rsid w:val="00BE5FB5"/>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C72B9"/>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C6535"/>
    <w:rsid w:val="00DD0802"/>
    <w:rsid w:val="00DD2E11"/>
    <w:rsid w:val="00DE03AF"/>
    <w:rsid w:val="00DE121C"/>
    <w:rsid w:val="00DE6633"/>
    <w:rsid w:val="00DF75F8"/>
    <w:rsid w:val="00DF7A3A"/>
    <w:rsid w:val="00E00C00"/>
    <w:rsid w:val="00E07C5A"/>
    <w:rsid w:val="00E15BA9"/>
    <w:rsid w:val="00E26E19"/>
    <w:rsid w:val="00E33950"/>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4F1A"/>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173575"/>
    <w:rPr>
      <w:color w:val="605E5C"/>
      <w:shd w:val="clear" w:color="auto" w:fill="E1DFDD"/>
    </w:rPr>
  </w:style>
  <w:style w:type="table" w:styleId="TableGrid">
    <w:name w:val="Table Grid"/>
    <w:basedOn w:val="TableNormal"/>
    <w:uiPriority w:val="39"/>
    <w:rsid w:val="00FD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8643035">
      <w:bodyDiv w:val="1"/>
      <w:marLeft w:val="0"/>
      <w:marRight w:val="0"/>
      <w:marTop w:val="0"/>
      <w:marBottom w:val="0"/>
      <w:divBdr>
        <w:top w:val="none" w:sz="0" w:space="0" w:color="auto"/>
        <w:left w:val="none" w:sz="0" w:space="0" w:color="auto"/>
        <w:bottom w:val="none" w:sz="0" w:space="0" w:color="auto"/>
        <w:right w:val="none" w:sz="0" w:space="0" w:color="auto"/>
      </w:divBdr>
      <w:divsChild>
        <w:div w:id="1142699179">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jin-global.org/" TargetMode="External"/><Relationship Id="rId4" Type="http://schemas.openxmlformats.org/officeDocument/2006/relationships/settings" Target="settings.xml"/><Relationship Id="rId9" Type="http://schemas.openxmlformats.org/officeDocument/2006/relationships/hyperlink" Target="https://www.insol.org/Focus-Groups/Academic-Group/Events-and-Podcas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12</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McLeod</cp:lastModifiedBy>
  <cp:revision>7</cp:revision>
  <cp:lastPrinted>2019-09-04T15:45:00Z</cp:lastPrinted>
  <dcterms:created xsi:type="dcterms:W3CDTF">2022-07-28T08:04:00Z</dcterms:created>
  <dcterms:modified xsi:type="dcterms:W3CDTF">2022-10-15T07:03:00Z</dcterms:modified>
</cp:coreProperties>
</file>