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D915BF" w:rsidRDefault="00B736DF" w:rsidP="009E1027">
      <w:pPr>
        <w:pStyle w:val="ListParagraph"/>
        <w:numPr>
          <w:ilvl w:val="0"/>
          <w:numId w:val="12"/>
        </w:numPr>
        <w:ind w:left="426"/>
        <w:jc w:val="both"/>
        <w:rPr>
          <w:rFonts w:ascii="Avenir Next" w:hAnsi="Avenir Next" w:cs="Arial"/>
          <w:sz w:val="22"/>
          <w:szCs w:val="22"/>
          <w:highlight w:val="yellow"/>
          <w:lang w:val="en-GB"/>
        </w:rPr>
      </w:pPr>
      <w:r w:rsidRPr="00D915B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B522FF" w:rsidRDefault="00161F1B" w:rsidP="009E1027">
      <w:pPr>
        <w:pStyle w:val="ListParagraph"/>
        <w:numPr>
          <w:ilvl w:val="0"/>
          <w:numId w:val="13"/>
        </w:numPr>
        <w:ind w:left="426"/>
        <w:jc w:val="both"/>
        <w:rPr>
          <w:rFonts w:ascii="Avenir Next" w:hAnsi="Avenir Next" w:cs="Arial"/>
          <w:sz w:val="22"/>
          <w:szCs w:val="22"/>
          <w:highlight w:val="yellow"/>
          <w:lang w:val="en-GB"/>
        </w:rPr>
      </w:pPr>
      <w:r w:rsidRPr="00B522FF">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A5A7A" w:rsidRDefault="009E2E27" w:rsidP="008031A7">
      <w:pPr>
        <w:pStyle w:val="ListParagraph"/>
        <w:numPr>
          <w:ilvl w:val="0"/>
          <w:numId w:val="14"/>
        </w:numPr>
        <w:ind w:left="426"/>
        <w:jc w:val="both"/>
        <w:rPr>
          <w:rFonts w:ascii="Avenir Next" w:hAnsi="Avenir Next" w:cs="Arial"/>
          <w:sz w:val="22"/>
          <w:szCs w:val="22"/>
          <w:highlight w:val="yellow"/>
          <w:lang w:val="en-GB"/>
        </w:rPr>
      </w:pPr>
      <w:r w:rsidRPr="004A5A7A">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525E2" w:rsidRDefault="009E2E27" w:rsidP="008031A7">
      <w:pPr>
        <w:pStyle w:val="ListParagraph"/>
        <w:numPr>
          <w:ilvl w:val="0"/>
          <w:numId w:val="15"/>
        </w:numPr>
        <w:ind w:left="426"/>
        <w:jc w:val="both"/>
        <w:rPr>
          <w:rFonts w:ascii="Avenir Next" w:hAnsi="Avenir Next" w:cs="Arial"/>
          <w:sz w:val="22"/>
          <w:szCs w:val="22"/>
          <w:highlight w:val="yellow"/>
          <w:lang w:val="en-GB"/>
        </w:rPr>
      </w:pPr>
      <w:r w:rsidRPr="004525E2">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F57729" w:rsidRDefault="00A235B7" w:rsidP="006D01C2">
      <w:pPr>
        <w:pStyle w:val="ListParagraph"/>
        <w:numPr>
          <w:ilvl w:val="0"/>
          <w:numId w:val="16"/>
        </w:numPr>
        <w:ind w:left="426"/>
        <w:jc w:val="both"/>
        <w:rPr>
          <w:rFonts w:ascii="Avenir Next" w:hAnsi="Avenir Next" w:cs="Arial"/>
          <w:sz w:val="22"/>
          <w:szCs w:val="22"/>
          <w:highlight w:val="yellow"/>
          <w:lang w:val="en-GB"/>
        </w:rPr>
      </w:pPr>
      <w:r w:rsidRPr="00F57729">
        <w:rPr>
          <w:rFonts w:ascii="Avenir Next" w:hAnsi="Avenir Next" w:cs="Arial"/>
          <w:sz w:val="22"/>
          <w:szCs w:val="22"/>
          <w:highlight w:val="yellow"/>
          <w:lang w:val="en-GB"/>
        </w:rPr>
        <w:t>The statement</w:t>
      </w:r>
      <w:r w:rsidR="0037465A" w:rsidRPr="00F57729">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100BF1"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00BF1">
        <w:rPr>
          <w:rFonts w:ascii="Avenir Next" w:eastAsiaTheme="minorHAnsi" w:hAnsi="Avenir Next" w:cs="Arial"/>
          <w:sz w:val="22"/>
          <w:szCs w:val="22"/>
          <w:highlight w:val="yellow"/>
          <w:lang w:val="en-GB"/>
        </w:rPr>
        <w:t>Private International Law</w:t>
      </w:r>
      <w:r w:rsidR="00991428" w:rsidRPr="00100BF1">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DA71B8" w:rsidRDefault="004D1A5A" w:rsidP="006D01C2">
      <w:pPr>
        <w:pStyle w:val="ListParagraph"/>
        <w:numPr>
          <w:ilvl w:val="0"/>
          <w:numId w:val="18"/>
        </w:numPr>
        <w:ind w:left="426"/>
        <w:jc w:val="both"/>
        <w:rPr>
          <w:rFonts w:ascii="Avenir Next" w:hAnsi="Avenir Next" w:cs="Arial"/>
          <w:sz w:val="22"/>
          <w:szCs w:val="22"/>
          <w:highlight w:val="yellow"/>
          <w:lang w:val="en-GB"/>
        </w:rPr>
      </w:pPr>
      <w:r w:rsidRPr="00DA71B8">
        <w:rPr>
          <w:rFonts w:ascii="Avenir Next" w:hAnsi="Avenir Next" w:cs="Arial"/>
          <w:sz w:val="22"/>
          <w:szCs w:val="22"/>
          <w:highlight w:val="yellow"/>
          <w:lang w:val="en-GB"/>
        </w:rPr>
        <w:t>UNCITRAL Model Law on Cross-border Insolvency (1997)</w:t>
      </w:r>
      <w:r w:rsidR="00912C79" w:rsidRPr="00DA71B8">
        <w:rPr>
          <w:rFonts w:ascii="Avenir Next" w:hAnsi="Avenir Next" w:cs="Arial"/>
          <w:sz w:val="22"/>
          <w:szCs w:val="22"/>
          <w:highlight w:val="yellow"/>
          <w:lang w:val="en-GB"/>
        </w:rPr>
        <w:t>.</w:t>
      </w:r>
      <w:r w:rsidRPr="00DA71B8">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751DF"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751DF">
        <w:rPr>
          <w:rFonts w:ascii="Avenir Next" w:hAnsi="Avenir Next" w:cs="Arial"/>
          <w:sz w:val="22"/>
          <w:szCs w:val="22"/>
          <w:highlight w:val="yellow"/>
          <w:lang w:val="en-GB"/>
        </w:rPr>
        <w:t>Havana Convention on Private International Law (1928)</w:t>
      </w:r>
      <w:r w:rsidRPr="001751DF">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471F54" w:rsidRDefault="0082483F" w:rsidP="006D01C2">
      <w:pPr>
        <w:pStyle w:val="ListParagraph"/>
        <w:numPr>
          <w:ilvl w:val="0"/>
          <w:numId w:val="20"/>
        </w:numPr>
        <w:ind w:left="426"/>
        <w:jc w:val="both"/>
        <w:rPr>
          <w:rFonts w:ascii="Avenir Next" w:hAnsi="Avenir Next" w:cs="Arial"/>
          <w:sz w:val="22"/>
          <w:szCs w:val="22"/>
          <w:highlight w:val="yellow"/>
          <w:lang w:val="en-GB"/>
        </w:rPr>
      </w:pPr>
      <w:r w:rsidRPr="00471F54">
        <w:rPr>
          <w:rFonts w:ascii="Avenir Next" w:hAnsi="Avenir Next" w:cs="Arial"/>
          <w:sz w:val="22"/>
          <w:szCs w:val="22"/>
          <w:highlight w:val="yellow"/>
          <w:lang w:val="en-GB"/>
        </w:rPr>
        <w:t>A centralised insolvency register of insolvency proceedings opened in member states</w:t>
      </w:r>
      <w:r w:rsidR="003A2F8D" w:rsidRPr="00471F54">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A40F6A"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A40F6A">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5201BB3A" w:rsidR="00DE03AF" w:rsidRPr="00827D56" w:rsidRDefault="00067600" w:rsidP="00C053F7">
      <w:pPr>
        <w:jc w:val="both"/>
        <w:rPr>
          <w:rFonts w:ascii="Avenir Next" w:hAnsi="Avenir Next" w:cs="Arial"/>
          <w:sz w:val="22"/>
          <w:szCs w:val="22"/>
          <w:lang w:val="en-GB"/>
        </w:rPr>
      </w:pPr>
      <w:r w:rsidRPr="00067600">
        <w:rPr>
          <w:rFonts w:ascii="Avenir Next" w:hAnsi="Avenir Next" w:cs="Arial"/>
          <w:color w:val="7B7B7B" w:themeColor="accent3" w:themeShade="BF"/>
          <w:sz w:val="22"/>
          <w:szCs w:val="22"/>
          <w:lang w:val="en-GB"/>
        </w:rPr>
        <w:t>As defined by Wessels, international insolvency law refers to the part of the law that is often described as a body of rules concerning certain insolvency proceedings or measures, which cannot be fully enforced. This is due to the fact that the law which would ordinarily be applicable cannot be executed immediately and exclusively without giving due consideration to the international aspect of that particular case.</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4431A60" w14:textId="42CD1C51" w:rsidR="00642DAA" w:rsidRDefault="000A05E4" w:rsidP="0064502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w:t>
      </w:r>
      <w:r w:rsidR="000D403A">
        <w:rPr>
          <w:rFonts w:ascii="Avenir Next" w:hAnsi="Avenir Next" w:cs="Arial"/>
          <w:color w:val="7B7B7B" w:themeColor="accent3" w:themeShade="BF"/>
          <w:sz w:val="22"/>
          <w:szCs w:val="22"/>
          <w:lang w:val="en-GB"/>
        </w:rPr>
        <w:t>and biggest</w:t>
      </w:r>
      <w:r>
        <w:rPr>
          <w:rFonts w:ascii="Avenir Next" w:hAnsi="Avenir Next" w:cs="Arial"/>
          <w:color w:val="7B7B7B" w:themeColor="accent3" w:themeShade="BF"/>
          <w:sz w:val="22"/>
          <w:szCs w:val="22"/>
          <w:lang w:val="en-GB"/>
        </w:rPr>
        <w:t xml:space="preserve"> difference is that </w:t>
      </w:r>
      <w:r w:rsidR="00755E11">
        <w:rPr>
          <w:rFonts w:ascii="Avenir Next" w:hAnsi="Avenir Next" w:cs="Arial"/>
          <w:color w:val="7B7B7B" w:themeColor="accent3" w:themeShade="BF"/>
          <w:sz w:val="22"/>
          <w:szCs w:val="22"/>
          <w:lang w:val="en-GB"/>
        </w:rPr>
        <w:t>u</w:t>
      </w:r>
      <w:r w:rsidR="00645025" w:rsidRPr="00645025">
        <w:rPr>
          <w:rFonts w:ascii="Avenir Next" w:hAnsi="Avenir Next" w:cs="Arial"/>
          <w:color w:val="7B7B7B" w:themeColor="accent3" w:themeShade="BF"/>
          <w:sz w:val="22"/>
          <w:szCs w:val="22"/>
          <w:lang w:val="en-GB"/>
        </w:rPr>
        <w:t xml:space="preserve">niversality (or universalism) refers to the notion that there should only be one insolvency </w:t>
      </w:r>
      <w:r w:rsidR="00BB66E3">
        <w:rPr>
          <w:rFonts w:ascii="Avenir Next" w:hAnsi="Avenir Next" w:cs="Arial"/>
          <w:color w:val="7B7B7B" w:themeColor="accent3" w:themeShade="BF"/>
          <w:sz w:val="22"/>
          <w:szCs w:val="22"/>
          <w:lang w:val="en-GB"/>
        </w:rPr>
        <w:t xml:space="preserve">dealing with all of the debtor’s assets and debts worldwide. </w:t>
      </w:r>
      <w:r w:rsidR="00926024">
        <w:rPr>
          <w:rFonts w:ascii="Avenir Next" w:hAnsi="Avenir Next" w:cs="Arial"/>
          <w:color w:val="7B7B7B" w:themeColor="accent3" w:themeShade="BF"/>
          <w:sz w:val="22"/>
          <w:szCs w:val="22"/>
          <w:lang w:val="en-GB"/>
        </w:rPr>
        <w:t>Therefore, once insolvency proceedings have commenced in one jurisdiction, no other insolvency proceedings ought to be possible</w:t>
      </w:r>
      <w:r w:rsidR="00D27604">
        <w:rPr>
          <w:rFonts w:ascii="Avenir Next" w:hAnsi="Avenir Next" w:cs="Arial"/>
          <w:color w:val="7B7B7B" w:themeColor="accent3" w:themeShade="BF"/>
          <w:sz w:val="22"/>
          <w:szCs w:val="22"/>
          <w:lang w:val="en-GB"/>
        </w:rPr>
        <w:t>, nor should there be any other forms of execution of the debtor’s assets</w:t>
      </w:r>
      <w:r w:rsidR="006A2751">
        <w:rPr>
          <w:rFonts w:ascii="Avenir Next" w:hAnsi="Avenir Next" w:cs="Arial"/>
          <w:color w:val="7B7B7B" w:themeColor="accent3" w:themeShade="BF"/>
          <w:sz w:val="22"/>
          <w:szCs w:val="22"/>
          <w:lang w:val="en-GB"/>
        </w:rPr>
        <w:t xml:space="preserve">. Ideally, there should only be one forum with jurisdiction over the insolvency proceedings. </w:t>
      </w:r>
      <w:r w:rsidR="003403E6">
        <w:rPr>
          <w:rFonts w:ascii="Avenir Next" w:hAnsi="Avenir Next" w:cs="Arial"/>
          <w:color w:val="7B7B7B" w:themeColor="accent3" w:themeShade="BF"/>
          <w:sz w:val="22"/>
          <w:szCs w:val="22"/>
          <w:lang w:val="en-GB"/>
        </w:rPr>
        <w:t xml:space="preserve">Conversely, </w:t>
      </w:r>
      <w:r w:rsidR="008912CA">
        <w:rPr>
          <w:rFonts w:ascii="Avenir Next" w:hAnsi="Avenir Next" w:cs="Arial"/>
          <w:color w:val="7B7B7B" w:themeColor="accent3" w:themeShade="BF"/>
          <w:sz w:val="22"/>
          <w:szCs w:val="22"/>
          <w:lang w:val="en-GB"/>
        </w:rPr>
        <w:t xml:space="preserve">territoriality (or </w:t>
      </w:r>
      <w:r w:rsidR="003403E6">
        <w:rPr>
          <w:rFonts w:ascii="Avenir Next" w:hAnsi="Avenir Next" w:cs="Arial"/>
          <w:color w:val="7B7B7B" w:themeColor="accent3" w:themeShade="BF"/>
          <w:sz w:val="22"/>
          <w:szCs w:val="22"/>
          <w:lang w:val="en-GB"/>
        </w:rPr>
        <w:t>territorialism</w:t>
      </w:r>
      <w:r w:rsidR="008912CA">
        <w:rPr>
          <w:rFonts w:ascii="Avenir Next" w:hAnsi="Avenir Next" w:cs="Arial"/>
          <w:color w:val="7B7B7B" w:themeColor="accent3" w:themeShade="BF"/>
          <w:sz w:val="22"/>
          <w:szCs w:val="22"/>
          <w:lang w:val="en-GB"/>
        </w:rPr>
        <w:t>)</w:t>
      </w:r>
      <w:r w:rsidR="003403E6">
        <w:rPr>
          <w:rFonts w:ascii="Avenir Next" w:hAnsi="Avenir Next" w:cs="Arial"/>
          <w:color w:val="7B7B7B" w:themeColor="accent3" w:themeShade="BF"/>
          <w:sz w:val="22"/>
          <w:szCs w:val="22"/>
          <w:lang w:val="en-GB"/>
        </w:rPr>
        <w:t xml:space="preserve"> is premised on the notion that insolvency proceedings may be commenced in every state/jurisdiction where the debtor holds assets, but that such proceedings should be territorially limited and restricted to property within the state where the proceedings are commenced. Under territorialism, </w:t>
      </w:r>
      <w:r w:rsidR="00AB11D4">
        <w:rPr>
          <w:rFonts w:ascii="Avenir Next" w:hAnsi="Avenir Next" w:cs="Arial"/>
          <w:color w:val="7B7B7B" w:themeColor="accent3" w:themeShade="BF"/>
          <w:sz w:val="22"/>
          <w:szCs w:val="22"/>
          <w:lang w:val="en-GB"/>
        </w:rPr>
        <w:t xml:space="preserve">it would thus be possible to have multiple insolvency proceedings </w:t>
      </w:r>
      <w:r w:rsidR="00AB11D4">
        <w:rPr>
          <w:rFonts w:ascii="Avenir Next" w:hAnsi="Avenir Next" w:cs="Arial"/>
          <w:color w:val="7B7B7B" w:themeColor="accent3" w:themeShade="BF"/>
          <w:sz w:val="22"/>
          <w:szCs w:val="22"/>
          <w:lang w:val="en-GB"/>
        </w:rPr>
        <w:lastRenderedPageBreak/>
        <w:t xml:space="preserve">running concurrently in relation to the same debtor, but each of those proceedings would then be restricted in respect of which creditors may file their claims. </w:t>
      </w:r>
    </w:p>
    <w:p w14:paraId="3982C0E2" w14:textId="77777777" w:rsidR="00642DAA" w:rsidRDefault="00642DAA" w:rsidP="00645025">
      <w:pPr>
        <w:jc w:val="both"/>
        <w:rPr>
          <w:rFonts w:ascii="Avenir Next" w:hAnsi="Avenir Next" w:cs="Arial"/>
          <w:color w:val="7B7B7B" w:themeColor="accent3" w:themeShade="BF"/>
          <w:sz w:val="22"/>
          <w:szCs w:val="22"/>
          <w:lang w:val="en-GB"/>
        </w:rPr>
      </w:pPr>
    </w:p>
    <w:p w14:paraId="59A24B63" w14:textId="3EFB74CF" w:rsidR="00642DAA" w:rsidRDefault="00AD2317" w:rsidP="0064502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Secondly, u</w:t>
      </w:r>
      <w:r w:rsidR="00A9049D">
        <w:rPr>
          <w:rFonts w:ascii="Avenir Next" w:hAnsi="Avenir Next" w:cs="Arial"/>
          <w:color w:val="7B7B7B" w:themeColor="accent3" w:themeShade="BF"/>
          <w:sz w:val="22"/>
          <w:szCs w:val="22"/>
          <w:lang w:val="en-GB"/>
        </w:rPr>
        <w:t xml:space="preserve">nder </w:t>
      </w:r>
      <w:r w:rsidR="00F427FC">
        <w:rPr>
          <w:rFonts w:ascii="Avenir Next" w:hAnsi="Avenir Next" w:cs="Arial"/>
          <w:color w:val="7B7B7B" w:themeColor="accent3" w:themeShade="BF"/>
          <w:sz w:val="22"/>
          <w:szCs w:val="22"/>
          <w:lang w:val="en-GB"/>
        </w:rPr>
        <w:t xml:space="preserve">the concept of </w:t>
      </w:r>
      <w:r w:rsidR="00A9049D">
        <w:rPr>
          <w:rFonts w:ascii="Avenir Next" w:hAnsi="Avenir Next" w:cs="Arial"/>
          <w:color w:val="7B7B7B" w:themeColor="accent3" w:themeShade="BF"/>
          <w:sz w:val="22"/>
          <w:szCs w:val="22"/>
          <w:lang w:val="en-GB"/>
        </w:rPr>
        <w:t>universality, t</w:t>
      </w:r>
      <w:r w:rsidR="00B55AD4">
        <w:rPr>
          <w:rFonts w:ascii="Avenir Next" w:hAnsi="Avenir Next" w:cs="Arial"/>
          <w:color w:val="7B7B7B" w:themeColor="accent3" w:themeShade="BF"/>
          <w:sz w:val="22"/>
          <w:szCs w:val="22"/>
          <w:lang w:val="en-GB"/>
        </w:rPr>
        <w:t>he</w:t>
      </w:r>
      <w:r w:rsidR="00331690">
        <w:rPr>
          <w:rFonts w:ascii="Avenir Next" w:hAnsi="Avenir Next" w:cs="Arial"/>
          <w:color w:val="7B7B7B" w:themeColor="accent3" w:themeShade="BF"/>
          <w:sz w:val="22"/>
          <w:szCs w:val="22"/>
          <w:lang w:val="en-GB"/>
        </w:rPr>
        <w:t>re are various approaches to selecting the</w:t>
      </w:r>
      <w:r w:rsidR="00B55AD4">
        <w:rPr>
          <w:rFonts w:ascii="Avenir Next" w:hAnsi="Avenir Next" w:cs="Arial"/>
          <w:color w:val="7B7B7B" w:themeColor="accent3" w:themeShade="BF"/>
          <w:sz w:val="22"/>
          <w:szCs w:val="22"/>
          <w:lang w:val="en-GB"/>
        </w:rPr>
        <w:t xml:space="preserve"> chosen state</w:t>
      </w:r>
      <w:r w:rsidR="00331690">
        <w:rPr>
          <w:rFonts w:ascii="Avenir Next" w:hAnsi="Avenir Next" w:cs="Arial"/>
          <w:color w:val="7B7B7B" w:themeColor="accent3" w:themeShade="BF"/>
          <w:sz w:val="22"/>
          <w:szCs w:val="22"/>
          <w:lang w:val="en-GB"/>
        </w:rPr>
        <w:t>: for instance, the chosen state could</w:t>
      </w:r>
      <w:r w:rsidR="00B55AD4">
        <w:rPr>
          <w:rFonts w:ascii="Avenir Next" w:hAnsi="Avenir Next" w:cs="Arial"/>
          <w:color w:val="7B7B7B" w:themeColor="accent3" w:themeShade="BF"/>
          <w:sz w:val="22"/>
          <w:szCs w:val="22"/>
          <w:lang w:val="en-GB"/>
        </w:rPr>
        <w:t xml:space="preserve"> be one </w:t>
      </w:r>
      <w:r w:rsidR="00A9049D">
        <w:rPr>
          <w:rFonts w:ascii="Avenir Next" w:hAnsi="Avenir Next" w:cs="Arial"/>
          <w:color w:val="7B7B7B" w:themeColor="accent3" w:themeShade="BF"/>
          <w:sz w:val="22"/>
          <w:szCs w:val="22"/>
          <w:lang w:val="en-GB"/>
        </w:rPr>
        <w:t>where the debtor’s centre of interests is located</w:t>
      </w:r>
      <w:r w:rsidR="00707606">
        <w:rPr>
          <w:rFonts w:ascii="Avenir Next" w:hAnsi="Avenir Next" w:cs="Arial"/>
          <w:color w:val="7B7B7B" w:themeColor="accent3" w:themeShade="BF"/>
          <w:sz w:val="22"/>
          <w:szCs w:val="22"/>
          <w:lang w:val="en-GB"/>
        </w:rPr>
        <w:t>.</w:t>
      </w:r>
      <w:r w:rsidR="004A5E48">
        <w:rPr>
          <w:rFonts w:ascii="Avenir Next" w:hAnsi="Avenir Next" w:cs="Arial"/>
          <w:color w:val="7B7B7B" w:themeColor="accent3" w:themeShade="BF"/>
          <w:sz w:val="22"/>
          <w:szCs w:val="22"/>
          <w:lang w:val="en-GB"/>
        </w:rPr>
        <w:t xml:space="preserve"> Whichever approach is used, the premise is that the entirety of the debtor’s assets should be included in the insolvency proceeding and the officeholder should b</w:t>
      </w:r>
      <w:r w:rsidR="008912CA">
        <w:rPr>
          <w:rFonts w:ascii="Avenir Next" w:hAnsi="Avenir Next" w:cs="Arial"/>
          <w:color w:val="7B7B7B" w:themeColor="accent3" w:themeShade="BF"/>
          <w:sz w:val="22"/>
          <w:szCs w:val="22"/>
          <w:lang w:val="en-GB"/>
        </w:rPr>
        <w:t>e</w:t>
      </w:r>
      <w:r w:rsidR="004A5E48">
        <w:rPr>
          <w:rFonts w:ascii="Avenir Next" w:hAnsi="Avenir Next" w:cs="Arial"/>
          <w:color w:val="7B7B7B" w:themeColor="accent3" w:themeShade="BF"/>
          <w:sz w:val="22"/>
          <w:szCs w:val="22"/>
          <w:lang w:val="en-GB"/>
        </w:rPr>
        <w:t xml:space="preserve"> provided with the tools to control and obtain all such assets. </w:t>
      </w:r>
      <w:r w:rsidR="000A05E4">
        <w:rPr>
          <w:rFonts w:ascii="Avenir Next" w:hAnsi="Avenir Next" w:cs="Arial"/>
          <w:color w:val="7B7B7B" w:themeColor="accent3" w:themeShade="BF"/>
          <w:sz w:val="22"/>
          <w:szCs w:val="22"/>
          <w:lang w:val="en-GB"/>
        </w:rPr>
        <w:t>Conve</w:t>
      </w:r>
      <w:r>
        <w:rPr>
          <w:rFonts w:ascii="Avenir Next" w:hAnsi="Avenir Next" w:cs="Arial"/>
          <w:color w:val="7B7B7B" w:themeColor="accent3" w:themeShade="BF"/>
          <w:sz w:val="22"/>
          <w:szCs w:val="22"/>
          <w:lang w:val="en-GB"/>
        </w:rPr>
        <w:t>r</w:t>
      </w:r>
      <w:r w:rsidR="00755E11">
        <w:rPr>
          <w:rFonts w:ascii="Avenir Next" w:hAnsi="Avenir Next" w:cs="Arial"/>
          <w:color w:val="7B7B7B" w:themeColor="accent3" w:themeShade="BF"/>
          <w:sz w:val="22"/>
          <w:szCs w:val="22"/>
          <w:lang w:val="en-GB"/>
        </w:rPr>
        <w:t>sely, under territorialism,</w:t>
      </w:r>
      <w:r w:rsidR="00B1043F">
        <w:rPr>
          <w:rFonts w:ascii="Avenir Next" w:hAnsi="Avenir Next" w:cs="Arial"/>
          <w:color w:val="7B7B7B" w:themeColor="accent3" w:themeShade="BF"/>
          <w:sz w:val="22"/>
          <w:szCs w:val="22"/>
          <w:lang w:val="en-GB"/>
        </w:rPr>
        <w:t xml:space="preserve"> there is no such need to select a chosen state, but</w:t>
      </w:r>
      <w:r w:rsidR="00755E11">
        <w:rPr>
          <w:rFonts w:ascii="Avenir Next" w:hAnsi="Avenir Next" w:cs="Arial"/>
          <w:color w:val="7B7B7B" w:themeColor="accent3" w:themeShade="BF"/>
          <w:sz w:val="22"/>
          <w:szCs w:val="22"/>
          <w:lang w:val="en-GB"/>
        </w:rPr>
        <w:t xml:space="preserve"> </w:t>
      </w:r>
      <w:r w:rsidR="00A62348">
        <w:rPr>
          <w:rFonts w:ascii="Avenir Next" w:hAnsi="Avenir Next" w:cs="Arial"/>
          <w:color w:val="7B7B7B" w:themeColor="accent3" w:themeShade="BF"/>
          <w:sz w:val="22"/>
          <w:szCs w:val="22"/>
          <w:lang w:val="en-GB"/>
        </w:rPr>
        <w:t>the officeholder’s mandate would be limited to the national borders of the state where the insolvency proceedings are taking place</w:t>
      </w:r>
      <w:r w:rsidR="00B1043F">
        <w:rPr>
          <w:rFonts w:ascii="Avenir Next" w:hAnsi="Avenir Next" w:cs="Arial"/>
          <w:color w:val="7B7B7B" w:themeColor="accent3" w:themeShade="BF"/>
          <w:sz w:val="22"/>
          <w:szCs w:val="22"/>
          <w:lang w:val="en-GB"/>
        </w:rPr>
        <w:t xml:space="preserve"> and presumably where he is appointed. </w:t>
      </w:r>
    </w:p>
    <w:p w14:paraId="36BE097C" w14:textId="77777777" w:rsidR="00642DAA" w:rsidRDefault="00642DAA" w:rsidP="00645025">
      <w:pPr>
        <w:jc w:val="both"/>
        <w:rPr>
          <w:rFonts w:ascii="Avenir Next" w:hAnsi="Avenir Next" w:cs="Arial"/>
          <w:color w:val="7B7B7B" w:themeColor="accent3" w:themeShade="BF"/>
          <w:sz w:val="22"/>
          <w:szCs w:val="22"/>
          <w:lang w:val="en-GB"/>
        </w:rPr>
      </w:pPr>
    </w:p>
    <w:p w14:paraId="005EBDB6" w14:textId="012A2258" w:rsidR="000B7DB9" w:rsidRPr="00B55AD4" w:rsidRDefault="00B1043F" w:rsidP="0064502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Thirdly, f</w:t>
      </w:r>
      <w:r w:rsidR="00642DAA">
        <w:rPr>
          <w:rFonts w:ascii="Avenir Next" w:hAnsi="Avenir Next" w:cs="Arial"/>
          <w:color w:val="7B7B7B" w:themeColor="accent3" w:themeShade="BF"/>
          <w:sz w:val="22"/>
          <w:szCs w:val="22"/>
          <w:lang w:val="en-GB"/>
        </w:rPr>
        <w:t>or universality, c</w:t>
      </w:r>
      <w:r w:rsidR="004A5E48">
        <w:rPr>
          <w:rFonts w:ascii="Avenir Next" w:hAnsi="Avenir Next" w:cs="Arial"/>
          <w:color w:val="7B7B7B" w:themeColor="accent3" w:themeShade="BF"/>
          <w:sz w:val="22"/>
          <w:szCs w:val="22"/>
          <w:lang w:val="en-GB"/>
        </w:rPr>
        <w:t xml:space="preserve">reditors around the world should have the opportunity of participating in the proceedings with all claims being treated on an equal basis. </w:t>
      </w:r>
      <w:r>
        <w:rPr>
          <w:rFonts w:ascii="Avenir Next" w:hAnsi="Avenir Next" w:cs="Arial"/>
          <w:color w:val="7B7B7B" w:themeColor="accent3" w:themeShade="BF"/>
          <w:sz w:val="22"/>
          <w:szCs w:val="22"/>
          <w:lang w:val="en-GB"/>
        </w:rPr>
        <w:t>Conversely, territorialism</w:t>
      </w:r>
      <w:r w:rsidR="000240BE">
        <w:rPr>
          <w:rFonts w:ascii="Avenir Next" w:hAnsi="Avenir Next" w:cs="Arial"/>
          <w:color w:val="7B7B7B" w:themeColor="accent3" w:themeShade="BF"/>
          <w:sz w:val="22"/>
          <w:szCs w:val="22"/>
          <w:lang w:val="en-GB"/>
        </w:rPr>
        <w:t xml:space="preserve"> addresses l</w:t>
      </w:r>
      <w:r w:rsidR="0058287C">
        <w:rPr>
          <w:rFonts w:ascii="Avenir Next" w:hAnsi="Avenir Next" w:cs="Arial"/>
          <w:color w:val="7B7B7B" w:themeColor="accent3" w:themeShade="BF"/>
          <w:sz w:val="22"/>
          <w:szCs w:val="22"/>
          <w:lang w:val="en-GB"/>
        </w:rPr>
        <w:t>ocal creditors who act within a domestic market</w:t>
      </w:r>
      <w:r w:rsidR="000240BE">
        <w:rPr>
          <w:rFonts w:ascii="Avenir Next" w:hAnsi="Avenir Next" w:cs="Arial"/>
          <w:color w:val="7B7B7B" w:themeColor="accent3" w:themeShade="BF"/>
          <w:sz w:val="22"/>
          <w:szCs w:val="22"/>
          <w:lang w:val="en-GB"/>
        </w:rPr>
        <w:t xml:space="preserve">, who may, however, suffer </w:t>
      </w:r>
      <w:r w:rsidR="0058287C">
        <w:rPr>
          <w:rFonts w:ascii="Avenir Next" w:hAnsi="Avenir Next" w:cs="Arial"/>
          <w:color w:val="7B7B7B" w:themeColor="accent3" w:themeShade="BF"/>
          <w:sz w:val="22"/>
          <w:szCs w:val="22"/>
          <w:lang w:val="en-GB"/>
        </w:rPr>
        <w:t xml:space="preserve">practical and economic challenges when participating in foreign insolvency proceedings, and it could happen that only the </w:t>
      </w:r>
      <w:r w:rsidR="00EF40E8">
        <w:rPr>
          <w:rFonts w:ascii="Avenir Next" w:hAnsi="Avenir Next" w:cs="Arial"/>
          <w:color w:val="7B7B7B" w:themeColor="accent3" w:themeShade="BF"/>
          <w:sz w:val="22"/>
          <w:szCs w:val="22"/>
          <w:lang w:val="en-GB"/>
        </w:rPr>
        <w:t>strongest</w:t>
      </w:r>
      <w:r w:rsidR="0058287C">
        <w:rPr>
          <w:rFonts w:ascii="Avenir Next" w:hAnsi="Avenir Next" w:cs="Arial"/>
          <w:color w:val="7B7B7B" w:themeColor="accent3" w:themeShade="BF"/>
          <w:sz w:val="22"/>
          <w:szCs w:val="22"/>
          <w:lang w:val="en-GB"/>
        </w:rPr>
        <w:t xml:space="preserve"> creditors would receive any payment.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0DACCB13" w:rsidR="00C72848" w:rsidRDefault="00B27623" w:rsidP="0029572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w:t>
      </w:r>
      <w:r w:rsidR="0029572B">
        <w:rPr>
          <w:rFonts w:ascii="Avenir Next" w:hAnsi="Avenir Next" w:cs="Arial"/>
          <w:color w:val="7B7B7B" w:themeColor="accent3" w:themeShade="BF"/>
          <w:sz w:val="22"/>
          <w:szCs w:val="22"/>
          <w:lang w:val="en-GB"/>
        </w:rPr>
        <w:t>t, the first regional comparative survey of insolvency systems in the Middle East and North Africa (MENA) was launched in 2019 as a joint initiative of</w:t>
      </w:r>
      <w:r w:rsidR="00592796">
        <w:rPr>
          <w:rFonts w:ascii="Avenir Next" w:hAnsi="Avenir Next" w:cs="Arial"/>
          <w:color w:val="7B7B7B" w:themeColor="accent3" w:themeShade="BF"/>
          <w:sz w:val="22"/>
          <w:szCs w:val="22"/>
          <w:lang w:val="en-GB"/>
        </w:rPr>
        <w:t xml:space="preserve">, among others, the World Bank and INSOL International. This was based on the World Bank’s Principle for Effective Insolvency and Creditor Rights Systems (2005) as an indicator of best practice. </w:t>
      </w:r>
    </w:p>
    <w:p w14:paraId="0172A128" w14:textId="77777777" w:rsidR="00592796" w:rsidRDefault="00592796" w:rsidP="0029572B">
      <w:pPr>
        <w:jc w:val="both"/>
        <w:rPr>
          <w:rFonts w:ascii="Avenir Next" w:hAnsi="Avenir Next" w:cs="Arial"/>
          <w:color w:val="7B7B7B" w:themeColor="accent3" w:themeShade="BF"/>
          <w:sz w:val="22"/>
          <w:szCs w:val="22"/>
          <w:lang w:val="en-GB"/>
        </w:rPr>
      </w:pPr>
    </w:p>
    <w:p w14:paraId="7ADDC88A" w14:textId="00026F2C" w:rsidR="003836EF" w:rsidRDefault="003836EF" w:rsidP="0029572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w:t>
      </w:r>
      <w:r w:rsidR="00D95D30">
        <w:rPr>
          <w:rFonts w:ascii="Avenir Next" w:hAnsi="Avenir Next" w:cs="Arial"/>
          <w:color w:val="7B7B7B" w:themeColor="accent3" w:themeShade="BF"/>
          <w:sz w:val="22"/>
          <w:szCs w:val="22"/>
          <w:lang w:val="en-GB"/>
        </w:rPr>
        <w:t xml:space="preserve">the UAE reformed its domestic insolvency laws in 2016 and 2019. </w:t>
      </w:r>
      <w:r w:rsidR="00EC7FDF">
        <w:rPr>
          <w:rFonts w:ascii="Avenir Next" w:hAnsi="Avenir Next" w:cs="Arial"/>
          <w:color w:val="7B7B7B" w:themeColor="accent3" w:themeShade="BF"/>
          <w:sz w:val="22"/>
          <w:szCs w:val="22"/>
          <w:lang w:val="en-GB"/>
        </w:rPr>
        <w:t xml:space="preserve">In particular, it passed the Federal Law by Decree No (9) of 2016 on Bankruptcy, which </w:t>
      </w:r>
      <w:r w:rsidR="004B1FAA">
        <w:rPr>
          <w:rFonts w:ascii="Avenir Next" w:hAnsi="Avenir Next" w:cs="Arial"/>
          <w:color w:val="7B7B7B" w:themeColor="accent3" w:themeShade="BF"/>
          <w:sz w:val="22"/>
          <w:szCs w:val="22"/>
          <w:lang w:val="en-GB"/>
        </w:rPr>
        <w:t xml:space="preserve">aims to regulate cases of bankruptcy and prescribes the necessary legal tools for restructuring a debtor’s business and liquidation. </w:t>
      </w:r>
    </w:p>
    <w:p w14:paraId="6324D0B7" w14:textId="77777777" w:rsidR="003836EF" w:rsidRDefault="003836EF" w:rsidP="0029572B">
      <w:pPr>
        <w:jc w:val="both"/>
        <w:rPr>
          <w:rFonts w:ascii="Avenir Next" w:hAnsi="Avenir Next" w:cs="Arial"/>
          <w:color w:val="7B7B7B" w:themeColor="accent3" w:themeShade="BF"/>
          <w:sz w:val="22"/>
          <w:szCs w:val="22"/>
          <w:lang w:val="en-GB"/>
        </w:rPr>
      </w:pPr>
    </w:p>
    <w:p w14:paraId="1A26F125" w14:textId="639FE343" w:rsidR="00592796" w:rsidRPr="00827D56" w:rsidRDefault="003836EF" w:rsidP="0029572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Third</w:t>
      </w:r>
      <w:r w:rsidR="00A16C74">
        <w:rPr>
          <w:rFonts w:ascii="Avenir Next" w:hAnsi="Avenir Next" w:cs="Arial"/>
          <w:color w:val="7B7B7B" w:themeColor="accent3" w:themeShade="BF"/>
          <w:sz w:val="22"/>
          <w:szCs w:val="22"/>
          <w:lang w:val="en-GB"/>
        </w:rPr>
        <w:t>,</w:t>
      </w:r>
      <w:r w:rsidR="00592796">
        <w:rPr>
          <w:rFonts w:ascii="Avenir Next" w:hAnsi="Avenir Next" w:cs="Arial"/>
          <w:color w:val="7B7B7B" w:themeColor="accent3" w:themeShade="BF"/>
          <w:sz w:val="22"/>
          <w:szCs w:val="22"/>
          <w:lang w:val="en-GB"/>
        </w:rPr>
        <w:t xml:space="preserve"> </w:t>
      </w:r>
      <w:r w:rsidR="00A16C74">
        <w:rPr>
          <w:rFonts w:ascii="Avenir Next" w:hAnsi="Avenir Next" w:cs="Arial"/>
          <w:color w:val="7B7B7B" w:themeColor="accent3" w:themeShade="BF"/>
          <w:sz w:val="22"/>
          <w:szCs w:val="22"/>
          <w:lang w:val="en-GB"/>
        </w:rPr>
        <w:t>Bahrain adopted the Model Law on Cross-Border Insolvency in 2018,</w:t>
      </w:r>
      <w:r w:rsidR="0065735B">
        <w:rPr>
          <w:rFonts w:ascii="Avenir Next" w:hAnsi="Avenir Next" w:cs="Arial"/>
          <w:color w:val="7B7B7B" w:themeColor="accent3" w:themeShade="BF"/>
          <w:sz w:val="22"/>
          <w:szCs w:val="22"/>
          <w:lang w:val="en-GB"/>
        </w:rPr>
        <w:t xml:space="preserve"> and </w:t>
      </w:r>
      <w:r w:rsidR="00300372">
        <w:rPr>
          <w:rFonts w:ascii="Avenir Next" w:hAnsi="Avenir Next" w:cs="Arial"/>
          <w:color w:val="7B7B7B" w:themeColor="accent3" w:themeShade="BF"/>
          <w:sz w:val="22"/>
          <w:szCs w:val="22"/>
          <w:lang w:val="en-GB"/>
        </w:rPr>
        <w:t>the Dubai International Financial Centre in 2019,</w:t>
      </w:r>
      <w:r w:rsidR="00A16C74">
        <w:rPr>
          <w:rFonts w:ascii="Avenir Next" w:hAnsi="Avenir Next" w:cs="Arial"/>
          <w:color w:val="7B7B7B" w:themeColor="accent3" w:themeShade="BF"/>
          <w:sz w:val="22"/>
          <w:szCs w:val="22"/>
          <w:lang w:val="en-GB"/>
        </w:rPr>
        <w:t xml:space="preserve"> to </w:t>
      </w:r>
      <w:r w:rsidR="0065735B">
        <w:rPr>
          <w:rFonts w:ascii="Avenir Next" w:hAnsi="Avenir Next" w:cs="Arial"/>
          <w:color w:val="7B7B7B" w:themeColor="accent3" w:themeShade="BF"/>
          <w:sz w:val="22"/>
          <w:szCs w:val="22"/>
          <w:lang w:val="en-GB"/>
        </w:rPr>
        <w:t xml:space="preserve">reform their domestic insolvency law to address international insolvency law issues.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4CFF9090" w:rsidR="00544127" w:rsidRDefault="000B7C37" w:rsidP="00C053F7">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The objectives of insolvency for individuals </w:t>
      </w:r>
      <w:r w:rsidR="00E43FC0">
        <w:rPr>
          <w:rFonts w:ascii="Avenir Next" w:hAnsi="Avenir Next" w:cs="Arial"/>
          <w:color w:val="7B7B7B" w:themeColor="accent3" w:themeShade="BF"/>
          <w:sz w:val="22"/>
          <w:szCs w:val="22"/>
          <w:lang w:val="en-GB"/>
        </w:rPr>
        <w:t>are</w:t>
      </w:r>
      <w:r w:rsidR="008B0712">
        <w:rPr>
          <w:rFonts w:ascii="Avenir Next" w:hAnsi="Avenir Next" w:cs="Arial"/>
          <w:color w:val="7B7B7B" w:themeColor="accent3" w:themeShade="BF"/>
          <w:sz w:val="22"/>
          <w:szCs w:val="22"/>
          <w:lang w:val="en-GB"/>
        </w:rPr>
        <w:t xml:space="preserve"> to help them discharge their debts and to obtain a </w:t>
      </w:r>
      <w:r w:rsidR="008B0712">
        <w:rPr>
          <w:rFonts w:ascii="Avenir Next" w:hAnsi="Avenir Next" w:cs="Arial"/>
          <w:color w:val="7B7B7B" w:themeColor="accent3" w:themeShade="BF"/>
          <w:sz w:val="22"/>
          <w:szCs w:val="22"/>
        </w:rPr>
        <w:t>“fresh start” or rehabilitation</w:t>
      </w:r>
      <w:r w:rsidR="00E43FC0">
        <w:rPr>
          <w:rFonts w:ascii="Avenir Next" w:hAnsi="Avenir Next" w:cs="Arial"/>
          <w:color w:val="7B7B7B" w:themeColor="accent3" w:themeShade="BF"/>
          <w:sz w:val="22"/>
          <w:szCs w:val="22"/>
        </w:rPr>
        <w:t xml:space="preserve">, and to protect such individuals from harassment by creditors. To that end, insolvency helps such individuals to reduce indebtedness by making contributions from present and future income to the state whilst simultaneously taking the individuals’ personal circumstances into consideration. </w:t>
      </w:r>
    </w:p>
    <w:p w14:paraId="26C679FC" w14:textId="77777777" w:rsidR="00E43FC0" w:rsidRDefault="00E43FC0" w:rsidP="00C053F7">
      <w:pPr>
        <w:jc w:val="both"/>
        <w:rPr>
          <w:rFonts w:ascii="Avenir Next" w:hAnsi="Avenir Next" w:cs="Arial"/>
          <w:color w:val="7B7B7B" w:themeColor="accent3" w:themeShade="BF"/>
          <w:sz w:val="22"/>
          <w:szCs w:val="22"/>
        </w:rPr>
      </w:pPr>
    </w:p>
    <w:p w14:paraId="3F025CA1" w14:textId="3BDF16D3" w:rsidR="00E43FC0" w:rsidRPr="008B0712" w:rsidRDefault="00E43FC0" w:rsidP="00C053F7">
      <w:pPr>
        <w:jc w:val="both"/>
        <w:rPr>
          <w:rFonts w:ascii="Avenir Next" w:hAnsi="Avenir Next" w:cs="Arial"/>
          <w:sz w:val="22"/>
          <w:szCs w:val="22"/>
        </w:rPr>
      </w:pPr>
      <w:r>
        <w:rPr>
          <w:rFonts w:ascii="Avenir Next" w:hAnsi="Avenir Next" w:cs="Arial"/>
          <w:color w:val="7B7B7B" w:themeColor="accent3" w:themeShade="BF"/>
          <w:sz w:val="22"/>
          <w:szCs w:val="22"/>
        </w:rPr>
        <w:t>Conversely, in relation to corporations, the objective of insolvency is to preserve the business or viable parts of the business</w:t>
      </w:r>
      <w:r w:rsidR="00020035">
        <w:rPr>
          <w:rFonts w:ascii="Avenir Next" w:hAnsi="Avenir Next" w:cs="Arial"/>
          <w:color w:val="7B7B7B" w:themeColor="accent3" w:themeShade="BF"/>
          <w:sz w:val="22"/>
          <w:szCs w:val="22"/>
        </w:rPr>
        <w:t xml:space="preserve">. Further, where personal liability has been abused, insolvency seeks to impose personal liability on those responsible persons. </w:t>
      </w:r>
      <w:r w:rsidR="00F42C72">
        <w:rPr>
          <w:rFonts w:ascii="Avenir Next" w:hAnsi="Avenir Next" w:cs="Arial"/>
          <w:color w:val="7B7B7B" w:themeColor="accent3" w:themeShade="BF"/>
          <w:sz w:val="22"/>
          <w:szCs w:val="22"/>
        </w:rPr>
        <w:t>Further, while</w:t>
      </w:r>
      <w:r w:rsidR="007C074F">
        <w:rPr>
          <w:rFonts w:ascii="Avenir Next" w:hAnsi="Avenir Next" w:cs="Arial"/>
          <w:color w:val="7B7B7B" w:themeColor="accent3" w:themeShade="BF"/>
          <w:sz w:val="22"/>
          <w:szCs w:val="22"/>
        </w:rPr>
        <w:t xml:space="preserve"> insolvency might exclude certain asset belonging to an individual which are necessary to maintain the individual, the same allowance is not made for corporations.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03A5A0E" w14:textId="77777777" w:rsidR="007F133B" w:rsidRDefault="00D76AB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several difficulties </w:t>
      </w:r>
      <w:r w:rsidR="00D87915">
        <w:rPr>
          <w:rFonts w:ascii="Avenir Next" w:hAnsi="Avenir Next" w:cs="Arial"/>
          <w:color w:val="7B7B7B" w:themeColor="accent3" w:themeShade="BF"/>
          <w:sz w:val="22"/>
          <w:szCs w:val="22"/>
          <w:lang w:val="en-GB"/>
        </w:rPr>
        <w:t xml:space="preserve">relating to pertinent differences in the relevant legal systems </w:t>
      </w:r>
      <w:r>
        <w:rPr>
          <w:rFonts w:ascii="Avenir Next" w:hAnsi="Avenir Next" w:cs="Arial"/>
          <w:color w:val="7B7B7B" w:themeColor="accent3" w:themeShade="BF"/>
          <w:sz w:val="22"/>
          <w:szCs w:val="22"/>
          <w:lang w:val="en-GB"/>
        </w:rPr>
        <w:t xml:space="preserve">which might </w:t>
      </w:r>
      <w:r w:rsidR="00D87915">
        <w:rPr>
          <w:rFonts w:ascii="Avenir Next" w:hAnsi="Avenir Next" w:cs="Arial"/>
          <w:color w:val="7B7B7B" w:themeColor="accent3" w:themeShade="BF"/>
          <w:sz w:val="22"/>
          <w:szCs w:val="22"/>
          <w:lang w:val="en-GB"/>
        </w:rPr>
        <w:t>arise</w:t>
      </w:r>
      <w:r>
        <w:rPr>
          <w:rFonts w:ascii="Avenir Next" w:hAnsi="Avenir Next" w:cs="Arial"/>
          <w:color w:val="7B7B7B" w:themeColor="accent3" w:themeShade="BF"/>
          <w:sz w:val="22"/>
          <w:szCs w:val="22"/>
          <w:lang w:val="en-GB"/>
        </w:rPr>
        <w:t xml:space="preserve"> when dealing with insolvency la</w:t>
      </w:r>
      <w:r w:rsidR="00D87915">
        <w:rPr>
          <w:rFonts w:ascii="Avenir Next" w:hAnsi="Avenir Next" w:cs="Arial"/>
          <w:color w:val="7B7B7B" w:themeColor="accent3" w:themeShade="BF"/>
          <w:sz w:val="22"/>
          <w:szCs w:val="22"/>
          <w:lang w:val="en-GB"/>
        </w:rPr>
        <w:t>w in a cross-border context</w:t>
      </w:r>
      <w:r w:rsidR="007F133B">
        <w:rPr>
          <w:rFonts w:ascii="Avenir Next" w:hAnsi="Avenir Next" w:cs="Arial"/>
          <w:color w:val="7B7B7B" w:themeColor="accent3" w:themeShade="BF"/>
          <w:sz w:val="22"/>
          <w:szCs w:val="22"/>
          <w:lang w:val="en-GB"/>
        </w:rPr>
        <w:t xml:space="preserve">. </w:t>
      </w:r>
    </w:p>
    <w:p w14:paraId="1A01AC81" w14:textId="77777777" w:rsidR="007F133B" w:rsidRDefault="007F133B" w:rsidP="00C053F7">
      <w:pPr>
        <w:jc w:val="both"/>
        <w:rPr>
          <w:rFonts w:ascii="Avenir Next" w:hAnsi="Avenir Next" w:cs="Arial"/>
          <w:color w:val="7B7B7B" w:themeColor="accent3" w:themeShade="BF"/>
          <w:sz w:val="22"/>
          <w:szCs w:val="22"/>
          <w:lang w:val="en-GB"/>
        </w:rPr>
      </w:pPr>
    </w:p>
    <w:p w14:paraId="7940D274" w14:textId="12561441" w:rsidR="00DF75F8" w:rsidRDefault="007F133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is reconciling various national approaches to insolvency law. In this regard, a distinction is commonly drawn between pro-creditor and pro-debtor systems. Some systems might prioritise </w:t>
      </w:r>
      <w:r w:rsidR="00615DAB">
        <w:rPr>
          <w:rFonts w:ascii="Avenir Next" w:hAnsi="Avenir Next" w:cs="Arial"/>
          <w:color w:val="7B7B7B" w:themeColor="accent3" w:themeShade="BF"/>
          <w:sz w:val="22"/>
          <w:szCs w:val="22"/>
          <w:lang w:val="en-GB"/>
        </w:rPr>
        <w:t xml:space="preserve">the interests of creditors in recovering their claims, whereas others may prioritise the interests of the debtor in continuing to do business. </w:t>
      </w:r>
      <w:r w:rsidR="00F55EE7">
        <w:rPr>
          <w:rFonts w:ascii="Avenir Next" w:hAnsi="Avenir Next" w:cs="Arial"/>
          <w:color w:val="7B7B7B" w:themeColor="accent3" w:themeShade="BF"/>
          <w:sz w:val="22"/>
          <w:szCs w:val="22"/>
          <w:lang w:val="en-GB"/>
        </w:rPr>
        <w:t xml:space="preserve">This results in various states competing with each other for the debtor’s assets. </w:t>
      </w:r>
    </w:p>
    <w:p w14:paraId="25628483" w14:textId="77777777" w:rsidR="00F55EE7" w:rsidRDefault="00F55EE7" w:rsidP="00C053F7">
      <w:pPr>
        <w:jc w:val="both"/>
        <w:rPr>
          <w:rFonts w:ascii="Avenir Next" w:hAnsi="Avenir Next" w:cs="Arial"/>
          <w:color w:val="7B7B7B" w:themeColor="accent3" w:themeShade="BF"/>
          <w:sz w:val="22"/>
          <w:szCs w:val="22"/>
          <w:lang w:val="en-GB"/>
        </w:rPr>
      </w:pPr>
    </w:p>
    <w:p w14:paraId="576FFDDC" w14:textId="54166603" w:rsidR="00F55EE7" w:rsidRDefault="00F55EE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insolvency </w:t>
      </w:r>
      <w:r w:rsidR="00580B66">
        <w:rPr>
          <w:rFonts w:ascii="Avenir Next" w:hAnsi="Avenir Next" w:cs="Arial"/>
          <w:color w:val="7B7B7B" w:themeColor="accent3" w:themeShade="BF"/>
          <w:sz w:val="22"/>
          <w:szCs w:val="22"/>
          <w:lang w:val="en-GB"/>
        </w:rPr>
        <w:t xml:space="preserve">proceedings may be complicated by the fact that they also relate to significant areas of substantive law, including both private and public law. </w:t>
      </w:r>
      <w:r w:rsidR="007346B0">
        <w:rPr>
          <w:rFonts w:ascii="Avenir Next" w:hAnsi="Avenir Next" w:cs="Arial"/>
          <w:color w:val="7B7B7B" w:themeColor="accent3" w:themeShade="BF"/>
          <w:sz w:val="22"/>
          <w:szCs w:val="22"/>
          <w:lang w:val="en-GB"/>
        </w:rPr>
        <w:t>For instance, the presence of local trust law might affect the order of priority of creditors, as would the law on charges and mortgage</w:t>
      </w:r>
      <w:r w:rsidR="00B33EF4">
        <w:rPr>
          <w:rFonts w:ascii="Avenir Next" w:hAnsi="Avenir Next" w:cs="Arial"/>
          <w:color w:val="7B7B7B" w:themeColor="accent3" w:themeShade="BF"/>
          <w:sz w:val="22"/>
          <w:szCs w:val="22"/>
          <w:lang w:val="en-GB"/>
        </w:rPr>
        <w:t xml:space="preserve">s. </w:t>
      </w:r>
    </w:p>
    <w:p w14:paraId="630341B7" w14:textId="77777777" w:rsidR="00BA15C8" w:rsidRDefault="00BA15C8" w:rsidP="00C053F7">
      <w:pPr>
        <w:jc w:val="both"/>
        <w:rPr>
          <w:rFonts w:ascii="Avenir Next" w:hAnsi="Avenir Next" w:cs="Arial"/>
          <w:color w:val="7B7B7B" w:themeColor="accent3" w:themeShade="BF"/>
          <w:sz w:val="22"/>
          <w:szCs w:val="22"/>
          <w:lang w:val="en-GB"/>
        </w:rPr>
      </w:pPr>
    </w:p>
    <w:p w14:paraId="1A9D64F1" w14:textId="19EEBE4C" w:rsidR="00BA15C8" w:rsidRPr="00827D56" w:rsidRDefault="00BA15C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Third, there might also be differing definitions of insolvency</w:t>
      </w:r>
      <w:r w:rsidR="00077949">
        <w:rPr>
          <w:rFonts w:ascii="Avenir Next" w:hAnsi="Avenir Next" w:cs="Arial"/>
          <w:color w:val="7B7B7B" w:themeColor="accent3" w:themeShade="BF"/>
          <w:sz w:val="22"/>
          <w:szCs w:val="22"/>
          <w:lang w:val="en-GB"/>
        </w:rPr>
        <w:t xml:space="preserve"> across different states</w:t>
      </w:r>
      <w:r>
        <w:rPr>
          <w:rFonts w:ascii="Avenir Next" w:hAnsi="Avenir Next" w:cs="Arial"/>
          <w:color w:val="7B7B7B" w:themeColor="accent3" w:themeShade="BF"/>
          <w:sz w:val="22"/>
          <w:szCs w:val="22"/>
          <w:lang w:val="en-GB"/>
        </w:rPr>
        <w:t xml:space="preserve">. </w:t>
      </w:r>
      <w:r w:rsidR="00077949">
        <w:rPr>
          <w:rFonts w:ascii="Avenir Next" w:hAnsi="Avenir Next" w:cs="Arial"/>
          <w:color w:val="7B7B7B" w:themeColor="accent3" w:themeShade="BF"/>
          <w:sz w:val="22"/>
          <w:szCs w:val="22"/>
          <w:lang w:val="en-GB"/>
        </w:rPr>
        <w:t xml:space="preserve">While insolvency is traditionally understood as a debtor’s liabilities exceeding its assets, some states might define insolvency as a short-term inability to service debts. </w:t>
      </w:r>
      <w:r w:rsidR="00904A6C">
        <w:rPr>
          <w:rFonts w:ascii="Avenir Next" w:hAnsi="Avenir Next" w:cs="Arial"/>
          <w:color w:val="7B7B7B" w:themeColor="accent3" w:themeShade="BF"/>
          <w:sz w:val="22"/>
          <w:szCs w:val="22"/>
          <w:lang w:val="en-GB"/>
        </w:rPr>
        <w:t xml:space="preserve">Consequently, it is difficult to discern a international definition for a company to be deemed insolvent.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D96FD29" w:rsidR="00DF75F8" w:rsidRDefault="00DB4F7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Multilateral steps which have been taken to promote harmonisation include</w:t>
      </w:r>
      <w:r w:rsidR="00FE337B">
        <w:rPr>
          <w:rFonts w:ascii="Avenir Next" w:hAnsi="Avenir Next" w:cs="Arial"/>
          <w:color w:val="7B7B7B" w:themeColor="accent3" w:themeShade="BF"/>
          <w:sz w:val="22"/>
          <w:szCs w:val="22"/>
          <w:lang w:val="en-GB"/>
        </w:rPr>
        <w:t xml:space="preserve"> the release of </w:t>
      </w:r>
      <w:r w:rsidR="004851C0">
        <w:rPr>
          <w:rFonts w:ascii="Avenir Next" w:hAnsi="Avenir Next" w:cs="Arial"/>
          <w:color w:val="7B7B7B" w:themeColor="accent3" w:themeShade="BF"/>
          <w:sz w:val="22"/>
          <w:szCs w:val="22"/>
          <w:lang w:val="en-GB"/>
        </w:rPr>
        <w:t>i</w:t>
      </w:r>
      <w:r w:rsidR="00FE337B">
        <w:rPr>
          <w:rFonts w:ascii="Avenir Next" w:hAnsi="Avenir Next" w:cs="Arial"/>
          <w:color w:val="7B7B7B" w:themeColor="accent3" w:themeShade="BF"/>
          <w:sz w:val="22"/>
          <w:szCs w:val="22"/>
          <w:lang w:val="en-GB"/>
        </w:rPr>
        <w:t>nstruments</w:t>
      </w:r>
      <w:r w:rsidR="004851C0">
        <w:rPr>
          <w:rFonts w:ascii="Avenir Next" w:hAnsi="Avenir Next" w:cs="Arial"/>
          <w:color w:val="7B7B7B" w:themeColor="accent3" w:themeShade="BF"/>
          <w:sz w:val="22"/>
          <w:szCs w:val="22"/>
          <w:lang w:val="en-GB"/>
        </w:rPr>
        <w:t xml:space="preserve"> or guides</w:t>
      </w:r>
      <w:r w:rsidR="00FE337B">
        <w:rPr>
          <w:rFonts w:ascii="Avenir Next" w:hAnsi="Avenir Next" w:cs="Arial"/>
          <w:color w:val="7B7B7B" w:themeColor="accent3" w:themeShade="BF"/>
          <w:sz w:val="22"/>
          <w:szCs w:val="22"/>
          <w:lang w:val="en-GB"/>
        </w:rPr>
        <w:t xml:space="preserve"> which states can choose to adopt should the wish to. </w:t>
      </w:r>
      <w:r w:rsidR="00B415DC">
        <w:rPr>
          <w:rFonts w:ascii="Avenir Next" w:hAnsi="Avenir Next" w:cs="Arial"/>
          <w:color w:val="7B7B7B" w:themeColor="accent3" w:themeShade="BF"/>
          <w:sz w:val="22"/>
          <w:szCs w:val="22"/>
          <w:lang w:val="en-GB"/>
        </w:rPr>
        <w:t>Examples include the UNCITRAL Legislative Guide on Insolvency Law</w:t>
      </w:r>
      <w:r w:rsidR="00145F26">
        <w:rPr>
          <w:rFonts w:ascii="Avenir Next" w:hAnsi="Avenir Next" w:cs="Arial"/>
          <w:color w:val="7B7B7B" w:themeColor="accent3" w:themeShade="BF"/>
          <w:sz w:val="22"/>
          <w:szCs w:val="22"/>
          <w:lang w:val="en-GB"/>
        </w:rPr>
        <w:t xml:space="preserve"> in the 200</w:t>
      </w:r>
      <w:r w:rsidR="004851C0">
        <w:rPr>
          <w:rFonts w:ascii="Avenir Next" w:hAnsi="Avenir Next" w:cs="Arial"/>
          <w:color w:val="7B7B7B" w:themeColor="accent3" w:themeShade="BF"/>
          <w:sz w:val="22"/>
          <w:szCs w:val="22"/>
          <w:lang w:val="en-GB"/>
        </w:rPr>
        <w:t>4</w:t>
      </w:r>
      <w:r w:rsidR="00145F26">
        <w:rPr>
          <w:rFonts w:ascii="Avenir Next" w:hAnsi="Avenir Next" w:cs="Arial"/>
          <w:color w:val="7B7B7B" w:themeColor="accent3" w:themeShade="BF"/>
          <w:sz w:val="22"/>
          <w:szCs w:val="22"/>
          <w:lang w:val="en-GB"/>
        </w:rPr>
        <w:t xml:space="preserve">, as well as the </w:t>
      </w:r>
      <w:r w:rsidR="004851C0">
        <w:rPr>
          <w:rFonts w:ascii="Avenir Next" w:hAnsi="Avenir Next" w:cs="Arial"/>
          <w:color w:val="7B7B7B" w:themeColor="accent3" w:themeShade="BF"/>
          <w:sz w:val="22"/>
          <w:szCs w:val="22"/>
          <w:lang w:val="en-GB"/>
        </w:rPr>
        <w:t>guidelines produced by the World</w:t>
      </w:r>
      <w:r w:rsidR="00916F8F">
        <w:rPr>
          <w:rFonts w:ascii="Avenir Next" w:hAnsi="Avenir Next" w:cs="Arial"/>
          <w:color w:val="7B7B7B" w:themeColor="accent3" w:themeShade="BF"/>
          <w:sz w:val="22"/>
          <w:szCs w:val="22"/>
          <w:lang w:val="en-GB"/>
        </w:rPr>
        <w:t xml:space="preserve"> </w:t>
      </w:r>
      <w:r w:rsidR="004851C0">
        <w:rPr>
          <w:rFonts w:ascii="Avenir Next" w:hAnsi="Avenir Next" w:cs="Arial"/>
          <w:color w:val="7B7B7B" w:themeColor="accent3" w:themeShade="BF"/>
          <w:sz w:val="22"/>
          <w:szCs w:val="22"/>
          <w:lang w:val="en-GB"/>
        </w:rPr>
        <w:t xml:space="preserve">Bank, </w:t>
      </w:r>
      <w:r w:rsidR="004851C0">
        <w:rPr>
          <w:rFonts w:ascii="Avenir Next" w:hAnsi="Avenir Next" w:cs="Arial"/>
          <w:i/>
          <w:iCs/>
          <w:color w:val="7B7B7B" w:themeColor="accent3" w:themeShade="BF"/>
          <w:sz w:val="22"/>
          <w:szCs w:val="22"/>
          <w:lang w:val="en-GB"/>
        </w:rPr>
        <w:t>ie</w:t>
      </w:r>
      <w:r w:rsidR="004851C0">
        <w:rPr>
          <w:rFonts w:ascii="Avenir Next" w:hAnsi="Avenir Next" w:cs="Arial"/>
          <w:color w:val="7B7B7B" w:themeColor="accent3" w:themeShade="BF"/>
          <w:sz w:val="22"/>
          <w:szCs w:val="22"/>
          <w:lang w:val="en-GB"/>
        </w:rPr>
        <w:t>, Principles for Effective Insolvency and Creditor;/Debtor Regimes (which were revised in 2021). Should countries ad</w:t>
      </w:r>
      <w:r w:rsidR="0039615B">
        <w:rPr>
          <w:rFonts w:ascii="Avenir Next" w:hAnsi="Avenir Next" w:cs="Arial"/>
          <w:color w:val="7B7B7B" w:themeColor="accent3" w:themeShade="BF"/>
          <w:sz w:val="22"/>
          <w:szCs w:val="22"/>
          <w:lang w:val="en-GB"/>
        </w:rPr>
        <w:t xml:space="preserve">opt the same standards promulgated in these guides, it would lead to harmonisation of domestic insolvency laws. </w:t>
      </w:r>
    </w:p>
    <w:p w14:paraId="37AEE4C6" w14:textId="77777777" w:rsidR="0039615B" w:rsidRDefault="0039615B" w:rsidP="00C053F7">
      <w:pPr>
        <w:jc w:val="both"/>
        <w:rPr>
          <w:rFonts w:ascii="Avenir Next" w:hAnsi="Avenir Next" w:cs="Arial"/>
          <w:color w:val="7B7B7B" w:themeColor="accent3" w:themeShade="BF"/>
          <w:sz w:val="22"/>
          <w:szCs w:val="22"/>
          <w:lang w:val="en-GB"/>
        </w:rPr>
      </w:pPr>
    </w:p>
    <w:p w14:paraId="3C7B46AE" w14:textId="3BDB1D53" w:rsidR="0039615B" w:rsidRDefault="00B13E4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a regional level as well, the European Union (“EU”) moved towards greater uniformity in domestic insolvency laws of member states. In 2010, the EU published a report on the Harmonisation of Insolvency Law at EU Level, outlining differences between the domestic insolvency laws within the EU and identifying a number of areas of insolvency law where harmonisation at EU level was believed to be worthwhile and achievable. The EU later released an Action Plan on Building a Capital Markets Union in 2105, wherein it stated “Convergency of insolvency and restructuring proceedings would</w:t>
      </w:r>
      <w:r w:rsidR="003E1DA2">
        <w:rPr>
          <w:rFonts w:ascii="Avenir Next" w:hAnsi="Avenir Next" w:cs="Arial"/>
          <w:color w:val="7B7B7B" w:themeColor="accent3" w:themeShade="BF"/>
          <w:sz w:val="22"/>
          <w:szCs w:val="22"/>
          <w:lang w:val="en-GB"/>
        </w:rPr>
        <w:t xml:space="preserve"> facilitate greater legal certainty for cross-border investors and encourage the timely restructuring of viable companies in financial distress”. </w:t>
      </w:r>
    </w:p>
    <w:p w14:paraId="1C5A588D" w14:textId="77777777" w:rsidR="003E1DA2" w:rsidRDefault="003E1DA2" w:rsidP="00C053F7">
      <w:pPr>
        <w:jc w:val="both"/>
        <w:rPr>
          <w:rFonts w:ascii="Avenir Next" w:hAnsi="Avenir Next" w:cs="Arial"/>
          <w:color w:val="7B7B7B" w:themeColor="accent3" w:themeShade="BF"/>
          <w:sz w:val="22"/>
          <w:szCs w:val="22"/>
          <w:lang w:val="en-GB"/>
        </w:rPr>
      </w:pPr>
    </w:p>
    <w:p w14:paraId="1918C8FB" w14:textId="187FC9B7" w:rsidR="003E1DA2" w:rsidRPr="004851C0" w:rsidRDefault="003E1DA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my view, these measures are </w:t>
      </w:r>
      <w:r w:rsidR="00FA0D13">
        <w:rPr>
          <w:rFonts w:ascii="Avenir Next" w:hAnsi="Avenir Next" w:cs="Arial"/>
          <w:color w:val="7B7B7B" w:themeColor="accent3" w:themeShade="BF"/>
          <w:sz w:val="22"/>
          <w:szCs w:val="22"/>
          <w:lang w:val="en-GB"/>
        </w:rPr>
        <w:t xml:space="preserve">likely to have a limited impact on promoting harmonisation in domestic insolvency laws. Firstly, states might face no consequences such as sanctions for not adhering to these standards (unless, for instance, tariffs are imposed in the EU for member states which deviate from the harmonised insolvency laws). Second, especially on an international level, these measures do not </w:t>
      </w:r>
      <w:r w:rsidR="00D932C7">
        <w:rPr>
          <w:rFonts w:ascii="Avenir Next" w:hAnsi="Avenir Next" w:cs="Arial"/>
          <w:color w:val="7B7B7B" w:themeColor="accent3" w:themeShade="BF"/>
          <w:sz w:val="22"/>
          <w:szCs w:val="22"/>
          <w:lang w:val="en-GB"/>
        </w:rPr>
        <w:t xml:space="preserve">account for the differences in legal systems. For instance, it might be easier for a civil law jurisdiction to adopt these practices by interpreting a code in a certain manner, while it may be more difficult for a common law jurisdiction to adopt these practices where they are contrary to established precedent.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w:t>
      </w:r>
      <w:r w:rsidRPr="00827D56">
        <w:rPr>
          <w:rFonts w:ascii="Avenir Next" w:hAnsi="Avenir Next" w:cs="Arial"/>
          <w:sz w:val="22"/>
          <w:szCs w:val="22"/>
          <w:lang w:val="en-GB"/>
        </w:rPr>
        <w:lastRenderedPageBreak/>
        <w:t>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C1486AA" w14:textId="7E1B9265" w:rsidR="00A62879" w:rsidRDefault="005A59E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that Utopia has adopted </w:t>
      </w:r>
      <w:r w:rsidR="00FF35D3">
        <w:rPr>
          <w:rFonts w:ascii="Avenir Next" w:hAnsi="Avenir Next" w:cs="Arial"/>
          <w:color w:val="7B7B7B" w:themeColor="accent3" w:themeShade="BF"/>
          <w:sz w:val="22"/>
          <w:szCs w:val="22"/>
          <w:lang w:val="en-GB"/>
        </w:rPr>
        <w:t xml:space="preserve">the UNCITRAL Model Law on Cross-border Insolvency </w:t>
      </w:r>
      <w:r w:rsidR="003D598E">
        <w:rPr>
          <w:rFonts w:ascii="Avenir Next" w:hAnsi="Avenir Next" w:cs="Arial"/>
          <w:color w:val="7B7B7B" w:themeColor="accent3" w:themeShade="BF"/>
          <w:sz w:val="22"/>
          <w:szCs w:val="22"/>
          <w:lang w:val="en-GB"/>
        </w:rPr>
        <w:t xml:space="preserve">(“MCBI”) </w:t>
      </w:r>
      <w:r w:rsidR="00FF35D3">
        <w:rPr>
          <w:rFonts w:ascii="Avenir Next" w:hAnsi="Avenir Next" w:cs="Arial"/>
          <w:color w:val="7B7B7B" w:themeColor="accent3" w:themeShade="BF"/>
          <w:sz w:val="22"/>
          <w:szCs w:val="22"/>
          <w:lang w:val="en-GB"/>
        </w:rPr>
        <w:t>without modification</w:t>
      </w:r>
      <w:r w:rsidR="007271BC">
        <w:rPr>
          <w:rFonts w:ascii="Avenir Next" w:hAnsi="Avenir Next" w:cs="Arial"/>
          <w:color w:val="7B7B7B" w:themeColor="accent3" w:themeShade="BF"/>
          <w:sz w:val="22"/>
          <w:szCs w:val="22"/>
          <w:lang w:val="en-GB"/>
        </w:rPr>
        <w:t xml:space="preserve">, the Cross-border Insolvency Act of Utopia (“CBIA”) would facilitate cooperation and coordination of concurrent proceedings. </w:t>
      </w:r>
      <w:r w:rsidR="003D598E">
        <w:rPr>
          <w:rFonts w:ascii="Avenir Next" w:hAnsi="Avenir Next" w:cs="Arial"/>
          <w:color w:val="7B7B7B" w:themeColor="accent3" w:themeShade="BF"/>
          <w:sz w:val="22"/>
          <w:szCs w:val="22"/>
          <w:lang w:val="en-GB"/>
        </w:rPr>
        <w:t xml:space="preserve">Importantly, the MCBI does not require reciprocity and it is thus irrelevant whether </w:t>
      </w:r>
      <w:r w:rsidR="00A62879">
        <w:rPr>
          <w:rFonts w:ascii="Avenir Next" w:hAnsi="Avenir Next" w:cs="Arial"/>
          <w:color w:val="7B7B7B" w:themeColor="accent3" w:themeShade="BF"/>
          <w:sz w:val="22"/>
          <w:szCs w:val="22"/>
          <w:lang w:val="en-GB"/>
        </w:rPr>
        <w:t>Erewhon has adopted the MCBI as well. Chapter IV of the MCBI authorises and mandates cooperation</w:t>
      </w:r>
      <w:r w:rsidR="00331B2F">
        <w:rPr>
          <w:rFonts w:ascii="Avenir Next" w:hAnsi="Avenir Next" w:cs="Arial"/>
          <w:color w:val="7B7B7B" w:themeColor="accent3" w:themeShade="BF"/>
          <w:sz w:val="22"/>
          <w:szCs w:val="22"/>
          <w:lang w:val="en-GB"/>
        </w:rPr>
        <w:t xml:space="preserve"> </w:t>
      </w:r>
      <w:r w:rsidR="00A62879">
        <w:rPr>
          <w:rFonts w:ascii="Avenir Next" w:hAnsi="Avenir Next" w:cs="Arial"/>
          <w:color w:val="7B7B7B" w:themeColor="accent3" w:themeShade="BF"/>
          <w:sz w:val="22"/>
          <w:szCs w:val="22"/>
          <w:lang w:val="en-GB"/>
        </w:rPr>
        <w:t>and direct communication between a local court and foreign court</w:t>
      </w:r>
      <w:r w:rsidR="00760256">
        <w:rPr>
          <w:rFonts w:ascii="Avenir Next" w:hAnsi="Avenir Next" w:cs="Arial"/>
          <w:color w:val="7B7B7B" w:themeColor="accent3" w:themeShade="BF"/>
          <w:sz w:val="22"/>
          <w:szCs w:val="22"/>
          <w:lang w:val="en-GB"/>
        </w:rPr>
        <w:t xml:space="preserve"> (see, </w:t>
      </w:r>
      <w:r w:rsidR="001F04F1">
        <w:rPr>
          <w:rFonts w:ascii="Avenir Next" w:hAnsi="Avenir Next" w:cs="Arial"/>
          <w:color w:val="7B7B7B" w:themeColor="accent3" w:themeShade="BF"/>
          <w:sz w:val="22"/>
          <w:szCs w:val="22"/>
          <w:lang w:val="en-GB"/>
        </w:rPr>
        <w:t xml:space="preserve">n particular, </w:t>
      </w:r>
      <w:r w:rsidR="00760256">
        <w:rPr>
          <w:rFonts w:ascii="Avenir Next" w:hAnsi="Avenir Next" w:cs="Arial"/>
          <w:color w:val="7B7B7B" w:themeColor="accent3" w:themeShade="BF"/>
          <w:sz w:val="22"/>
          <w:szCs w:val="22"/>
          <w:lang w:val="en-GB"/>
        </w:rPr>
        <w:t>Articles 25 and 26 of the MCBI).</w:t>
      </w:r>
    </w:p>
    <w:p w14:paraId="19922BF9" w14:textId="77777777" w:rsidR="00CE5047" w:rsidRDefault="00CE5047" w:rsidP="00C053F7">
      <w:pPr>
        <w:jc w:val="both"/>
        <w:rPr>
          <w:rFonts w:ascii="Avenir Next" w:hAnsi="Avenir Next" w:cs="Arial"/>
          <w:color w:val="7B7B7B" w:themeColor="accent3" w:themeShade="BF"/>
          <w:sz w:val="22"/>
          <w:szCs w:val="22"/>
          <w:lang w:val="en-GB"/>
        </w:rPr>
      </w:pPr>
    </w:p>
    <w:p w14:paraId="353770BF" w14:textId="5E6B8F92" w:rsidR="00295B91" w:rsidRDefault="00CE504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Accordingly, the Erew</w:t>
      </w:r>
      <w:r w:rsidR="00295B91">
        <w:rPr>
          <w:rFonts w:ascii="Avenir Next" w:hAnsi="Avenir Next" w:cs="Arial"/>
          <w:color w:val="7B7B7B" w:themeColor="accent3" w:themeShade="BF"/>
          <w:sz w:val="22"/>
          <w:szCs w:val="22"/>
          <w:lang w:val="en-GB"/>
        </w:rPr>
        <w:t>h</w:t>
      </w:r>
      <w:r>
        <w:rPr>
          <w:rFonts w:ascii="Avenir Next" w:hAnsi="Avenir Next" w:cs="Arial"/>
          <w:color w:val="7B7B7B" w:themeColor="accent3" w:themeShade="BF"/>
          <w:sz w:val="22"/>
          <w:szCs w:val="22"/>
          <w:lang w:val="en-GB"/>
        </w:rPr>
        <w:t>on liquidator might be able to obtain a stay of proceedings</w:t>
      </w:r>
      <w:r w:rsidR="00342064">
        <w:rPr>
          <w:rFonts w:ascii="Avenir Next" w:hAnsi="Avenir Next" w:cs="Arial"/>
          <w:color w:val="7B7B7B" w:themeColor="accent3" w:themeShade="BF"/>
          <w:sz w:val="22"/>
          <w:szCs w:val="22"/>
          <w:lang w:val="en-GB"/>
        </w:rPr>
        <w:t xml:space="preserve"> of the Apex court action against Nadir in Utopia, so as not to further deplete the assets of Nadir in insolvency</w:t>
      </w:r>
      <w:r w:rsidR="00AB3BCF">
        <w:rPr>
          <w:rFonts w:ascii="Avenir Next" w:hAnsi="Avenir Next" w:cs="Arial"/>
          <w:color w:val="7B7B7B" w:themeColor="accent3" w:themeShade="BF"/>
          <w:sz w:val="22"/>
          <w:szCs w:val="22"/>
          <w:lang w:val="en-GB"/>
        </w:rPr>
        <w:t xml:space="preserve"> for distribution due to costly litigation. </w:t>
      </w:r>
      <w:r w:rsidR="00150B96">
        <w:rPr>
          <w:rFonts w:ascii="Avenir Next" w:hAnsi="Avenir Next" w:cs="Arial"/>
          <w:color w:val="7B7B7B" w:themeColor="accent3" w:themeShade="BF"/>
          <w:sz w:val="22"/>
          <w:szCs w:val="22"/>
          <w:lang w:val="en-GB"/>
        </w:rPr>
        <w:t xml:space="preserve">This is provided for by Art 20, which states that upon recognition of a foreign proceeding that is a foreign main proceeding, </w:t>
      </w:r>
      <w:r w:rsidR="006D34D5">
        <w:rPr>
          <w:rFonts w:ascii="Avenir Next" w:hAnsi="Avenir Next" w:cs="Arial"/>
          <w:color w:val="7B7B7B" w:themeColor="accent3" w:themeShade="BF"/>
          <w:sz w:val="22"/>
          <w:szCs w:val="22"/>
          <w:lang w:val="en-GB"/>
        </w:rPr>
        <w:t xml:space="preserve">commencement or </w:t>
      </w:r>
      <w:r w:rsidR="006C7972">
        <w:rPr>
          <w:rFonts w:ascii="Avenir Next" w:hAnsi="Avenir Next" w:cs="Arial"/>
          <w:color w:val="7B7B7B" w:themeColor="accent3" w:themeShade="BF"/>
          <w:sz w:val="22"/>
          <w:szCs w:val="22"/>
          <w:lang w:val="en-GB"/>
        </w:rPr>
        <w:t>continuation</w:t>
      </w:r>
      <w:r w:rsidR="006D34D5">
        <w:rPr>
          <w:rFonts w:ascii="Avenir Next" w:hAnsi="Avenir Next" w:cs="Arial"/>
          <w:color w:val="7B7B7B" w:themeColor="accent3" w:themeShade="BF"/>
          <w:sz w:val="22"/>
          <w:szCs w:val="22"/>
          <w:lang w:val="en-GB"/>
        </w:rPr>
        <w:t xml:space="preserve"> of actions or proceedings concerning the debtor’s assets, rights, obligations or liabilities is stayed. </w:t>
      </w:r>
      <w:r w:rsidR="00295B91">
        <w:rPr>
          <w:rFonts w:ascii="Avenir Next" w:hAnsi="Avenir Next" w:cs="Arial"/>
          <w:color w:val="7B7B7B" w:themeColor="accent3" w:themeShade="BF"/>
          <w:sz w:val="22"/>
          <w:szCs w:val="22"/>
          <w:lang w:val="en-GB"/>
        </w:rPr>
        <w:t xml:space="preserve">Alternatively, the Erewhon liquidator could seek a coordination of concurrent proceedings regarding Nadir </w:t>
      </w:r>
      <w:r w:rsidR="002132AA">
        <w:rPr>
          <w:rFonts w:ascii="Avenir Next" w:hAnsi="Avenir Next" w:cs="Arial"/>
          <w:color w:val="7B7B7B" w:themeColor="accent3" w:themeShade="BF"/>
          <w:sz w:val="22"/>
          <w:szCs w:val="22"/>
          <w:lang w:val="en-GB"/>
        </w:rPr>
        <w:t xml:space="preserve">in Utopia and Erewhon pursuant to Article 27(e) of the MCBI. </w:t>
      </w:r>
    </w:p>
    <w:p w14:paraId="6511A1BC" w14:textId="77777777" w:rsidR="00295B91" w:rsidRDefault="00295B91" w:rsidP="00C053F7">
      <w:pPr>
        <w:jc w:val="both"/>
        <w:rPr>
          <w:rFonts w:ascii="Avenir Next" w:hAnsi="Avenir Next" w:cs="Arial"/>
          <w:color w:val="7B7B7B" w:themeColor="accent3" w:themeShade="BF"/>
          <w:sz w:val="22"/>
          <w:szCs w:val="22"/>
          <w:lang w:val="en-GB"/>
        </w:rPr>
      </w:pPr>
    </w:p>
    <w:p w14:paraId="7C41F1A1" w14:textId="2D811756" w:rsidR="00CE5047" w:rsidRPr="006C7972" w:rsidRDefault="00882BC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 however, subject to the Erewhon liquidator fulfilling the definition of a foreign representative. </w:t>
      </w:r>
      <w:r w:rsidR="005810CF">
        <w:rPr>
          <w:rFonts w:ascii="Avenir Next" w:hAnsi="Avenir Next" w:cs="Arial"/>
          <w:color w:val="7B7B7B" w:themeColor="accent3" w:themeShade="BF"/>
          <w:sz w:val="22"/>
          <w:szCs w:val="22"/>
          <w:lang w:val="en-GB"/>
        </w:rPr>
        <w:t>This is because Art 25</w:t>
      </w:r>
      <w:r w:rsidR="00191603">
        <w:rPr>
          <w:rFonts w:ascii="Avenir Next" w:hAnsi="Avenir Next" w:cs="Arial"/>
          <w:color w:val="7B7B7B" w:themeColor="accent3" w:themeShade="BF"/>
          <w:sz w:val="22"/>
          <w:szCs w:val="22"/>
          <w:lang w:val="en-GB"/>
        </w:rPr>
        <w:t xml:space="preserve"> </w:t>
      </w:r>
      <w:r w:rsidR="005810CF">
        <w:rPr>
          <w:rFonts w:ascii="Avenir Next" w:hAnsi="Avenir Next" w:cs="Arial"/>
          <w:color w:val="7B7B7B" w:themeColor="accent3" w:themeShade="BF"/>
          <w:sz w:val="22"/>
          <w:szCs w:val="22"/>
          <w:lang w:val="en-GB"/>
        </w:rPr>
        <w:t xml:space="preserve">of the MCBI only provides that the court </w:t>
      </w:r>
      <w:r w:rsidR="00191603">
        <w:rPr>
          <w:rFonts w:ascii="Avenir Next" w:hAnsi="Avenir Next" w:cs="Arial"/>
          <w:color w:val="7B7B7B" w:themeColor="accent3" w:themeShade="BF"/>
          <w:sz w:val="22"/>
          <w:szCs w:val="22"/>
          <w:lang w:val="en-GB"/>
        </w:rPr>
        <w:t xml:space="preserve">is obliged to cooperative with and </w:t>
      </w:r>
      <w:r w:rsidR="005810CF">
        <w:rPr>
          <w:rFonts w:ascii="Avenir Next" w:hAnsi="Avenir Next" w:cs="Arial"/>
          <w:color w:val="7B7B7B" w:themeColor="accent3" w:themeShade="BF"/>
          <w:sz w:val="22"/>
          <w:szCs w:val="22"/>
          <w:lang w:val="en-GB"/>
        </w:rPr>
        <w:t xml:space="preserve">is entitled to communicate directly with foreign courts or </w:t>
      </w:r>
      <w:r w:rsidR="00191603">
        <w:rPr>
          <w:rFonts w:ascii="Avenir Next" w:hAnsi="Avenir Next" w:cs="Arial"/>
          <w:color w:val="7B7B7B" w:themeColor="accent3" w:themeShade="BF"/>
          <w:sz w:val="22"/>
          <w:szCs w:val="22"/>
          <w:lang w:val="en-GB"/>
        </w:rPr>
        <w:t>foreign</w:t>
      </w:r>
      <w:r w:rsidR="005810CF">
        <w:rPr>
          <w:rFonts w:ascii="Avenir Next" w:hAnsi="Avenir Next" w:cs="Arial"/>
          <w:color w:val="7B7B7B" w:themeColor="accent3" w:themeShade="BF"/>
          <w:sz w:val="22"/>
          <w:szCs w:val="22"/>
          <w:lang w:val="en-GB"/>
        </w:rPr>
        <w:t xml:space="preserve"> representatives. </w:t>
      </w:r>
      <w:r w:rsidR="00B0703B">
        <w:rPr>
          <w:rFonts w:ascii="Avenir Next" w:hAnsi="Avenir Next" w:cs="Arial"/>
          <w:color w:val="7B7B7B" w:themeColor="accent3" w:themeShade="BF"/>
          <w:sz w:val="22"/>
          <w:szCs w:val="22"/>
          <w:lang w:val="en-GB"/>
        </w:rPr>
        <w:t xml:space="preserve">Article 26 is to similar effect. Hence, I would need to know whether the Erehwon liquidator is considered to be a foreign representative within the meaning of the MCBI, so as to be availed of assistance under Arts 25 and 26 of the MCBI. </w:t>
      </w:r>
      <w:r w:rsidR="006C7972">
        <w:rPr>
          <w:rFonts w:ascii="Avenir Next" w:hAnsi="Avenir Next" w:cs="Arial"/>
          <w:color w:val="7B7B7B" w:themeColor="accent3" w:themeShade="BF"/>
          <w:sz w:val="22"/>
          <w:szCs w:val="22"/>
          <w:lang w:val="en-GB"/>
        </w:rPr>
        <w:t>Moreover, this is also subject to Erewhon being the centre of main interests of Nadir. This is because Art 25 only applies of the foreign proceeding is a foreign main proceeding (</w:t>
      </w:r>
      <w:r w:rsidR="006C7972">
        <w:rPr>
          <w:rFonts w:ascii="Avenir Next" w:hAnsi="Avenir Next" w:cs="Arial"/>
          <w:i/>
          <w:iCs/>
          <w:color w:val="7B7B7B" w:themeColor="accent3" w:themeShade="BF"/>
          <w:sz w:val="22"/>
          <w:szCs w:val="22"/>
          <w:lang w:val="en-GB"/>
        </w:rPr>
        <w:t>ie</w:t>
      </w:r>
      <w:r w:rsidR="006C7972">
        <w:rPr>
          <w:rFonts w:ascii="Avenir Next" w:hAnsi="Avenir Next" w:cs="Arial"/>
          <w:color w:val="7B7B7B" w:themeColor="accent3" w:themeShade="BF"/>
          <w:sz w:val="22"/>
          <w:szCs w:val="22"/>
          <w:lang w:val="en-GB"/>
        </w:rPr>
        <w:t xml:space="preserve">, the proceeding in Erewhon), and in this regard, </w:t>
      </w:r>
      <w:r w:rsidR="00617B8E">
        <w:rPr>
          <w:rFonts w:ascii="Avenir Next" w:hAnsi="Avenir Next" w:cs="Arial"/>
          <w:color w:val="7B7B7B" w:themeColor="accent3" w:themeShade="BF"/>
          <w:sz w:val="22"/>
          <w:szCs w:val="22"/>
          <w:lang w:val="en-GB"/>
        </w:rPr>
        <w:t xml:space="preserve">Art 2 defines a foreign main proceeding as one taking place in the state where the debtor has the centre of its main interests. </w:t>
      </w:r>
      <w:r w:rsidR="005D40C6">
        <w:rPr>
          <w:rFonts w:ascii="Avenir Next" w:hAnsi="Avenir Next" w:cs="Arial"/>
          <w:color w:val="7B7B7B" w:themeColor="accent3" w:themeShade="BF"/>
          <w:sz w:val="22"/>
          <w:szCs w:val="22"/>
          <w:lang w:val="en-GB"/>
        </w:rPr>
        <w:t xml:space="preserve">Thus, more information is required to determine if Nadir’s centre of main interests is Erewhon. </w:t>
      </w:r>
    </w:p>
    <w:p w14:paraId="3BD501D0" w14:textId="0207C733"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7F97327F" w14:textId="77777777" w:rsidR="0046405E" w:rsidRDefault="00585BCA"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If Apex had filed proceedings to wind-up Nadir, but the matter had not yet been heard, </w:t>
      </w:r>
      <w:r w:rsidR="0057479A">
        <w:rPr>
          <w:rFonts w:ascii="Avenir Next" w:hAnsi="Avenir Next" w:cs="Arial"/>
          <w:color w:val="7B7B7B" w:themeColor="accent3" w:themeShade="BF"/>
          <w:sz w:val="22"/>
          <w:szCs w:val="22"/>
          <w:lang w:val="en-GB"/>
        </w:rPr>
        <w:t xml:space="preserve">there would be no change to my answer in question 4.1 because </w:t>
      </w:r>
      <w:r w:rsidR="00295E8A">
        <w:rPr>
          <w:rFonts w:ascii="Avenir Next" w:hAnsi="Avenir Next" w:cs="Arial"/>
          <w:color w:val="7B7B7B" w:themeColor="accent3" w:themeShade="BF"/>
          <w:sz w:val="22"/>
          <w:szCs w:val="22"/>
          <w:lang w:val="en-GB"/>
        </w:rPr>
        <w:t>the Erewhon liquidator can still seek a stay of p</w:t>
      </w:r>
      <w:r w:rsidR="0046405E">
        <w:rPr>
          <w:rFonts w:ascii="Avenir Next" w:hAnsi="Avenir Next" w:cs="Arial"/>
          <w:color w:val="7B7B7B" w:themeColor="accent3" w:themeShade="BF"/>
          <w:sz w:val="22"/>
          <w:szCs w:val="22"/>
          <w:lang w:val="en-GB"/>
        </w:rPr>
        <w:t xml:space="preserve">roceedings of the winding up proceedings. </w:t>
      </w:r>
    </w:p>
    <w:p w14:paraId="01E36575" w14:textId="77777777" w:rsidR="0046405E" w:rsidRDefault="0046405E"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5974BB1C" w14:textId="0533C2A7" w:rsidR="0046405E" w:rsidRPr="0046405E" w:rsidRDefault="0046405E"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 If Apex had already obtained a court order to wind up Nadir in Utopia prior to the Erewhon winding up order, my answer would differ. It would not be possible to seek a stay of winding up proceedings since the proceedings in Utopia since such proceedings have already concluded. </w:t>
      </w:r>
      <w:r w:rsidR="00E73A46">
        <w:rPr>
          <w:rFonts w:ascii="Avenir Next" w:hAnsi="Avenir Next" w:cs="Arial"/>
          <w:color w:val="7B7B7B" w:themeColor="accent3" w:themeShade="BF"/>
          <w:sz w:val="22"/>
          <w:szCs w:val="22"/>
          <w:lang w:val="en-GB"/>
        </w:rPr>
        <w:t xml:space="preserve">Even if the Utopian court was willing to communicate or cooperate with the Erewhon liquidator, </w:t>
      </w:r>
      <w:r w:rsidR="00B14728">
        <w:rPr>
          <w:rFonts w:ascii="Avenir Next" w:hAnsi="Avenir Next" w:cs="Arial"/>
          <w:color w:val="7B7B7B" w:themeColor="accent3" w:themeShade="BF"/>
          <w:sz w:val="22"/>
          <w:szCs w:val="22"/>
          <w:lang w:val="en-GB"/>
        </w:rPr>
        <w:t xml:space="preserve">it is unlikely that the winding up order can be reversed. Consequently, the Erewhon liquidator might be </w:t>
      </w:r>
      <w:r w:rsidR="00BF7121">
        <w:rPr>
          <w:rFonts w:ascii="Avenir Next" w:hAnsi="Avenir Next" w:cs="Arial"/>
          <w:color w:val="7B7B7B" w:themeColor="accent3" w:themeShade="BF"/>
          <w:sz w:val="22"/>
          <w:szCs w:val="22"/>
          <w:lang w:val="en-GB"/>
        </w:rPr>
        <w:t xml:space="preserve">advised </w:t>
      </w:r>
      <w:r w:rsidR="0089377C">
        <w:rPr>
          <w:rFonts w:ascii="Avenir Next" w:hAnsi="Avenir Next" w:cs="Arial"/>
          <w:color w:val="7B7B7B" w:themeColor="accent3" w:themeShade="BF"/>
          <w:sz w:val="22"/>
          <w:szCs w:val="22"/>
          <w:lang w:val="en-GB"/>
        </w:rPr>
        <w:t xml:space="preserve">instead </w:t>
      </w:r>
      <w:r w:rsidR="00BF7121">
        <w:rPr>
          <w:rFonts w:ascii="Avenir Next" w:hAnsi="Avenir Next" w:cs="Arial"/>
          <w:color w:val="7B7B7B" w:themeColor="accent3" w:themeShade="BF"/>
          <w:sz w:val="22"/>
          <w:szCs w:val="22"/>
          <w:lang w:val="en-GB"/>
        </w:rPr>
        <w:t>to prove his debts in the insolvency proceedings in Utopia, assumin</w:t>
      </w:r>
      <w:r w:rsidR="00DA0774">
        <w:rPr>
          <w:rFonts w:ascii="Avenir Next" w:hAnsi="Avenir Next" w:cs="Arial"/>
          <w:color w:val="7B7B7B" w:themeColor="accent3" w:themeShade="BF"/>
          <w:sz w:val="22"/>
          <w:szCs w:val="22"/>
          <w:lang w:val="en-GB"/>
        </w:rPr>
        <w:t xml:space="preserve">g that Nadir has substantial assets in </w:t>
      </w:r>
      <w:r w:rsidR="00DA0774">
        <w:rPr>
          <w:rFonts w:ascii="Avenir Next" w:hAnsi="Avenir Next" w:cs="Arial"/>
          <w:color w:val="7B7B7B" w:themeColor="accent3" w:themeShade="BF"/>
          <w:sz w:val="22"/>
          <w:szCs w:val="22"/>
          <w:lang w:val="en-GB"/>
        </w:rPr>
        <w:lastRenderedPageBreak/>
        <w:t xml:space="preserve">Utopia. </w:t>
      </w:r>
      <w:r w:rsidR="00D548C5">
        <w:rPr>
          <w:rFonts w:ascii="Avenir Next" w:hAnsi="Avenir Next" w:cs="Arial"/>
          <w:color w:val="7B7B7B" w:themeColor="accent3" w:themeShade="BF"/>
          <w:sz w:val="22"/>
          <w:szCs w:val="22"/>
          <w:lang w:val="en-GB"/>
        </w:rPr>
        <w:t xml:space="preserve">In this regard, the liquidator could consider seeking cooperation by means of </w:t>
      </w:r>
      <w:r w:rsidR="00603540">
        <w:rPr>
          <w:rFonts w:ascii="Avenir Next" w:hAnsi="Avenir Next" w:cs="Arial"/>
          <w:color w:val="7B7B7B" w:themeColor="accent3" w:themeShade="BF"/>
          <w:sz w:val="22"/>
          <w:szCs w:val="22"/>
          <w:lang w:val="en-GB"/>
        </w:rPr>
        <w:t xml:space="preserve">coordination of the administration and supervision of the debtor’s assets and affairs pursuant to art 27(c) of the MCBI.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6BA8ABF6" w14:textId="031ABDB3" w:rsidR="00280DD6" w:rsidRDefault="00FF7DC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select Singapore as the country for the country’s incorporation. </w:t>
      </w:r>
      <w:r w:rsidR="00C62206">
        <w:rPr>
          <w:rFonts w:ascii="Avenir Next" w:hAnsi="Avenir Next" w:cs="Arial"/>
          <w:color w:val="7B7B7B" w:themeColor="accent3" w:themeShade="BF"/>
          <w:sz w:val="22"/>
          <w:szCs w:val="22"/>
          <w:lang w:val="en-GB"/>
        </w:rPr>
        <w:t>In this regard, Singapore has adopted the UNICTRAL Model Law on Cross Border Insolvency (the “Model Law”) in the Insolvency, Restructuring and Dissolution Act 2018 (2020 Rev Ed).</w:t>
      </w:r>
    </w:p>
    <w:p w14:paraId="325A3DF6" w14:textId="77777777" w:rsidR="00C55E90" w:rsidRDefault="00C55E90" w:rsidP="00C053F7">
      <w:pPr>
        <w:jc w:val="both"/>
        <w:rPr>
          <w:rFonts w:ascii="Avenir Next" w:hAnsi="Avenir Next" w:cs="Arial"/>
          <w:color w:val="7B7B7B" w:themeColor="accent3" w:themeShade="BF"/>
          <w:sz w:val="22"/>
          <w:szCs w:val="22"/>
          <w:lang w:val="en-GB"/>
        </w:rPr>
      </w:pPr>
    </w:p>
    <w:p w14:paraId="43C1D4BD" w14:textId="4BEF428F" w:rsidR="00C01D85" w:rsidRPr="00652496" w:rsidRDefault="00C55E9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issue is determining </w:t>
      </w:r>
      <w:r w:rsidR="00C01D85">
        <w:rPr>
          <w:rFonts w:ascii="Avenir Next" w:hAnsi="Avenir Next" w:cs="Arial"/>
          <w:color w:val="7B7B7B" w:themeColor="accent3" w:themeShade="BF"/>
          <w:sz w:val="22"/>
          <w:szCs w:val="22"/>
          <w:lang w:val="en-GB"/>
        </w:rPr>
        <w:t>whether or not to grant a moratorium on local creditor actions</w:t>
      </w:r>
      <w:r w:rsidR="008321D7">
        <w:rPr>
          <w:rFonts w:ascii="Avenir Next" w:hAnsi="Avenir Next" w:cs="Arial"/>
          <w:color w:val="7B7B7B" w:themeColor="accent3" w:themeShade="BF"/>
          <w:sz w:val="22"/>
          <w:szCs w:val="22"/>
          <w:lang w:val="en-GB"/>
        </w:rPr>
        <w:t xml:space="preserve"> pending the resolution of foreign insolvency proceedings against the same debtor</w:t>
      </w:r>
      <w:r w:rsidR="00C01D85">
        <w:rPr>
          <w:rFonts w:ascii="Avenir Next" w:hAnsi="Avenir Next" w:cs="Arial"/>
          <w:color w:val="7B7B7B" w:themeColor="accent3" w:themeShade="BF"/>
          <w:sz w:val="22"/>
          <w:szCs w:val="22"/>
          <w:lang w:val="en-GB"/>
        </w:rPr>
        <w:t>, and the conditions to be satisfied for doing so. In this regard, it is also important to determine t</w:t>
      </w:r>
      <w:r>
        <w:rPr>
          <w:rFonts w:ascii="Avenir Next" w:hAnsi="Avenir Next" w:cs="Arial"/>
          <w:color w:val="7B7B7B" w:themeColor="accent3" w:themeShade="BF"/>
          <w:sz w:val="22"/>
          <w:szCs w:val="22"/>
          <w:lang w:val="en-GB"/>
        </w:rPr>
        <w:t>he centre of main interests (“COMI”) of the corporate debtor</w:t>
      </w:r>
      <w:r w:rsidR="00C01D85">
        <w:rPr>
          <w:rFonts w:ascii="Avenir Next" w:hAnsi="Avenir Next" w:cs="Arial"/>
          <w:color w:val="7B7B7B" w:themeColor="accent3" w:themeShade="BF"/>
          <w:sz w:val="22"/>
          <w:szCs w:val="22"/>
          <w:lang w:val="en-GB"/>
        </w:rPr>
        <w:t xml:space="preserve">. That is because </w:t>
      </w:r>
      <w:r w:rsidR="00EA0092">
        <w:rPr>
          <w:rFonts w:ascii="Avenir Next" w:hAnsi="Avenir Next" w:cs="Arial"/>
          <w:color w:val="7B7B7B" w:themeColor="accent3" w:themeShade="BF"/>
          <w:sz w:val="22"/>
          <w:szCs w:val="22"/>
          <w:lang w:val="en-GB"/>
        </w:rPr>
        <w:t>Art 20 provides that upon recognition of a foreign proceeding that is a foreign main proceeding (</w:t>
      </w:r>
      <w:r w:rsidR="00EA0092">
        <w:rPr>
          <w:rFonts w:ascii="Avenir Next" w:hAnsi="Avenir Next" w:cs="Arial"/>
          <w:i/>
          <w:iCs/>
          <w:color w:val="7B7B7B" w:themeColor="accent3" w:themeShade="BF"/>
          <w:sz w:val="22"/>
          <w:szCs w:val="22"/>
          <w:lang w:val="en-GB"/>
        </w:rPr>
        <w:t>ie</w:t>
      </w:r>
      <w:r w:rsidR="00EA0092">
        <w:rPr>
          <w:rFonts w:ascii="Avenir Next" w:hAnsi="Avenir Next" w:cs="Arial"/>
          <w:color w:val="7B7B7B" w:themeColor="accent3" w:themeShade="BF"/>
          <w:sz w:val="22"/>
          <w:szCs w:val="22"/>
          <w:lang w:val="en-GB"/>
        </w:rPr>
        <w:t xml:space="preserve">, one that takes place in the corporate debtor’s COMI), </w:t>
      </w:r>
      <w:r w:rsidR="00652496">
        <w:rPr>
          <w:rFonts w:ascii="Avenir Next" w:hAnsi="Avenir Next" w:cs="Arial"/>
          <w:color w:val="7B7B7B" w:themeColor="accent3" w:themeShade="BF"/>
          <w:sz w:val="22"/>
          <w:szCs w:val="22"/>
          <w:lang w:val="en-GB"/>
        </w:rPr>
        <w:t>the court has no discretion but to stay the commencement or continuation of individual actions or individual proceedings concerning the debtor’s property, rights, obligations or liabilities. Conversely, where the foreign proceedings are not foreign main proceedings (</w:t>
      </w:r>
      <w:r w:rsidR="00652496">
        <w:rPr>
          <w:rFonts w:ascii="Avenir Next" w:hAnsi="Avenir Next" w:cs="Arial"/>
          <w:i/>
          <w:iCs/>
          <w:color w:val="7B7B7B" w:themeColor="accent3" w:themeShade="BF"/>
          <w:sz w:val="22"/>
          <w:szCs w:val="22"/>
          <w:lang w:val="en-GB"/>
        </w:rPr>
        <w:t>ie</w:t>
      </w:r>
      <w:r w:rsidR="00652496">
        <w:rPr>
          <w:rFonts w:ascii="Avenir Next" w:hAnsi="Avenir Next" w:cs="Arial"/>
          <w:color w:val="7B7B7B" w:themeColor="accent3" w:themeShade="BF"/>
          <w:sz w:val="22"/>
          <w:szCs w:val="22"/>
          <w:lang w:val="en-GB"/>
        </w:rPr>
        <w:t xml:space="preserve">, they do not take place in the corporate debtor’s COMI), the court has a discretion whether or not to extend relief to stay local proceedings </w:t>
      </w:r>
      <w:r w:rsidR="005F32D0">
        <w:rPr>
          <w:rFonts w:ascii="Avenir Next" w:hAnsi="Avenir Next" w:cs="Arial"/>
          <w:color w:val="7B7B7B" w:themeColor="accent3" w:themeShade="BF"/>
          <w:sz w:val="22"/>
          <w:szCs w:val="22"/>
          <w:lang w:val="en-GB"/>
        </w:rPr>
        <w:t xml:space="preserve">(Art </w:t>
      </w:r>
      <w:r w:rsidR="007777F7">
        <w:rPr>
          <w:rFonts w:ascii="Avenir Next" w:hAnsi="Avenir Next" w:cs="Arial"/>
          <w:color w:val="7B7B7B" w:themeColor="accent3" w:themeShade="BF"/>
          <w:sz w:val="22"/>
          <w:szCs w:val="22"/>
          <w:lang w:val="en-GB"/>
        </w:rPr>
        <w:t>21</w:t>
      </w:r>
      <w:r w:rsidR="005F32D0">
        <w:rPr>
          <w:rFonts w:ascii="Avenir Next" w:hAnsi="Avenir Next" w:cs="Arial"/>
          <w:color w:val="7B7B7B" w:themeColor="accent3" w:themeShade="BF"/>
          <w:sz w:val="22"/>
          <w:szCs w:val="22"/>
          <w:lang w:val="en-GB"/>
        </w:rPr>
        <w:t xml:space="preserve"> of the Model Law). </w:t>
      </w:r>
    </w:p>
    <w:p w14:paraId="3CE61203" w14:textId="77777777" w:rsidR="00280DD6" w:rsidRDefault="00280DD6" w:rsidP="00C053F7">
      <w:pPr>
        <w:jc w:val="both"/>
        <w:rPr>
          <w:rFonts w:ascii="Avenir Next" w:hAnsi="Avenir Next" w:cs="Arial"/>
          <w:color w:val="7B7B7B" w:themeColor="accent3" w:themeShade="BF"/>
          <w:sz w:val="22"/>
          <w:szCs w:val="22"/>
          <w:lang w:val="en-GB"/>
        </w:rPr>
      </w:pPr>
    </w:p>
    <w:p w14:paraId="22E593F6" w14:textId="15B0CCC7" w:rsidR="00D77191" w:rsidRDefault="00280DD6" w:rsidP="00D771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813B9F">
        <w:rPr>
          <w:rFonts w:ascii="Avenir Next" w:hAnsi="Avenir Next" w:cs="Arial"/>
          <w:color w:val="7B7B7B" w:themeColor="accent3" w:themeShade="BF"/>
          <w:sz w:val="22"/>
          <w:szCs w:val="22"/>
          <w:lang w:val="en-GB"/>
        </w:rPr>
        <w:t>second</w:t>
      </w:r>
      <w:r>
        <w:rPr>
          <w:rFonts w:ascii="Avenir Next" w:hAnsi="Avenir Next" w:cs="Arial"/>
          <w:color w:val="7B7B7B" w:themeColor="accent3" w:themeShade="BF"/>
          <w:sz w:val="22"/>
          <w:szCs w:val="22"/>
          <w:lang w:val="en-GB"/>
        </w:rPr>
        <w:t xml:space="preserve"> issue </w:t>
      </w:r>
      <w:r w:rsidR="003D1CAE">
        <w:rPr>
          <w:rFonts w:ascii="Avenir Next" w:hAnsi="Avenir Next" w:cs="Arial"/>
          <w:color w:val="7B7B7B" w:themeColor="accent3" w:themeShade="BF"/>
          <w:sz w:val="22"/>
          <w:szCs w:val="22"/>
          <w:lang w:val="en-GB"/>
        </w:rPr>
        <w:t xml:space="preserve">is determining </w:t>
      </w:r>
      <w:r w:rsidR="0006042B">
        <w:rPr>
          <w:rFonts w:ascii="Avenir Next" w:hAnsi="Avenir Next" w:cs="Arial"/>
          <w:color w:val="7B7B7B" w:themeColor="accent3" w:themeShade="BF"/>
          <w:sz w:val="22"/>
          <w:szCs w:val="22"/>
          <w:lang w:val="en-GB"/>
        </w:rPr>
        <w:t>whether foreign representatives have the requisite standing</w:t>
      </w:r>
      <w:r w:rsidR="00D77191">
        <w:rPr>
          <w:rFonts w:ascii="Avenir Next" w:hAnsi="Avenir Next" w:cs="Arial"/>
          <w:color w:val="7B7B7B" w:themeColor="accent3" w:themeShade="BF"/>
          <w:sz w:val="22"/>
          <w:szCs w:val="22"/>
          <w:lang w:val="en-GB"/>
        </w:rPr>
        <w:t xml:space="preserve"> to apply for assistance from the Singapore Court</w:t>
      </w:r>
      <w:r w:rsidR="0015507A">
        <w:rPr>
          <w:rFonts w:ascii="Avenir Next" w:hAnsi="Avenir Next" w:cs="Arial"/>
          <w:color w:val="7B7B7B" w:themeColor="accent3" w:themeShade="BF"/>
          <w:sz w:val="22"/>
          <w:szCs w:val="22"/>
          <w:lang w:val="en-GB"/>
        </w:rPr>
        <w:t xml:space="preserve">. </w:t>
      </w:r>
      <w:r w:rsidR="00BB6377">
        <w:rPr>
          <w:rFonts w:ascii="Avenir Next" w:hAnsi="Avenir Next" w:cs="Arial"/>
          <w:color w:val="7B7B7B" w:themeColor="accent3" w:themeShade="BF"/>
          <w:sz w:val="22"/>
          <w:szCs w:val="22"/>
          <w:lang w:val="en-GB"/>
        </w:rPr>
        <w:t xml:space="preserve">This may be an issue as different jurisdictions may have different conditions to be satisfied before a foreign representative may seek assistance in the local courts. In this regard, it would be assistive if the domestic law incorporates international standards, such that there is a universal benchmark for obtaining standing as a foreign representative. </w:t>
      </w:r>
      <w:r w:rsidR="00C62206">
        <w:rPr>
          <w:rFonts w:ascii="Avenir Next" w:hAnsi="Avenir Next" w:cs="Arial"/>
          <w:color w:val="7B7B7B" w:themeColor="accent3" w:themeShade="BF"/>
          <w:sz w:val="22"/>
          <w:szCs w:val="22"/>
          <w:lang w:val="en-GB"/>
        </w:rPr>
        <w:t xml:space="preserve">For instance, Art 15 of the Model Law provides that only a foreign representative may apply to the Singapore Court for recognition of foreign proceedings in which the foreign representative has been appointed. </w:t>
      </w:r>
      <w:r w:rsidR="00503C9A">
        <w:rPr>
          <w:rFonts w:ascii="Avenir Next" w:hAnsi="Avenir Next" w:cs="Arial"/>
          <w:color w:val="7B7B7B" w:themeColor="accent3" w:themeShade="BF"/>
          <w:sz w:val="22"/>
          <w:szCs w:val="22"/>
          <w:lang w:val="en-GB"/>
        </w:rPr>
        <w:t>In this regard, Art 2 defines a foreign representative as “</w:t>
      </w:r>
      <w:r w:rsidR="003B47E2" w:rsidRPr="003B47E2">
        <w:rPr>
          <w:rFonts w:ascii="Avenir Next" w:hAnsi="Avenir Next" w:cs="Arial"/>
          <w:color w:val="7B7B7B" w:themeColor="accent3" w:themeShade="BF"/>
          <w:sz w:val="22"/>
          <w:szCs w:val="22"/>
          <w:lang w:val="en-GB"/>
        </w:rPr>
        <w:t>a person or body, including one appointed on an interim basis, authorised in a foreign proceeding to administer the reorganisation or the liquidation of the debtor’s property or affairs or to act as a representative of the foreign proceeding</w:t>
      </w:r>
      <w:r w:rsidR="003B47E2">
        <w:rPr>
          <w:rFonts w:ascii="Avenir Next" w:hAnsi="Avenir Next" w:cs="Arial"/>
          <w:color w:val="7B7B7B" w:themeColor="accent3" w:themeShade="BF"/>
          <w:sz w:val="22"/>
          <w:szCs w:val="22"/>
          <w:lang w:val="en-GB"/>
        </w:rPr>
        <w:t xml:space="preserve">”. </w:t>
      </w:r>
      <w:r w:rsidR="00D00415">
        <w:rPr>
          <w:rFonts w:ascii="Avenir Next" w:hAnsi="Avenir Next" w:cs="Arial"/>
          <w:color w:val="7B7B7B" w:themeColor="accent3" w:themeShade="BF"/>
          <w:sz w:val="22"/>
          <w:szCs w:val="22"/>
          <w:lang w:val="en-GB"/>
        </w:rPr>
        <w:t xml:space="preserve">Chapter 2 of the Model Law also governs the access of foreign representatives and creditors to the courts in Singapore, thus comprehensively setting out the scope of a foreign representative’s standing. </w:t>
      </w:r>
    </w:p>
    <w:p w14:paraId="42C79CBE" w14:textId="77777777" w:rsidR="009B66E2" w:rsidRDefault="009B66E2" w:rsidP="00C053F7">
      <w:pPr>
        <w:jc w:val="both"/>
        <w:rPr>
          <w:rFonts w:ascii="Avenir Next" w:hAnsi="Avenir Next" w:cs="Arial"/>
          <w:color w:val="7B7B7B" w:themeColor="accent3" w:themeShade="BF"/>
          <w:sz w:val="22"/>
          <w:szCs w:val="22"/>
          <w:lang w:val="en-GB"/>
        </w:rPr>
      </w:pPr>
    </w:p>
    <w:p w14:paraId="4DB7E525" w14:textId="5ED8956F" w:rsidR="009B66E2" w:rsidRDefault="009B66E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600134">
        <w:rPr>
          <w:rFonts w:ascii="Avenir Next" w:hAnsi="Avenir Next" w:cs="Arial"/>
          <w:color w:val="7B7B7B" w:themeColor="accent3" w:themeShade="BF"/>
          <w:sz w:val="22"/>
          <w:szCs w:val="22"/>
          <w:lang w:val="en-GB"/>
        </w:rPr>
        <w:t xml:space="preserve"> third</w:t>
      </w:r>
      <w:r>
        <w:rPr>
          <w:rFonts w:ascii="Avenir Next" w:hAnsi="Avenir Next" w:cs="Arial"/>
          <w:color w:val="7B7B7B" w:themeColor="accent3" w:themeShade="BF"/>
          <w:sz w:val="22"/>
          <w:szCs w:val="22"/>
          <w:lang w:val="en-GB"/>
        </w:rPr>
        <w:t xml:space="preserve"> issue is </w:t>
      </w:r>
      <w:r w:rsidR="00B06723">
        <w:rPr>
          <w:rFonts w:ascii="Avenir Next" w:hAnsi="Avenir Next" w:cs="Arial"/>
          <w:color w:val="7B7B7B" w:themeColor="accent3" w:themeShade="BF"/>
          <w:sz w:val="22"/>
          <w:szCs w:val="22"/>
          <w:lang w:val="en-GB"/>
        </w:rPr>
        <w:t xml:space="preserve">ensuring that all creditors around the world have a fair chance in participating in the insolvency proceedings. </w:t>
      </w:r>
      <w:r w:rsidR="002D6193">
        <w:rPr>
          <w:rFonts w:ascii="Avenir Next" w:hAnsi="Avenir Next" w:cs="Arial"/>
          <w:color w:val="7B7B7B" w:themeColor="accent3" w:themeShade="BF"/>
          <w:sz w:val="22"/>
          <w:szCs w:val="22"/>
          <w:lang w:val="en-GB"/>
        </w:rPr>
        <w:t xml:space="preserve">In this regard, Art 13(1) provides for access to such fair participation to prove debts in the local insolvency proceedings, as it provides that foreign creditors have the “same rights </w:t>
      </w:r>
      <w:r w:rsidR="002D6193">
        <w:rPr>
          <w:rFonts w:ascii="Avenir Next" w:hAnsi="Avenir Next" w:cs="Arial"/>
          <w:color w:val="7B7B7B" w:themeColor="accent3" w:themeShade="BF"/>
          <w:sz w:val="22"/>
          <w:szCs w:val="22"/>
          <w:lang w:val="en-GB"/>
        </w:rPr>
        <w:lastRenderedPageBreak/>
        <w:t xml:space="preserve">regarding the commencement of, and participation in, a proceeding under Singapore insolvency law as creditors in Singapore. </w:t>
      </w:r>
    </w:p>
    <w:p w14:paraId="62D3F12A" w14:textId="77777777" w:rsidR="00600134" w:rsidRDefault="00600134" w:rsidP="00C053F7">
      <w:pPr>
        <w:jc w:val="both"/>
        <w:rPr>
          <w:rFonts w:ascii="Avenir Next" w:hAnsi="Avenir Next" w:cs="Arial"/>
          <w:color w:val="7B7B7B" w:themeColor="accent3" w:themeShade="BF"/>
          <w:sz w:val="22"/>
          <w:szCs w:val="22"/>
          <w:lang w:val="en-GB"/>
        </w:rPr>
      </w:pPr>
    </w:p>
    <w:p w14:paraId="5CE0C289" w14:textId="14986AB0" w:rsidR="00600134" w:rsidRDefault="00600134" w:rsidP="0060013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fourth related</w:t>
      </w:r>
      <w:r>
        <w:rPr>
          <w:rFonts w:ascii="Avenir Next" w:hAnsi="Avenir Next" w:cs="Arial"/>
          <w:color w:val="7B7B7B" w:themeColor="accent3" w:themeShade="BF"/>
          <w:sz w:val="22"/>
          <w:szCs w:val="22"/>
          <w:lang w:val="en-GB"/>
        </w:rPr>
        <w:t xml:space="preserve"> issue is determining the priority and preferences of the creditors, in accordance with substantively law. This may be an issue as different jurisdictions may accord priority and preferences of creditors differently, which might prejudice foreign creditors who would have ranked higher in priority had the proceedings occurred in the foreign country. In this regard, </w:t>
      </w:r>
      <w:r>
        <w:rPr>
          <w:rFonts w:ascii="Avenir Next" w:hAnsi="Avenir Next" w:cs="Arial"/>
          <w:color w:val="7B7B7B" w:themeColor="accent3" w:themeShade="BF"/>
          <w:sz w:val="22"/>
          <w:szCs w:val="22"/>
          <w:lang w:val="en-GB"/>
        </w:rPr>
        <w:t>Art 13(2) of the Model Law provides that Art 13(1), which allows foreign creditors the same rights to commence and participate in Singapore insolvency proceedings, “</w:t>
      </w:r>
      <w:r w:rsidR="002E1247" w:rsidRPr="002E1247">
        <w:rPr>
          <w:rFonts w:ascii="Avenir Next" w:hAnsi="Avenir Next" w:cs="Arial"/>
          <w:color w:val="7B7B7B" w:themeColor="accent3" w:themeShade="BF"/>
          <w:sz w:val="22"/>
          <w:szCs w:val="22"/>
          <w:lang w:val="en-GB"/>
        </w:rPr>
        <w:t>does not affect the ranking of claims in a proceeding under Singapore insolvency law, or the exclusion of foreign tax claims, social security claims or claims for employees’ superannuation or provident funds or under any scheme of superannuation (collectively, “tax and social security obligations”) from such a proceeding</w:t>
      </w:r>
      <w:r w:rsidR="002E1247">
        <w:rPr>
          <w:rFonts w:ascii="Avenir Next" w:hAnsi="Avenir Next" w:cs="Arial"/>
          <w:color w:val="7B7B7B" w:themeColor="accent3" w:themeShade="BF"/>
          <w:sz w:val="22"/>
          <w:szCs w:val="22"/>
          <w:lang w:val="en-GB"/>
        </w:rPr>
        <w:t xml:space="preserve">”. </w:t>
      </w:r>
      <w:r w:rsidR="008F63C3">
        <w:rPr>
          <w:rFonts w:ascii="Avenir Next" w:hAnsi="Avenir Next" w:cs="Arial"/>
          <w:color w:val="7B7B7B" w:themeColor="accent3" w:themeShade="BF"/>
          <w:sz w:val="22"/>
          <w:szCs w:val="22"/>
          <w:lang w:val="en-GB"/>
        </w:rPr>
        <w:t>Moreover</w:t>
      </w:r>
      <w:r w:rsidR="002E1247">
        <w:rPr>
          <w:rFonts w:ascii="Avenir Next" w:hAnsi="Avenir Next" w:cs="Arial"/>
          <w:color w:val="7B7B7B" w:themeColor="accent3" w:themeShade="BF"/>
          <w:sz w:val="22"/>
          <w:szCs w:val="22"/>
          <w:lang w:val="en-GB"/>
        </w:rPr>
        <w:t xml:space="preserve">, certain interests of foreign creditors are statutorily protected. For instance Art 13(2) also provides that the </w:t>
      </w:r>
      <w:r w:rsidR="008F63C3" w:rsidRPr="008F63C3">
        <w:rPr>
          <w:rFonts w:ascii="Avenir Next" w:hAnsi="Avenir Next" w:cs="Arial"/>
          <w:color w:val="7B7B7B" w:themeColor="accent3" w:themeShade="BF"/>
          <w:sz w:val="22"/>
          <w:szCs w:val="22"/>
          <w:lang w:val="en-GB"/>
        </w:rPr>
        <w:t>claims of foreign creditors other than those concerning tax and social security obligations are not to be given a lower priority than that of general unsecured claims solely because the holder of such a claim is a foreign creditor.</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74F9" w14:textId="77777777" w:rsidR="00FB6F4A" w:rsidRDefault="00FB6F4A" w:rsidP="00241B44">
      <w:r>
        <w:separator/>
      </w:r>
    </w:p>
  </w:endnote>
  <w:endnote w:type="continuationSeparator" w:id="0">
    <w:p w14:paraId="5CF25B93" w14:textId="77777777" w:rsidR="00FB6F4A" w:rsidRDefault="00FB6F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03A6481" w:rsidR="00AD6A7D" w:rsidRPr="009634F4" w:rsidRDefault="00AD6A7D" w:rsidP="00AD6A7D">
    <w:pPr>
      <w:pStyle w:val="Footer"/>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4054" w14:textId="77777777" w:rsidR="00FB6F4A" w:rsidRDefault="00FB6F4A" w:rsidP="00241B44">
      <w:r>
        <w:separator/>
      </w:r>
    </w:p>
  </w:footnote>
  <w:footnote w:type="continuationSeparator" w:id="0">
    <w:p w14:paraId="2258C636" w14:textId="77777777" w:rsidR="00FB6F4A" w:rsidRDefault="00FB6F4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6E624ED"/>
    <w:multiLevelType w:val="hybridMultilevel"/>
    <w:tmpl w:val="E264B71C"/>
    <w:lvl w:ilvl="0" w:tplc="B5506046">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8360044">
    <w:abstractNumId w:val="18"/>
  </w:num>
  <w:num w:numId="2" w16cid:durableId="1896117945">
    <w:abstractNumId w:val="20"/>
  </w:num>
  <w:num w:numId="3" w16cid:durableId="915630670">
    <w:abstractNumId w:val="6"/>
  </w:num>
  <w:num w:numId="4" w16cid:durableId="989402097">
    <w:abstractNumId w:val="3"/>
  </w:num>
  <w:num w:numId="5" w16cid:durableId="1436905547">
    <w:abstractNumId w:val="9"/>
  </w:num>
  <w:num w:numId="6" w16cid:durableId="2065061933">
    <w:abstractNumId w:val="15"/>
  </w:num>
  <w:num w:numId="7" w16cid:durableId="732655713">
    <w:abstractNumId w:val="21"/>
  </w:num>
  <w:num w:numId="8" w16cid:durableId="1257134953">
    <w:abstractNumId w:val="14"/>
  </w:num>
  <w:num w:numId="9" w16cid:durableId="1668288276">
    <w:abstractNumId w:val="5"/>
  </w:num>
  <w:num w:numId="10" w16cid:durableId="606273812">
    <w:abstractNumId w:val="8"/>
  </w:num>
  <w:num w:numId="11" w16cid:durableId="2039773603">
    <w:abstractNumId w:val="7"/>
  </w:num>
  <w:num w:numId="12" w16cid:durableId="1500000519">
    <w:abstractNumId w:val="4"/>
  </w:num>
  <w:num w:numId="13" w16cid:durableId="667440503">
    <w:abstractNumId w:val="12"/>
  </w:num>
  <w:num w:numId="14" w16cid:durableId="778833760">
    <w:abstractNumId w:val="0"/>
  </w:num>
  <w:num w:numId="15" w16cid:durableId="171990518">
    <w:abstractNumId w:val="2"/>
  </w:num>
  <w:num w:numId="16" w16cid:durableId="2136174618">
    <w:abstractNumId w:val="13"/>
  </w:num>
  <w:num w:numId="17" w16cid:durableId="371267993">
    <w:abstractNumId w:val="11"/>
  </w:num>
  <w:num w:numId="18" w16cid:durableId="868185226">
    <w:abstractNumId w:val="19"/>
  </w:num>
  <w:num w:numId="19" w16cid:durableId="1975018232">
    <w:abstractNumId w:val="16"/>
  </w:num>
  <w:num w:numId="20" w16cid:durableId="368653149">
    <w:abstractNumId w:val="22"/>
  </w:num>
  <w:num w:numId="21" w16cid:durableId="1819616283">
    <w:abstractNumId w:val="17"/>
  </w:num>
  <w:num w:numId="22" w16cid:durableId="386151140">
    <w:abstractNumId w:val="10"/>
  </w:num>
  <w:num w:numId="23" w16cid:durableId="209173682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035"/>
    <w:rsid w:val="000240BE"/>
    <w:rsid w:val="000250C7"/>
    <w:rsid w:val="00037621"/>
    <w:rsid w:val="00044D46"/>
    <w:rsid w:val="00045088"/>
    <w:rsid w:val="00045904"/>
    <w:rsid w:val="00055893"/>
    <w:rsid w:val="0006042B"/>
    <w:rsid w:val="00065166"/>
    <w:rsid w:val="00067600"/>
    <w:rsid w:val="000711B2"/>
    <w:rsid w:val="00077949"/>
    <w:rsid w:val="00082609"/>
    <w:rsid w:val="000851CC"/>
    <w:rsid w:val="00093BE8"/>
    <w:rsid w:val="000A05E4"/>
    <w:rsid w:val="000A68ED"/>
    <w:rsid w:val="000B5FF1"/>
    <w:rsid w:val="000B609F"/>
    <w:rsid w:val="000B7C37"/>
    <w:rsid w:val="000B7DB9"/>
    <w:rsid w:val="000C1B0C"/>
    <w:rsid w:val="000D403A"/>
    <w:rsid w:val="000D55A8"/>
    <w:rsid w:val="000D7027"/>
    <w:rsid w:val="000E329C"/>
    <w:rsid w:val="000E4841"/>
    <w:rsid w:val="000F1677"/>
    <w:rsid w:val="000F2323"/>
    <w:rsid w:val="000F3D6C"/>
    <w:rsid w:val="00100BF1"/>
    <w:rsid w:val="00101707"/>
    <w:rsid w:val="00110DA3"/>
    <w:rsid w:val="0011473D"/>
    <w:rsid w:val="00115C85"/>
    <w:rsid w:val="0012358D"/>
    <w:rsid w:val="00123661"/>
    <w:rsid w:val="00123855"/>
    <w:rsid w:val="00126A4D"/>
    <w:rsid w:val="00145F26"/>
    <w:rsid w:val="0014622C"/>
    <w:rsid w:val="00150B96"/>
    <w:rsid w:val="00152348"/>
    <w:rsid w:val="00153FF6"/>
    <w:rsid w:val="0015456D"/>
    <w:rsid w:val="0015507A"/>
    <w:rsid w:val="00161F1B"/>
    <w:rsid w:val="00162829"/>
    <w:rsid w:val="0017360F"/>
    <w:rsid w:val="001751DF"/>
    <w:rsid w:val="00180548"/>
    <w:rsid w:val="00180CCE"/>
    <w:rsid w:val="0018267A"/>
    <w:rsid w:val="00182779"/>
    <w:rsid w:val="00182A91"/>
    <w:rsid w:val="001830DF"/>
    <w:rsid w:val="00191603"/>
    <w:rsid w:val="001966D9"/>
    <w:rsid w:val="001A7E9A"/>
    <w:rsid w:val="001B3CAC"/>
    <w:rsid w:val="001B5016"/>
    <w:rsid w:val="001C45FC"/>
    <w:rsid w:val="001C547F"/>
    <w:rsid w:val="001C6DFA"/>
    <w:rsid w:val="001D106B"/>
    <w:rsid w:val="001D4862"/>
    <w:rsid w:val="001E25B9"/>
    <w:rsid w:val="001E49E0"/>
    <w:rsid w:val="001E7B5A"/>
    <w:rsid w:val="001F04F1"/>
    <w:rsid w:val="001F7412"/>
    <w:rsid w:val="0020725B"/>
    <w:rsid w:val="002132AA"/>
    <w:rsid w:val="00241B44"/>
    <w:rsid w:val="00245EFB"/>
    <w:rsid w:val="0026515D"/>
    <w:rsid w:val="002668D3"/>
    <w:rsid w:val="0027299F"/>
    <w:rsid w:val="00276876"/>
    <w:rsid w:val="00280DD6"/>
    <w:rsid w:val="00284EBE"/>
    <w:rsid w:val="00286AE6"/>
    <w:rsid w:val="0029433F"/>
    <w:rsid w:val="00294829"/>
    <w:rsid w:val="0029572B"/>
    <w:rsid w:val="00295B91"/>
    <w:rsid w:val="00295E8A"/>
    <w:rsid w:val="0029690F"/>
    <w:rsid w:val="002A2A60"/>
    <w:rsid w:val="002B1C45"/>
    <w:rsid w:val="002C13C8"/>
    <w:rsid w:val="002C1671"/>
    <w:rsid w:val="002C211E"/>
    <w:rsid w:val="002C3547"/>
    <w:rsid w:val="002C686D"/>
    <w:rsid w:val="002D0021"/>
    <w:rsid w:val="002D31CD"/>
    <w:rsid w:val="002D3473"/>
    <w:rsid w:val="002D4428"/>
    <w:rsid w:val="002D6193"/>
    <w:rsid w:val="002E1247"/>
    <w:rsid w:val="002E521D"/>
    <w:rsid w:val="002F1956"/>
    <w:rsid w:val="002F3440"/>
    <w:rsid w:val="002F75A3"/>
    <w:rsid w:val="00300372"/>
    <w:rsid w:val="00303C2F"/>
    <w:rsid w:val="003144EF"/>
    <w:rsid w:val="0031511B"/>
    <w:rsid w:val="00320CEF"/>
    <w:rsid w:val="00330937"/>
    <w:rsid w:val="00330F31"/>
    <w:rsid w:val="00331690"/>
    <w:rsid w:val="00331B2F"/>
    <w:rsid w:val="00334648"/>
    <w:rsid w:val="0033768C"/>
    <w:rsid w:val="00337938"/>
    <w:rsid w:val="003403E6"/>
    <w:rsid w:val="00340769"/>
    <w:rsid w:val="00341AA6"/>
    <w:rsid w:val="00342064"/>
    <w:rsid w:val="00361A0A"/>
    <w:rsid w:val="0036565C"/>
    <w:rsid w:val="0036625E"/>
    <w:rsid w:val="0037465A"/>
    <w:rsid w:val="00374696"/>
    <w:rsid w:val="00382C98"/>
    <w:rsid w:val="003836EF"/>
    <w:rsid w:val="0038533C"/>
    <w:rsid w:val="003948D5"/>
    <w:rsid w:val="0039615B"/>
    <w:rsid w:val="00396821"/>
    <w:rsid w:val="00397D3A"/>
    <w:rsid w:val="003A051E"/>
    <w:rsid w:val="003A2F8D"/>
    <w:rsid w:val="003B170F"/>
    <w:rsid w:val="003B47E2"/>
    <w:rsid w:val="003C4471"/>
    <w:rsid w:val="003D0A6D"/>
    <w:rsid w:val="003D1CAE"/>
    <w:rsid w:val="003D2DA8"/>
    <w:rsid w:val="003D3AAC"/>
    <w:rsid w:val="003D598E"/>
    <w:rsid w:val="003E0B16"/>
    <w:rsid w:val="003E1DA2"/>
    <w:rsid w:val="003E67D1"/>
    <w:rsid w:val="003F5758"/>
    <w:rsid w:val="003F590E"/>
    <w:rsid w:val="00405DC1"/>
    <w:rsid w:val="00411B48"/>
    <w:rsid w:val="00415F1F"/>
    <w:rsid w:val="0042108F"/>
    <w:rsid w:val="004218E2"/>
    <w:rsid w:val="00430FED"/>
    <w:rsid w:val="0043427C"/>
    <w:rsid w:val="00434A8C"/>
    <w:rsid w:val="00444284"/>
    <w:rsid w:val="00445CE6"/>
    <w:rsid w:val="00451518"/>
    <w:rsid w:val="004525E2"/>
    <w:rsid w:val="004534C2"/>
    <w:rsid w:val="0045683E"/>
    <w:rsid w:val="0046405E"/>
    <w:rsid w:val="00471F54"/>
    <w:rsid w:val="00474562"/>
    <w:rsid w:val="00475123"/>
    <w:rsid w:val="00475621"/>
    <w:rsid w:val="004851C0"/>
    <w:rsid w:val="004902B1"/>
    <w:rsid w:val="00491675"/>
    <w:rsid w:val="00493855"/>
    <w:rsid w:val="004A16A3"/>
    <w:rsid w:val="004A57DD"/>
    <w:rsid w:val="004A5A7A"/>
    <w:rsid w:val="004A5E48"/>
    <w:rsid w:val="004A7B51"/>
    <w:rsid w:val="004A7D71"/>
    <w:rsid w:val="004A7EF3"/>
    <w:rsid w:val="004B11FD"/>
    <w:rsid w:val="004B1FAA"/>
    <w:rsid w:val="004B23A2"/>
    <w:rsid w:val="004C1306"/>
    <w:rsid w:val="004D1A5A"/>
    <w:rsid w:val="004D3721"/>
    <w:rsid w:val="004D64F9"/>
    <w:rsid w:val="004E14A8"/>
    <w:rsid w:val="004E46D8"/>
    <w:rsid w:val="004F5FDF"/>
    <w:rsid w:val="00503C9A"/>
    <w:rsid w:val="005177FE"/>
    <w:rsid w:val="0052263B"/>
    <w:rsid w:val="00524728"/>
    <w:rsid w:val="005331CA"/>
    <w:rsid w:val="00537970"/>
    <w:rsid w:val="00544127"/>
    <w:rsid w:val="00550C0B"/>
    <w:rsid w:val="00553EB2"/>
    <w:rsid w:val="00560534"/>
    <w:rsid w:val="0056391B"/>
    <w:rsid w:val="005650E2"/>
    <w:rsid w:val="00567075"/>
    <w:rsid w:val="0057479A"/>
    <w:rsid w:val="00575B2D"/>
    <w:rsid w:val="00580B66"/>
    <w:rsid w:val="005810CF"/>
    <w:rsid w:val="0058287C"/>
    <w:rsid w:val="005833D0"/>
    <w:rsid w:val="005846F3"/>
    <w:rsid w:val="00585BCA"/>
    <w:rsid w:val="0058622F"/>
    <w:rsid w:val="00592796"/>
    <w:rsid w:val="00592F82"/>
    <w:rsid w:val="005A0CCA"/>
    <w:rsid w:val="005A59E6"/>
    <w:rsid w:val="005A726D"/>
    <w:rsid w:val="005B67AC"/>
    <w:rsid w:val="005D40C6"/>
    <w:rsid w:val="005D43E0"/>
    <w:rsid w:val="005D58A3"/>
    <w:rsid w:val="005E1B79"/>
    <w:rsid w:val="005F026D"/>
    <w:rsid w:val="005F2D0B"/>
    <w:rsid w:val="005F32D0"/>
    <w:rsid w:val="005F4B31"/>
    <w:rsid w:val="005F6250"/>
    <w:rsid w:val="00600134"/>
    <w:rsid w:val="00603540"/>
    <w:rsid w:val="00610388"/>
    <w:rsid w:val="00612CA5"/>
    <w:rsid w:val="006153EC"/>
    <w:rsid w:val="00615DAB"/>
    <w:rsid w:val="00617B8E"/>
    <w:rsid w:val="00621A17"/>
    <w:rsid w:val="00627CC9"/>
    <w:rsid w:val="00627E7B"/>
    <w:rsid w:val="00630542"/>
    <w:rsid w:val="00632E44"/>
    <w:rsid w:val="00634622"/>
    <w:rsid w:val="00636110"/>
    <w:rsid w:val="00636808"/>
    <w:rsid w:val="00641515"/>
    <w:rsid w:val="00641B88"/>
    <w:rsid w:val="00642DAA"/>
    <w:rsid w:val="00645025"/>
    <w:rsid w:val="0064681E"/>
    <w:rsid w:val="006515C4"/>
    <w:rsid w:val="00652496"/>
    <w:rsid w:val="00654C2F"/>
    <w:rsid w:val="00657087"/>
    <w:rsid w:val="0065735B"/>
    <w:rsid w:val="00667676"/>
    <w:rsid w:val="00677AEB"/>
    <w:rsid w:val="00680042"/>
    <w:rsid w:val="00687A1D"/>
    <w:rsid w:val="00697EA1"/>
    <w:rsid w:val="006A2646"/>
    <w:rsid w:val="006A2751"/>
    <w:rsid w:val="006A6530"/>
    <w:rsid w:val="006B1CA2"/>
    <w:rsid w:val="006B435A"/>
    <w:rsid w:val="006B4C64"/>
    <w:rsid w:val="006C7972"/>
    <w:rsid w:val="006D01C2"/>
    <w:rsid w:val="006D34D5"/>
    <w:rsid w:val="006E481A"/>
    <w:rsid w:val="006E5298"/>
    <w:rsid w:val="006F734A"/>
    <w:rsid w:val="00700D83"/>
    <w:rsid w:val="007074E9"/>
    <w:rsid w:val="00707606"/>
    <w:rsid w:val="00713DA4"/>
    <w:rsid w:val="00714BF1"/>
    <w:rsid w:val="00721383"/>
    <w:rsid w:val="007271BC"/>
    <w:rsid w:val="007333CC"/>
    <w:rsid w:val="0073399A"/>
    <w:rsid w:val="0073459E"/>
    <w:rsid w:val="007346B0"/>
    <w:rsid w:val="00742313"/>
    <w:rsid w:val="00755E11"/>
    <w:rsid w:val="00760256"/>
    <w:rsid w:val="007603F5"/>
    <w:rsid w:val="00764DB0"/>
    <w:rsid w:val="0076650B"/>
    <w:rsid w:val="0076764D"/>
    <w:rsid w:val="007727E1"/>
    <w:rsid w:val="0077498C"/>
    <w:rsid w:val="007777F7"/>
    <w:rsid w:val="00784128"/>
    <w:rsid w:val="00793173"/>
    <w:rsid w:val="007C074F"/>
    <w:rsid w:val="007C0DA1"/>
    <w:rsid w:val="007C1459"/>
    <w:rsid w:val="007C1FCC"/>
    <w:rsid w:val="007C6201"/>
    <w:rsid w:val="007D7C92"/>
    <w:rsid w:val="007E1154"/>
    <w:rsid w:val="007F133B"/>
    <w:rsid w:val="007F21D2"/>
    <w:rsid w:val="007F41F8"/>
    <w:rsid w:val="007F45F1"/>
    <w:rsid w:val="008031A7"/>
    <w:rsid w:val="0080454E"/>
    <w:rsid w:val="00804C32"/>
    <w:rsid w:val="00806302"/>
    <w:rsid w:val="00807119"/>
    <w:rsid w:val="00813B9F"/>
    <w:rsid w:val="00817206"/>
    <w:rsid w:val="0082483F"/>
    <w:rsid w:val="00825D91"/>
    <w:rsid w:val="008279C0"/>
    <w:rsid w:val="00827D56"/>
    <w:rsid w:val="008321D7"/>
    <w:rsid w:val="008513D8"/>
    <w:rsid w:val="00864BA7"/>
    <w:rsid w:val="00866855"/>
    <w:rsid w:val="00871D2F"/>
    <w:rsid w:val="008723F3"/>
    <w:rsid w:val="00875FCA"/>
    <w:rsid w:val="008808B9"/>
    <w:rsid w:val="00881DE6"/>
    <w:rsid w:val="00882BCC"/>
    <w:rsid w:val="008837A6"/>
    <w:rsid w:val="008912CA"/>
    <w:rsid w:val="0089145D"/>
    <w:rsid w:val="008934ED"/>
    <w:rsid w:val="0089377C"/>
    <w:rsid w:val="008A6CFE"/>
    <w:rsid w:val="008B0712"/>
    <w:rsid w:val="008B5333"/>
    <w:rsid w:val="008B6223"/>
    <w:rsid w:val="008B6672"/>
    <w:rsid w:val="008C66E0"/>
    <w:rsid w:val="008E3339"/>
    <w:rsid w:val="008F20FC"/>
    <w:rsid w:val="008F62F3"/>
    <w:rsid w:val="008F6301"/>
    <w:rsid w:val="008F638B"/>
    <w:rsid w:val="008F63C3"/>
    <w:rsid w:val="00904A6C"/>
    <w:rsid w:val="00905A43"/>
    <w:rsid w:val="00912C79"/>
    <w:rsid w:val="00916F8F"/>
    <w:rsid w:val="00926024"/>
    <w:rsid w:val="00942123"/>
    <w:rsid w:val="0095207B"/>
    <w:rsid w:val="00955AF1"/>
    <w:rsid w:val="00962045"/>
    <w:rsid w:val="009634F4"/>
    <w:rsid w:val="00991428"/>
    <w:rsid w:val="00992676"/>
    <w:rsid w:val="00996B31"/>
    <w:rsid w:val="009B0723"/>
    <w:rsid w:val="009B07AD"/>
    <w:rsid w:val="009B0883"/>
    <w:rsid w:val="009B15E2"/>
    <w:rsid w:val="009B66E2"/>
    <w:rsid w:val="009C0B8E"/>
    <w:rsid w:val="009C1BC8"/>
    <w:rsid w:val="009C2442"/>
    <w:rsid w:val="009D0811"/>
    <w:rsid w:val="009D0EE1"/>
    <w:rsid w:val="009D493A"/>
    <w:rsid w:val="009E1027"/>
    <w:rsid w:val="009E2AEB"/>
    <w:rsid w:val="009E2E27"/>
    <w:rsid w:val="009E4DE3"/>
    <w:rsid w:val="00A005FC"/>
    <w:rsid w:val="00A047EE"/>
    <w:rsid w:val="00A07CF0"/>
    <w:rsid w:val="00A15CD5"/>
    <w:rsid w:val="00A16C74"/>
    <w:rsid w:val="00A22026"/>
    <w:rsid w:val="00A2274A"/>
    <w:rsid w:val="00A235B7"/>
    <w:rsid w:val="00A35245"/>
    <w:rsid w:val="00A407EF"/>
    <w:rsid w:val="00A40F6A"/>
    <w:rsid w:val="00A458BE"/>
    <w:rsid w:val="00A46B4C"/>
    <w:rsid w:val="00A5117B"/>
    <w:rsid w:val="00A54909"/>
    <w:rsid w:val="00A60074"/>
    <w:rsid w:val="00A62348"/>
    <w:rsid w:val="00A62879"/>
    <w:rsid w:val="00A6627C"/>
    <w:rsid w:val="00A71019"/>
    <w:rsid w:val="00A8015A"/>
    <w:rsid w:val="00A81029"/>
    <w:rsid w:val="00A83A2F"/>
    <w:rsid w:val="00A9049D"/>
    <w:rsid w:val="00A96489"/>
    <w:rsid w:val="00A97725"/>
    <w:rsid w:val="00AB11D4"/>
    <w:rsid w:val="00AB3BCF"/>
    <w:rsid w:val="00AB685C"/>
    <w:rsid w:val="00AB6C2D"/>
    <w:rsid w:val="00AC3839"/>
    <w:rsid w:val="00AC7082"/>
    <w:rsid w:val="00AD2317"/>
    <w:rsid w:val="00AD6788"/>
    <w:rsid w:val="00AD6A7D"/>
    <w:rsid w:val="00AF228E"/>
    <w:rsid w:val="00B06723"/>
    <w:rsid w:val="00B0703B"/>
    <w:rsid w:val="00B1043F"/>
    <w:rsid w:val="00B13E40"/>
    <w:rsid w:val="00B14728"/>
    <w:rsid w:val="00B14819"/>
    <w:rsid w:val="00B17AA9"/>
    <w:rsid w:val="00B27623"/>
    <w:rsid w:val="00B33EF4"/>
    <w:rsid w:val="00B3580A"/>
    <w:rsid w:val="00B415DC"/>
    <w:rsid w:val="00B522FF"/>
    <w:rsid w:val="00B55AD4"/>
    <w:rsid w:val="00B6306C"/>
    <w:rsid w:val="00B72AE1"/>
    <w:rsid w:val="00B736DF"/>
    <w:rsid w:val="00B74FBD"/>
    <w:rsid w:val="00B7501E"/>
    <w:rsid w:val="00B82586"/>
    <w:rsid w:val="00B86DB1"/>
    <w:rsid w:val="00B87869"/>
    <w:rsid w:val="00BA15C8"/>
    <w:rsid w:val="00BA2737"/>
    <w:rsid w:val="00BB0F2B"/>
    <w:rsid w:val="00BB6377"/>
    <w:rsid w:val="00BB66E3"/>
    <w:rsid w:val="00BF1C6F"/>
    <w:rsid w:val="00BF50F7"/>
    <w:rsid w:val="00BF7121"/>
    <w:rsid w:val="00C01D85"/>
    <w:rsid w:val="00C02F29"/>
    <w:rsid w:val="00C053F7"/>
    <w:rsid w:val="00C07915"/>
    <w:rsid w:val="00C10578"/>
    <w:rsid w:val="00C22A25"/>
    <w:rsid w:val="00C33C6C"/>
    <w:rsid w:val="00C34077"/>
    <w:rsid w:val="00C35671"/>
    <w:rsid w:val="00C35B77"/>
    <w:rsid w:val="00C373C6"/>
    <w:rsid w:val="00C376EB"/>
    <w:rsid w:val="00C46EC1"/>
    <w:rsid w:val="00C53E2C"/>
    <w:rsid w:val="00C550C8"/>
    <w:rsid w:val="00C55E90"/>
    <w:rsid w:val="00C606C3"/>
    <w:rsid w:val="00C62206"/>
    <w:rsid w:val="00C633DC"/>
    <w:rsid w:val="00C71304"/>
    <w:rsid w:val="00C72848"/>
    <w:rsid w:val="00C7736C"/>
    <w:rsid w:val="00C82D87"/>
    <w:rsid w:val="00C8712A"/>
    <w:rsid w:val="00C963D3"/>
    <w:rsid w:val="00CB2CBB"/>
    <w:rsid w:val="00CB3E1F"/>
    <w:rsid w:val="00CB7CAC"/>
    <w:rsid w:val="00CC5335"/>
    <w:rsid w:val="00CC5BA4"/>
    <w:rsid w:val="00CD4998"/>
    <w:rsid w:val="00CE1035"/>
    <w:rsid w:val="00CE5047"/>
    <w:rsid w:val="00CF1154"/>
    <w:rsid w:val="00CF2819"/>
    <w:rsid w:val="00CF4F9D"/>
    <w:rsid w:val="00CF70DC"/>
    <w:rsid w:val="00D00415"/>
    <w:rsid w:val="00D104E4"/>
    <w:rsid w:val="00D13663"/>
    <w:rsid w:val="00D148DC"/>
    <w:rsid w:val="00D17FDC"/>
    <w:rsid w:val="00D26AAA"/>
    <w:rsid w:val="00D27604"/>
    <w:rsid w:val="00D52878"/>
    <w:rsid w:val="00D548C5"/>
    <w:rsid w:val="00D63EFD"/>
    <w:rsid w:val="00D65A68"/>
    <w:rsid w:val="00D745CB"/>
    <w:rsid w:val="00D75FE2"/>
    <w:rsid w:val="00D76AB7"/>
    <w:rsid w:val="00D76FA9"/>
    <w:rsid w:val="00D77191"/>
    <w:rsid w:val="00D84752"/>
    <w:rsid w:val="00D86B3B"/>
    <w:rsid w:val="00D8748A"/>
    <w:rsid w:val="00D87915"/>
    <w:rsid w:val="00D915BF"/>
    <w:rsid w:val="00D93196"/>
    <w:rsid w:val="00D932C7"/>
    <w:rsid w:val="00D95D30"/>
    <w:rsid w:val="00DA0774"/>
    <w:rsid w:val="00DA71B8"/>
    <w:rsid w:val="00DB243C"/>
    <w:rsid w:val="00DB482A"/>
    <w:rsid w:val="00DB4F76"/>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3FC0"/>
    <w:rsid w:val="00E450A4"/>
    <w:rsid w:val="00E506BE"/>
    <w:rsid w:val="00E55547"/>
    <w:rsid w:val="00E6302B"/>
    <w:rsid w:val="00E6452F"/>
    <w:rsid w:val="00E64F45"/>
    <w:rsid w:val="00E6742D"/>
    <w:rsid w:val="00E71CB0"/>
    <w:rsid w:val="00E73A46"/>
    <w:rsid w:val="00E77C3D"/>
    <w:rsid w:val="00E909F0"/>
    <w:rsid w:val="00E93993"/>
    <w:rsid w:val="00EA0092"/>
    <w:rsid w:val="00EA0913"/>
    <w:rsid w:val="00EA0936"/>
    <w:rsid w:val="00EA70DB"/>
    <w:rsid w:val="00EB45AC"/>
    <w:rsid w:val="00EC6A54"/>
    <w:rsid w:val="00EC7FDF"/>
    <w:rsid w:val="00ED0BC4"/>
    <w:rsid w:val="00ED77F9"/>
    <w:rsid w:val="00EE4971"/>
    <w:rsid w:val="00EE744D"/>
    <w:rsid w:val="00EF090E"/>
    <w:rsid w:val="00EF2E41"/>
    <w:rsid w:val="00EF40E8"/>
    <w:rsid w:val="00F033DA"/>
    <w:rsid w:val="00F27CD8"/>
    <w:rsid w:val="00F30351"/>
    <w:rsid w:val="00F3323E"/>
    <w:rsid w:val="00F341F4"/>
    <w:rsid w:val="00F35CCE"/>
    <w:rsid w:val="00F427FC"/>
    <w:rsid w:val="00F42C72"/>
    <w:rsid w:val="00F44220"/>
    <w:rsid w:val="00F5524B"/>
    <w:rsid w:val="00F55EE7"/>
    <w:rsid w:val="00F57729"/>
    <w:rsid w:val="00F61DD2"/>
    <w:rsid w:val="00F66AFF"/>
    <w:rsid w:val="00F71433"/>
    <w:rsid w:val="00F73C6C"/>
    <w:rsid w:val="00F97C5B"/>
    <w:rsid w:val="00FA0D13"/>
    <w:rsid w:val="00FA3D50"/>
    <w:rsid w:val="00FA3D5F"/>
    <w:rsid w:val="00FB2FDD"/>
    <w:rsid w:val="00FB3B8F"/>
    <w:rsid w:val="00FB6F4A"/>
    <w:rsid w:val="00FB6FD6"/>
    <w:rsid w:val="00FC374A"/>
    <w:rsid w:val="00FC7B47"/>
    <w:rsid w:val="00FD035C"/>
    <w:rsid w:val="00FD1A35"/>
    <w:rsid w:val="00FD36C5"/>
    <w:rsid w:val="00FD6310"/>
    <w:rsid w:val="00FD7C7B"/>
    <w:rsid w:val="00FE1D12"/>
    <w:rsid w:val="00FE2122"/>
    <w:rsid w:val="00FE2A86"/>
    <w:rsid w:val="00FE337B"/>
    <w:rsid w:val="00FF0418"/>
    <w:rsid w:val="00FF296F"/>
    <w:rsid w:val="00FF35D3"/>
    <w:rsid w:val="00FF5E23"/>
    <w:rsid w:val="00FF7578"/>
    <w:rsid w:val="00FF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2274</TotalTime>
  <Pages>12</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Weng Han Lai</cp:lastModifiedBy>
  <cp:revision>220</cp:revision>
  <cp:lastPrinted>2019-09-04T15:45:00Z</cp:lastPrinted>
  <dcterms:created xsi:type="dcterms:W3CDTF">2022-07-28T08:04:00Z</dcterms:created>
  <dcterms:modified xsi:type="dcterms:W3CDTF">2022-10-15T05:06:00Z</dcterms:modified>
</cp:coreProperties>
</file>