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AF61B3" w:rsidRDefault="00B736DF" w:rsidP="009E1027">
      <w:pPr>
        <w:pStyle w:val="ListParagraph"/>
        <w:numPr>
          <w:ilvl w:val="0"/>
          <w:numId w:val="12"/>
        </w:numPr>
        <w:ind w:left="426"/>
        <w:jc w:val="both"/>
        <w:rPr>
          <w:rFonts w:ascii="Avenir Next" w:hAnsi="Avenir Next" w:cs="Arial"/>
          <w:sz w:val="22"/>
          <w:szCs w:val="22"/>
          <w:highlight w:val="yellow"/>
          <w:lang w:val="en-GB"/>
        </w:rPr>
      </w:pPr>
      <w:r w:rsidRPr="00AF61B3">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AF61B3">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AF61B3" w:rsidRDefault="009E2E27" w:rsidP="008031A7">
      <w:pPr>
        <w:pStyle w:val="ListParagraph"/>
        <w:numPr>
          <w:ilvl w:val="0"/>
          <w:numId w:val="14"/>
        </w:numPr>
        <w:ind w:left="426"/>
        <w:jc w:val="both"/>
        <w:rPr>
          <w:rFonts w:ascii="Avenir Next" w:hAnsi="Avenir Next" w:cs="Arial"/>
          <w:sz w:val="22"/>
          <w:szCs w:val="22"/>
          <w:highlight w:val="yellow"/>
          <w:lang w:val="en-GB"/>
        </w:rPr>
      </w:pPr>
      <w:r w:rsidRPr="00AF61B3">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AF61B3" w:rsidRDefault="009E2E27" w:rsidP="008031A7">
      <w:pPr>
        <w:pStyle w:val="ListParagraph"/>
        <w:numPr>
          <w:ilvl w:val="0"/>
          <w:numId w:val="15"/>
        </w:numPr>
        <w:ind w:left="426"/>
        <w:jc w:val="both"/>
        <w:rPr>
          <w:rFonts w:ascii="Avenir Next" w:hAnsi="Avenir Next" w:cs="Arial"/>
          <w:sz w:val="22"/>
          <w:szCs w:val="22"/>
          <w:highlight w:val="yellow"/>
          <w:lang w:val="en-GB"/>
        </w:rPr>
      </w:pPr>
      <w:r w:rsidRPr="00AF61B3">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215F4C" w:rsidRDefault="00A235B7" w:rsidP="006D01C2">
      <w:pPr>
        <w:pStyle w:val="ListParagraph"/>
        <w:numPr>
          <w:ilvl w:val="0"/>
          <w:numId w:val="16"/>
        </w:numPr>
        <w:ind w:left="426"/>
        <w:jc w:val="both"/>
        <w:rPr>
          <w:rFonts w:ascii="Avenir Next" w:hAnsi="Avenir Next" w:cs="Arial"/>
          <w:sz w:val="22"/>
          <w:szCs w:val="22"/>
          <w:highlight w:val="yellow"/>
          <w:lang w:val="en-GB"/>
        </w:rPr>
      </w:pPr>
      <w:r w:rsidRPr="00215F4C">
        <w:rPr>
          <w:rFonts w:ascii="Avenir Next" w:hAnsi="Avenir Next" w:cs="Arial"/>
          <w:sz w:val="22"/>
          <w:szCs w:val="22"/>
          <w:highlight w:val="yellow"/>
          <w:lang w:val="en-GB"/>
        </w:rPr>
        <w:t>The statement</w:t>
      </w:r>
      <w:r w:rsidR="0037465A" w:rsidRPr="00215F4C">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215F4C">
        <w:rPr>
          <w:rFonts w:ascii="Avenir Next" w:eastAsiaTheme="minorHAnsi" w:hAnsi="Avenir Next" w:cs="Arial"/>
          <w:sz w:val="22"/>
          <w:szCs w:val="22"/>
          <w:highlight w:val="yellow"/>
          <w:lang w:val="en-GB"/>
        </w:rPr>
        <w:t>Private International Law</w:t>
      </w:r>
      <w:r w:rsidR="00991428" w:rsidRPr="00215F4C">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A6DDBC8" w14:textId="77777777" w:rsidR="00215F4C" w:rsidRDefault="00215F4C" w:rsidP="00C053F7">
      <w:pPr>
        <w:spacing w:line="276" w:lineRule="auto"/>
        <w:jc w:val="both"/>
        <w:rPr>
          <w:rFonts w:ascii="Avenir Next Demi Bold" w:hAnsi="Avenir Next Demi Bold" w:cs="Arial"/>
          <w:b/>
          <w:bCs/>
          <w:sz w:val="22"/>
          <w:szCs w:val="22"/>
          <w:lang w:val="en-GB"/>
        </w:rPr>
      </w:pPr>
    </w:p>
    <w:p w14:paraId="1DFA783E" w14:textId="0F53BC5C"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215F4C"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215F4C">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215F4C">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215F4C"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215F4C">
        <w:rPr>
          <w:rFonts w:ascii="Avenir Next" w:hAnsi="Avenir Next" w:cs="Arial"/>
          <w:sz w:val="22"/>
          <w:szCs w:val="22"/>
          <w:highlight w:val="yellow"/>
          <w:lang w:val="en-GB"/>
        </w:rPr>
        <w:t>Havana Convention on Private International Law (1928)</w:t>
      </w:r>
      <w:r w:rsidRPr="00215F4C">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215F4C" w:rsidRDefault="0082483F" w:rsidP="006D01C2">
      <w:pPr>
        <w:pStyle w:val="ListParagraph"/>
        <w:numPr>
          <w:ilvl w:val="0"/>
          <w:numId w:val="20"/>
        </w:numPr>
        <w:ind w:left="426"/>
        <w:jc w:val="both"/>
        <w:rPr>
          <w:rFonts w:ascii="Avenir Next" w:hAnsi="Avenir Next" w:cs="Arial"/>
          <w:sz w:val="22"/>
          <w:szCs w:val="22"/>
          <w:highlight w:val="yellow"/>
          <w:lang w:val="en-GB"/>
        </w:rPr>
      </w:pPr>
      <w:r w:rsidRPr="00215F4C">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039550A4"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124353E9" w14:textId="77777777" w:rsidR="00215F4C" w:rsidRPr="00215F4C" w:rsidRDefault="00215F4C" w:rsidP="00215F4C">
      <w:pPr>
        <w:jc w:val="bot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215F4C">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60C32707" w14:textId="77777777" w:rsidR="00215F4C" w:rsidRPr="00215F4C" w:rsidRDefault="009B07AD" w:rsidP="00C053F7">
      <w:pPr>
        <w:ind w:left="720" w:hanging="720"/>
        <w:jc w:val="both"/>
        <w:rPr>
          <w:rFonts w:ascii="Avenir Next" w:hAnsi="Avenir Next" w:cs="Arial"/>
          <w:sz w:val="22"/>
          <w:szCs w:val="22"/>
          <w:lang w:val="en-GB"/>
        </w:rPr>
      </w:pPr>
      <w:r w:rsidRPr="00215F4C">
        <w:rPr>
          <w:rFonts w:ascii="Avenir Next" w:hAnsi="Avenir Next" w:cs="Arial"/>
          <w:sz w:val="22"/>
          <w:szCs w:val="22"/>
          <w:lang w:val="en-GB"/>
        </w:rPr>
        <w:t>[</w:t>
      </w:r>
      <w:r w:rsidR="00215F4C" w:rsidRPr="00215F4C">
        <w:rPr>
          <w:rFonts w:ascii="Avenir Next" w:hAnsi="Avenir Next" w:cs="Arial"/>
          <w:sz w:val="22"/>
          <w:szCs w:val="22"/>
          <w:lang w:val="en-GB"/>
        </w:rPr>
        <w:t xml:space="preserve">International Insolvency Law is the overarching term that defines insolvency proceedings spanning </w:t>
      </w:r>
    </w:p>
    <w:p w14:paraId="2293125F" w14:textId="77777777" w:rsidR="00215F4C" w:rsidRPr="00215F4C" w:rsidRDefault="00215F4C" w:rsidP="00C053F7">
      <w:pPr>
        <w:ind w:left="720" w:hanging="720"/>
        <w:jc w:val="both"/>
        <w:rPr>
          <w:rFonts w:ascii="Avenir Next" w:hAnsi="Avenir Next" w:cs="Arial"/>
          <w:sz w:val="22"/>
          <w:szCs w:val="22"/>
          <w:lang w:val="en-GB"/>
        </w:rPr>
      </w:pPr>
      <w:r w:rsidRPr="00215F4C">
        <w:rPr>
          <w:rFonts w:ascii="Avenir Next" w:hAnsi="Avenir Next" w:cs="Arial"/>
          <w:sz w:val="22"/>
          <w:szCs w:val="22"/>
          <w:lang w:val="en-GB"/>
        </w:rPr>
        <w:t xml:space="preserve">over different territories.  It is a collection of rules which cannot be enforced without taking the </w:t>
      </w:r>
    </w:p>
    <w:p w14:paraId="57BCFC30" w14:textId="4C242B04" w:rsidR="009B07AD" w:rsidRPr="00215F4C" w:rsidRDefault="00215F4C" w:rsidP="00C053F7">
      <w:pPr>
        <w:ind w:left="720" w:hanging="720"/>
        <w:jc w:val="both"/>
        <w:rPr>
          <w:rFonts w:ascii="Avenir Next" w:hAnsi="Avenir Next" w:cs="Arial"/>
          <w:sz w:val="22"/>
          <w:szCs w:val="22"/>
          <w:lang w:val="en-GB"/>
        </w:rPr>
      </w:pPr>
      <w:r w:rsidRPr="00215F4C">
        <w:rPr>
          <w:rFonts w:ascii="Avenir Next" w:hAnsi="Avenir Next" w:cs="Arial"/>
          <w:sz w:val="22"/>
          <w:szCs w:val="22"/>
          <w:lang w:val="en-GB"/>
        </w:rPr>
        <w:t xml:space="preserve">international aspects, </w:t>
      </w:r>
      <w:proofErr w:type="gramStart"/>
      <w:r w:rsidRPr="00215F4C">
        <w:rPr>
          <w:rFonts w:ascii="Avenir Next" w:hAnsi="Avenir Next" w:cs="Arial"/>
          <w:sz w:val="22"/>
          <w:szCs w:val="22"/>
          <w:lang w:val="en-GB"/>
        </w:rPr>
        <w:t>rules</w:t>
      </w:r>
      <w:proofErr w:type="gramEnd"/>
      <w:r w:rsidRPr="00215F4C">
        <w:rPr>
          <w:rFonts w:ascii="Avenir Next" w:hAnsi="Avenir Next" w:cs="Arial"/>
          <w:sz w:val="22"/>
          <w:szCs w:val="22"/>
          <w:lang w:val="en-GB"/>
        </w:rPr>
        <w:t xml:space="preserve"> and ramifications of a particular case in account</w:t>
      </w:r>
      <w:r w:rsidR="009B07AD" w:rsidRPr="00215F4C">
        <w:rPr>
          <w:rFonts w:ascii="Avenir Next" w:hAnsi="Avenir Next" w:cs="Arial"/>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697E33" w14:textId="72AD9648" w:rsidR="00215F4C" w:rsidRPr="006A0B1E" w:rsidRDefault="00215F4C" w:rsidP="00215F4C">
      <w:pPr>
        <w:jc w:val="both"/>
        <w:rPr>
          <w:rFonts w:ascii="Arial" w:hAnsi="Arial" w:cs="Arial"/>
          <w:sz w:val="22"/>
          <w:szCs w:val="22"/>
          <w:highlight w:val="yellow"/>
          <w:lang w:val="en-GB"/>
        </w:rPr>
      </w:pPr>
      <w:r w:rsidRPr="006A0B1E">
        <w:rPr>
          <w:rFonts w:ascii="Arial" w:hAnsi="Arial" w:cs="Arial"/>
          <w:sz w:val="22"/>
          <w:szCs w:val="22"/>
          <w:highlight w:val="yellow"/>
          <w:lang w:val="en-GB"/>
        </w:rPr>
        <w:t xml:space="preserve">The concept of universality or universalism relate to the premise that one insolvency proceeding should cover and cater for all of the </w:t>
      </w:r>
      <w:proofErr w:type="gramStart"/>
      <w:r w:rsidRPr="006A0B1E">
        <w:rPr>
          <w:rFonts w:ascii="Arial" w:hAnsi="Arial" w:cs="Arial"/>
          <w:sz w:val="22"/>
          <w:szCs w:val="22"/>
          <w:highlight w:val="yellow"/>
          <w:lang w:val="en-GB"/>
        </w:rPr>
        <w:t>debtors</w:t>
      </w:r>
      <w:proofErr w:type="gramEnd"/>
      <w:r w:rsidRPr="006A0B1E">
        <w:rPr>
          <w:rFonts w:ascii="Arial" w:hAnsi="Arial" w:cs="Arial"/>
          <w:sz w:val="22"/>
          <w:szCs w:val="22"/>
          <w:highlight w:val="yellow"/>
          <w:lang w:val="en-GB"/>
        </w:rPr>
        <w:t xml:space="preserve"> debts and assets regardless of the fact that the debtors assets or debts may be located in more than one jurisdiction. </w:t>
      </w:r>
      <w:proofErr w:type="gramStart"/>
      <w:r w:rsidRPr="006A0B1E">
        <w:rPr>
          <w:rFonts w:ascii="Arial" w:hAnsi="Arial" w:cs="Arial"/>
          <w:sz w:val="22"/>
          <w:szCs w:val="22"/>
          <w:highlight w:val="yellow"/>
          <w:lang w:val="en-GB"/>
        </w:rPr>
        <w:t>Furthermore</w:t>
      </w:r>
      <w:proofErr w:type="gramEnd"/>
      <w:r w:rsidRPr="006A0B1E">
        <w:rPr>
          <w:rFonts w:ascii="Arial" w:hAnsi="Arial" w:cs="Arial"/>
          <w:sz w:val="22"/>
          <w:szCs w:val="22"/>
          <w:highlight w:val="yellow"/>
          <w:lang w:val="en-GB"/>
        </w:rPr>
        <w:t xml:space="preserve"> as soon as insolvency proceedings are initiated in a certain jurisdiction, no other insolvency proceedings should be allowed to take place in other jurisdictions and therefore execution of the debtors assets must only be governed in terms of one forum in one jurisdiction. </w:t>
      </w:r>
      <w:proofErr w:type="gramStart"/>
      <w:r w:rsidRPr="006A0B1E">
        <w:rPr>
          <w:rFonts w:ascii="Arial" w:hAnsi="Arial" w:cs="Arial"/>
          <w:sz w:val="22"/>
          <w:szCs w:val="22"/>
          <w:highlight w:val="yellow"/>
          <w:lang w:val="en-GB"/>
        </w:rPr>
        <w:t>In order to</w:t>
      </w:r>
      <w:proofErr w:type="gramEnd"/>
      <w:r w:rsidRPr="006A0B1E">
        <w:rPr>
          <w:rFonts w:ascii="Arial" w:hAnsi="Arial" w:cs="Arial"/>
          <w:sz w:val="22"/>
          <w:szCs w:val="22"/>
          <w:highlight w:val="yellow"/>
          <w:lang w:val="en-GB"/>
        </w:rPr>
        <w:t xml:space="preserve"> determine which jurisdiction, the proceeding should take place in, one would need to determine the location based on where the centre of the debtor’s interests is located. </w:t>
      </w:r>
      <w:proofErr w:type="gramStart"/>
      <w:r w:rsidRPr="006A0B1E">
        <w:rPr>
          <w:rFonts w:ascii="Arial" w:hAnsi="Arial" w:cs="Arial"/>
          <w:sz w:val="22"/>
          <w:szCs w:val="22"/>
          <w:highlight w:val="yellow"/>
          <w:lang w:val="en-GB"/>
        </w:rPr>
        <w:t>Furthermore</w:t>
      </w:r>
      <w:proofErr w:type="gramEnd"/>
      <w:r w:rsidRPr="006A0B1E">
        <w:rPr>
          <w:rFonts w:ascii="Arial" w:hAnsi="Arial" w:cs="Arial"/>
          <w:sz w:val="22"/>
          <w:szCs w:val="22"/>
          <w:highlight w:val="yellow"/>
          <w:lang w:val="en-GB"/>
        </w:rPr>
        <w:t xml:space="preserve"> all creditors of the debtor, regardless of where in the world they are situated, </w:t>
      </w:r>
      <w:r w:rsidRPr="006A0B1E">
        <w:rPr>
          <w:rFonts w:ascii="Arial" w:hAnsi="Arial" w:cs="Arial"/>
          <w:sz w:val="22"/>
          <w:szCs w:val="22"/>
          <w:highlight w:val="yellow"/>
          <w:lang w:val="en-GB"/>
        </w:rPr>
        <w:lastRenderedPageBreak/>
        <w:t xml:space="preserve">should have the equal opportunity to be part of the proceedings and all claims will be treated equally. </w:t>
      </w:r>
    </w:p>
    <w:p w14:paraId="7D1B2AD0" w14:textId="77777777" w:rsidR="00215F4C" w:rsidRPr="006A0B1E" w:rsidRDefault="00215F4C" w:rsidP="00215F4C">
      <w:pPr>
        <w:ind w:left="-142" w:hanging="11"/>
        <w:jc w:val="both"/>
        <w:rPr>
          <w:rFonts w:ascii="Arial" w:hAnsi="Arial" w:cs="Arial"/>
          <w:sz w:val="22"/>
          <w:szCs w:val="22"/>
          <w:highlight w:val="yellow"/>
          <w:lang w:val="en-GB"/>
        </w:rPr>
      </w:pPr>
    </w:p>
    <w:p w14:paraId="164667EC" w14:textId="62A1C273" w:rsidR="00215F4C" w:rsidRPr="006A0B1E" w:rsidRDefault="00215F4C" w:rsidP="00215F4C">
      <w:pPr>
        <w:jc w:val="both"/>
        <w:rPr>
          <w:rFonts w:ascii="Arial" w:hAnsi="Arial" w:cs="Arial"/>
          <w:sz w:val="22"/>
          <w:szCs w:val="22"/>
          <w:lang w:val="en-GB"/>
        </w:rPr>
      </w:pPr>
      <w:r w:rsidRPr="006A0B1E">
        <w:rPr>
          <w:rFonts w:ascii="Arial" w:hAnsi="Arial" w:cs="Arial"/>
          <w:sz w:val="22"/>
          <w:szCs w:val="22"/>
          <w:highlight w:val="yellow"/>
          <w:lang w:val="en-GB"/>
        </w:rPr>
        <w:t xml:space="preserve">The principle of territoriality or territorialism is the complete opposite to the principle of universalism. In terms of this </w:t>
      </w:r>
      <w:r w:rsidR="007B17C2" w:rsidRPr="006A0B1E">
        <w:rPr>
          <w:rFonts w:ascii="Arial" w:hAnsi="Arial" w:cs="Arial"/>
          <w:sz w:val="22"/>
          <w:szCs w:val="22"/>
          <w:highlight w:val="yellow"/>
          <w:lang w:val="en-GB"/>
        </w:rPr>
        <w:t>principle,</w:t>
      </w:r>
      <w:r w:rsidRPr="006A0B1E">
        <w:rPr>
          <w:rFonts w:ascii="Arial" w:hAnsi="Arial" w:cs="Arial"/>
          <w:sz w:val="22"/>
          <w:szCs w:val="22"/>
          <w:highlight w:val="yellow"/>
          <w:lang w:val="en-GB"/>
        </w:rPr>
        <w:t xml:space="preserve"> it states that insolvency proceedings can commence in every jurisdiction where the debtor possesses assets. However, an important distinction is that the proceedings is limited and restricted to assets of the debtor which is situated within a certain state. A practical example is that should an insolvent/debtor own property in South Africa and England then insolvency proceedings commencing in South Africa can only deal with the assets which the insolvent/debtor owns in South Africa and not any of the assets which the insolvent/debtor owns in England. this principle therefore allows for multiple insolvency hearings commencing concurrently within different jurisdictions although being limited to winding up of assets which are situated in the jurisdiction within which the insolvency proceeding commences.    The concept of territorialism protects in the interests of local creditors and prevents such creditors from being unable to recover some of their assets due to the massive financial and logistical challenges when faced with foreign insolvency proceedings.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0A483503" w14:textId="6F3DAE32" w:rsidR="00215F4C" w:rsidRPr="006A0B1E" w:rsidRDefault="00215F4C" w:rsidP="00215F4C">
      <w:pPr>
        <w:rPr>
          <w:rFonts w:ascii="Arial" w:hAnsi="Arial" w:cs="Arial"/>
          <w:sz w:val="22"/>
          <w:szCs w:val="22"/>
          <w:highlight w:val="yellow"/>
          <w:lang w:val="en-GB"/>
        </w:rPr>
      </w:pPr>
      <w:r w:rsidRPr="006A0B1E">
        <w:rPr>
          <w:rFonts w:ascii="Arial" w:hAnsi="Arial" w:cs="Arial"/>
          <w:sz w:val="22"/>
          <w:szCs w:val="22"/>
          <w:highlight w:val="yellow"/>
          <w:lang w:val="en-GB"/>
        </w:rPr>
        <w:t xml:space="preserve">In 2009 the first regional comparative survey of insolvency systems in the Middle East and North Africa was launched. The survey was based on the world bank's principles for effective insolvency and creditor rights systems which was used as an indicator for best practises. </w:t>
      </w:r>
    </w:p>
    <w:p w14:paraId="0F2678F4" w14:textId="77777777" w:rsidR="00215F4C" w:rsidRPr="006A0B1E" w:rsidRDefault="00215F4C" w:rsidP="00215F4C">
      <w:pPr>
        <w:ind w:left="142" w:hanging="11"/>
        <w:rPr>
          <w:rFonts w:ascii="Arial" w:hAnsi="Arial" w:cs="Arial"/>
          <w:sz w:val="22"/>
          <w:szCs w:val="22"/>
          <w:highlight w:val="yellow"/>
          <w:lang w:val="en-GB"/>
        </w:rPr>
      </w:pPr>
    </w:p>
    <w:p w14:paraId="51FAD958" w14:textId="3ACF6387" w:rsidR="00215F4C" w:rsidRPr="006A0B1E" w:rsidRDefault="00215F4C" w:rsidP="00215F4C">
      <w:pPr>
        <w:rPr>
          <w:rFonts w:ascii="Arial" w:hAnsi="Arial" w:cs="Arial"/>
          <w:sz w:val="22"/>
          <w:szCs w:val="22"/>
          <w:highlight w:val="yellow"/>
          <w:lang w:val="en-GB"/>
        </w:rPr>
      </w:pPr>
      <w:r w:rsidRPr="006A0B1E">
        <w:rPr>
          <w:rFonts w:ascii="Arial" w:hAnsi="Arial" w:cs="Arial"/>
          <w:sz w:val="22"/>
          <w:szCs w:val="22"/>
          <w:highlight w:val="yellow"/>
          <w:lang w:val="en-GB"/>
        </w:rPr>
        <w:t>In 2016 and 2019 the UAE introduce the Federal Law by Decree 9 of 2016 on Bankruptcy as well as Federal Decree Law 19 of 2019 on Insolvency.</w:t>
      </w:r>
    </w:p>
    <w:p w14:paraId="1F70E15C" w14:textId="77777777" w:rsidR="00215F4C" w:rsidRPr="006A0B1E" w:rsidRDefault="00215F4C" w:rsidP="00215F4C">
      <w:pPr>
        <w:ind w:left="142" w:hanging="11"/>
        <w:rPr>
          <w:rFonts w:ascii="Arial" w:hAnsi="Arial" w:cs="Arial"/>
          <w:sz w:val="22"/>
          <w:szCs w:val="22"/>
          <w:highlight w:val="yellow"/>
          <w:lang w:val="en-GB"/>
        </w:rPr>
      </w:pPr>
    </w:p>
    <w:p w14:paraId="48823879" w14:textId="037BA145" w:rsidR="00215F4C" w:rsidRPr="006A0B1E" w:rsidRDefault="00215F4C" w:rsidP="00215F4C">
      <w:pPr>
        <w:rPr>
          <w:rFonts w:ascii="Arial" w:hAnsi="Arial" w:cs="Arial"/>
          <w:sz w:val="22"/>
          <w:szCs w:val="22"/>
          <w:highlight w:val="yellow"/>
          <w:lang w:val="en-GB"/>
        </w:rPr>
      </w:pPr>
      <w:r w:rsidRPr="006A0B1E">
        <w:rPr>
          <w:rFonts w:ascii="Arial" w:hAnsi="Arial" w:cs="Arial"/>
          <w:sz w:val="22"/>
          <w:szCs w:val="22"/>
          <w:highlight w:val="yellow"/>
          <w:lang w:val="en-GB"/>
        </w:rPr>
        <w:t>In 2019 Saudi Arabia approved a new bankruptcy law which published the kingdoms legal framework Containing regulations, preventative actions, measures for financial restructuring and settlement procedures. This law also made the process of unwinding insolvent companies much easier.</w:t>
      </w:r>
    </w:p>
    <w:p w14:paraId="46BD60AF" w14:textId="77777777" w:rsidR="00215F4C" w:rsidRPr="006A0B1E" w:rsidRDefault="00215F4C" w:rsidP="00215F4C">
      <w:pPr>
        <w:ind w:left="142" w:hanging="11"/>
        <w:rPr>
          <w:rFonts w:ascii="Arial" w:hAnsi="Arial" w:cs="Arial"/>
          <w:sz w:val="22"/>
          <w:szCs w:val="22"/>
          <w:highlight w:val="yellow"/>
          <w:lang w:val="en-GB"/>
        </w:rPr>
      </w:pPr>
    </w:p>
    <w:p w14:paraId="6A32F489" w14:textId="5B97F277" w:rsidR="00215F4C" w:rsidRPr="006A0B1E" w:rsidRDefault="00215F4C" w:rsidP="00215F4C">
      <w:pPr>
        <w:rPr>
          <w:rFonts w:ascii="Arial" w:hAnsi="Arial" w:cs="Arial"/>
          <w:sz w:val="22"/>
          <w:szCs w:val="22"/>
          <w:lang w:val="en-GB"/>
        </w:rPr>
      </w:pPr>
      <w:r w:rsidRPr="006A0B1E">
        <w:rPr>
          <w:rFonts w:ascii="Arial" w:hAnsi="Arial" w:cs="Arial"/>
          <w:sz w:val="22"/>
          <w:szCs w:val="22"/>
          <w:highlight w:val="yellow"/>
          <w:lang w:val="en-GB"/>
        </w:rPr>
        <w:t>Furthermore in 2019 the Dubai International Financial Centre introduced new insolvency law and regulations which included a new debtor bankruptcy regime which was brought in line with the best practice globally. The law also incorporates the UNCITRAL Model Law on Cross Border insolvency proceedings</w:t>
      </w: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3ABD4657" w14:textId="130FAE21" w:rsidR="00141965" w:rsidRPr="006A0B1E" w:rsidRDefault="00141965" w:rsidP="00141965">
      <w:pPr>
        <w:jc w:val="both"/>
        <w:rPr>
          <w:rFonts w:ascii="Arial" w:hAnsi="Arial" w:cs="Arial"/>
          <w:sz w:val="22"/>
          <w:szCs w:val="22"/>
          <w:highlight w:val="yellow"/>
          <w:lang w:val="en-GB"/>
        </w:rPr>
      </w:pPr>
      <w:r w:rsidRPr="006A0B1E">
        <w:rPr>
          <w:rFonts w:ascii="Arial" w:hAnsi="Arial" w:cs="Arial"/>
          <w:sz w:val="22"/>
          <w:szCs w:val="22"/>
          <w:highlight w:val="yellow"/>
          <w:lang w:val="en-GB"/>
        </w:rPr>
        <w:t xml:space="preserve">The objectives of insolvency for individuals and corporations are different and have different consequences. The objectives of insolvency for individuals </w:t>
      </w:r>
      <w:proofErr w:type="gramStart"/>
      <w:r w:rsidRPr="006A0B1E">
        <w:rPr>
          <w:rFonts w:ascii="Arial" w:hAnsi="Arial" w:cs="Arial"/>
          <w:sz w:val="22"/>
          <w:szCs w:val="22"/>
          <w:highlight w:val="yellow"/>
          <w:lang w:val="en-GB"/>
        </w:rPr>
        <w:t>is</w:t>
      </w:r>
      <w:proofErr w:type="gramEnd"/>
      <w:r w:rsidRPr="006A0B1E">
        <w:rPr>
          <w:rFonts w:ascii="Arial" w:hAnsi="Arial" w:cs="Arial"/>
          <w:sz w:val="22"/>
          <w:szCs w:val="22"/>
          <w:highlight w:val="yellow"/>
          <w:lang w:val="en-GB"/>
        </w:rPr>
        <w:t xml:space="preserve"> to reduce the indebtedness of the insolvent/debtor whilst at the same time protecting the insolvent/ debtor from being pressurised and bombarded by its creditors for repayment. It also allows a debtor to begin a new start in terms of being debt free, after imposing conditions on the debtor </w:t>
      </w:r>
      <w:proofErr w:type="gramStart"/>
      <w:r w:rsidRPr="006A0B1E">
        <w:rPr>
          <w:rFonts w:ascii="Arial" w:hAnsi="Arial" w:cs="Arial"/>
          <w:sz w:val="22"/>
          <w:szCs w:val="22"/>
          <w:highlight w:val="yellow"/>
          <w:lang w:val="en-GB"/>
        </w:rPr>
        <w:t>in order to</w:t>
      </w:r>
      <w:proofErr w:type="gramEnd"/>
      <w:r w:rsidRPr="006A0B1E">
        <w:rPr>
          <w:rFonts w:ascii="Arial" w:hAnsi="Arial" w:cs="Arial"/>
          <w:sz w:val="22"/>
          <w:szCs w:val="22"/>
          <w:highlight w:val="yellow"/>
          <w:lang w:val="en-GB"/>
        </w:rPr>
        <w:t xml:space="preserve"> prevent a further declaration of insolvency. It furthermore allows for financial contributions to be made using past, present, and future income to the estate. The monetary contributions would differ from person to person dependent on their own personal circumstances at the time of insolvency. Furthermore, individual insolvents in certain circumstances </w:t>
      </w:r>
      <w:proofErr w:type="gramStart"/>
      <w:r w:rsidRPr="006A0B1E">
        <w:rPr>
          <w:rFonts w:ascii="Arial" w:hAnsi="Arial" w:cs="Arial"/>
          <w:sz w:val="22"/>
          <w:szCs w:val="22"/>
          <w:highlight w:val="yellow"/>
          <w:lang w:val="en-GB"/>
        </w:rPr>
        <w:t>are able to</w:t>
      </w:r>
      <w:proofErr w:type="gramEnd"/>
      <w:r w:rsidRPr="006A0B1E">
        <w:rPr>
          <w:rFonts w:ascii="Arial" w:hAnsi="Arial" w:cs="Arial"/>
          <w:sz w:val="22"/>
          <w:szCs w:val="22"/>
          <w:highlight w:val="yellow"/>
          <w:lang w:val="en-GB"/>
        </w:rPr>
        <w:t xml:space="preserve"> retain some of his/her assets which will be required in order to maintain the insolvent and its dependants </w:t>
      </w:r>
      <w:proofErr w:type="spellStart"/>
      <w:r w:rsidRPr="006A0B1E">
        <w:rPr>
          <w:rFonts w:ascii="Arial" w:hAnsi="Arial" w:cs="Arial"/>
          <w:sz w:val="22"/>
          <w:szCs w:val="22"/>
          <w:highlight w:val="yellow"/>
          <w:lang w:val="en-GB"/>
        </w:rPr>
        <w:t>ie</w:t>
      </w:r>
      <w:proofErr w:type="spellEnd"/>
      <w:r w:rsidRPr="006A0B1E">
        <w:rPr>
          <w:rFonts w:ascii="Arial" w:hAnsi="Arial" w:cs="Arial"/>
          <w:sz w:val="22"/>
          <w:szCs w:val="22"/>
          <w:highlight w:val="yellow"/>
          <w:lang w:val="en-GB"/>
        </w:rPr>
        <w:t xml:space="preserve">: family home. </w:t>
      </w:r>
    </w:p>
    <w:p w14:paraId="0A40472F" w14:textId="77777777" w:rsidR="00141965" w:rsidRPr="006A0B1E" w:rsidRDefault="00141965" w:rsidP="00141965">
      <w:pPr>
        <w:jc w:val="both"/>
        <w:rPr>
          <w:rFonts w:ascii="Arial" w:hAnsi="Arial" w:cs="Arial"/>
          <w:sz w:val="22"/>
          <w:szCs w:val="22"/>
          <w:highlight w:val="yellow"/>
          <w:lang w:val="en-GB"/>
        </w:rPr>
      </w:pPr>
    </w:p>
    <w:p w14:paraId="4024A332" w14:textId="2F48B334" w:rsidR="00544127" w:rsidRPr="006A0B1E" w:rsidRDefault="00141965" w:rsidP="00141965">
      <w:pPr>
        <w:jc w:val="both"/>
        <w:rPr>
          <w:rFonts w:ascii="Avenir Next" w:hAnsi="Avenir Next" w:cs="Arial"/>
          <w:sz w:val="22"/>
          <w:szCs w:val="22"/>
          <w:lang w:val="en-GB"/>
        </w:rPr>
      </w:pPr>
      <w:r w:rsidRPr="006A0B1E">
        <w:rPr>
          <w:rFonts w:ascii="Arial" w:hAnsi="Arial" w:cs="Arial"/>
          <w:sz w:val="22"/>
          <w:szCs w:val="22"/>
          <w:highlight w:val="yellow"/>
          <w:lang w:val="en-GB"/>
        </w:rPr>
        <w:t xml:space="preserve">The objectives of insolvency for corporations differ in the sense that if there is a possibility to save certain aspects of a business or to preserve a business, this can be done. Preservation of a business or parts of a business may be necessary in an instance where a person or persons have misappropriated or contributed to the company's demise in the personal capacity by abusing their powers for personal gain which in turn leads to the winding up of a company. The winding up of corporations differs from individual insolvency in that the company is not allowed to retain some of its assets unless </w:t>
      </w:r>
      <w:proofErr w:type="gramStart"/>
      <w:r w:rsidRPr="006A0B1E">
        <w:rPr>
          <w:rFonts w:ascii="Arial" w:hAnsi="Arial" w:cs="Arial"/>
          <w:sz w:val="22"/>
          <w:szCs w:val="22"/>
          <w:highlight w:val="yellow"/>
          <w:lang w:val="en-GB"/>
        </w:rPr>
        <w:t>all of</w:t>
      </w:r>
      <w:proofErr w:type="gramEnd"/>
      <w:r w:rsidRPr="006A0B1E">
        <w:rPr>
          <w:rFonts w:ascii="Arial" w:hAnsi="Arial" w:cs="Arial"/>
          <w:sz w:val="22"/>
          <w:szCs w:val="22"/>
          <w:highlight w:val="yellow"/>
          <w:lang w:val="en-GB"/>
        </w:rPr>
        <w:t xml:space="preserve"> its debts have been satisfied and there is a surplus.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CFC549C" w14:textId="7AEFFB50" w:rsidR="00141965" w:rsidRPr="006A0B1E" w:rsidRDefault="00141965" w:rsidP="00141965">
      <w:pPr>
        <w:jc w:val="both"/>
        <w:rPr>
          <w:rFonts w:ascii="Arial" w:hAnsi="Arial" w:cs="Arial"/>
          <w:sz w:val="22"/>
          <w:szCs w:val="22"/>
          <w:highlight w:val="yellow"/>
          <w:lang w:val="en-GB"/>
        </w:rPr>
      </w:pPr>
      <w:r w:rsidRPr="006A0B1E">
        <w:rPr>
          <w:rFonts w:ascii="Arial" w:hAnsi="Arial" w:cs="Arial"/>
          <w:sz w:val="22"/>
          <w:szCs w:val="22"/>
          <w:highlight w:val="yellow"/>
          <w:lang w:val="en-GB"/>
        </w:rPr>
        <w:t xml:space="preserve">The first major difficulty that may be encountered when dealing with insolvency law in a cross-border context is that there is no global insolvency law system or designated international/ global insolvency court in which to adjudicate cross border insolvency cases. Furthermore, another difficulty faced is by finding a common proceeding in which to wind up the estate in a cross-border context and thereafter finding common ground as to the definitions and interpretations of insolvency as different jurisdictions have different definitions for what constitutes insolvency and therefore the ramifications may differ dependent on each jurisdiction’s definition of insolvency. international insolvency laws, conventions and regulations are also not very helpful as most do not even attempt to define the terms of insolvency which creates further confusion in a cross-border insolvency situation. Another difficulty encountered is that due to each jurisdiction adopting its own laws and guidelines as to the position of creditors, conflicts between laws of different jurisdictions are often experienced due to differing qualifications, </w:t>
      </w:r>
      <w:proofErr w:type="gramStart"/>
      <w:r w:rsidRPr="006A0B1E">
        <w:rPr>
          <w:rFonts w:ascii="Arial" w:hAnsi="Arial" w:cs="Arial"/>
          <w:sz w:val="22"/>
          <w:szCs w:val="22"/>
          <w:highlight w:val="yellow"/>
          <w:lang w:val="en-GB"/>
        </w:rPr>
        <w:t>presence</w:t>
      </w:r>
      <w:proofErr w:type="gramEnd"/>
      <w:r w:rsidRPr="006A0B1E">
        <w:rPr>
          <w:rFonts w:ascii="Arial" w:hAnsi="Arial" w:cs="Arial"/>
          <w:sz w:val="22"/>
          <w:szCs w:val="22"/>
          <w:highlight w:val="yellow"/>
          <w:lang w:val="en-GB"/>
        </w:rPr>
        <w:t xml:space="preserve"> and the protection of security available    to creditors in terms of their own legal insolvency system. JL Westbrook has however identified nine issues which needs to be considered in cross border cases. the issues are:</w:t>
      </w:r>
    </w:p>
    <w:p w14:paraId="7746E240" w14:textId="77777777" w:rsidR="00141965" w:rsidRPr="006A0B1E" w:rsidRDefault="00141965" w:rsidP="00141965">
      <w:pPr>
        <w:jc w:val="both"/>
        <w:rPr>
          <w:rFonts w:ascii="Arial" w:hAnsi="Arial" w:cs="Arial"/>
          <w:sz w:val="22"/>
          <w:szCs w:val="22"/>
          <w:highlight w:val="yellow"/>
          <w:lang w:val="en-GB"/>
        </w:rPr>
      </w:pPr>
    </w:p>
    <w:p w14:paraId="62F726A6" w14:textId="7DFC01D0" w:rsidR="00141965" w:rsidRPr="006A0B1E" w:rsidRDefault="006A0B1E" w:rsidP="00141965">
      <w:pPr>
        <w:jc w:val="both"/>
        <w:rPr>
          <w:rFonts w:ascii="Arial" w:hAnsi="Arial" w:cs="Arial"/>
          <w:sz w:val="22"/>
          <w:szCs w:val="22"/>
          <w:highlight w:val="yellow"/>
          <w:lang w:val="en-ZA"/>
        </w:rPr>
      </w:pPr>
      <w:r>
        <w:rPr>
          <w:rFonts w:ascii="Arial" w:hAnsi="Arial" w:cs="Arial"/>
          <w:sz w:val="22"/>
          <w:szCs w:val="22"/>
          <w:highlight w:val="yellow"/>
          <w:lang w:val="en-ZA"/>
        </w:rPr>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 xml:space="preserve">standing for (recognition of) the foreign </w:t>
      </w:r>
      <w:proofErr w:type="gramStart"/>
      <w:r w:rsidR="00141965" w:rsidRPr="006A0B1E">
        <w:rPr>
          <w:rFonts w:ascii="Arial" w:hAnsi="Arial" w:cs="Arial"/>
          <w:sz w:val="22"/>
          <w:szCs w:val="22"/>
          <w:highlight w:val="yellow"/>
          <w:lang w:val="en-ZA"/>
        </w:rPr>
        <w:t>representative;</w:t>
      </w:r>
      <w:proofErr w:type="gramEnd"/>
    </w:p>
    <w:p w14:paraId="3E929CD3" w14:textId="024EF242" w:rsidR="00141965" w:rsidRPr="006A0B1E" w:rsidRDefault="006A0B1E" w:rsidP="00141965">
      <w:pPr>
        <w:jc w:val="both"/>
        <w:rPr>
          <w:rFonts w:ascii="Arial" w:hAnsi="Arial" w:cs="Arial"/>
          <w:sz w:val="22"/>
          <w:szCs w:val="22"/>
          <w:highlight w:val="yellow"/>
          <w:lang w:val="en-ZA"/>
        </w:rPr>
      </w:pPr>
      <w:r>
        <w:rPr>
          <w:rFonts w:ascii="Arial" w:hAnsi="Arial" w:cs="Arial"/>
          <w:sz w:val="22"/>
          <w:szCs w:val="22"/>
          <w:highlight w:val="yellow"/>
          <w:lang w:val="en-ZA"/>
        </w:rPr>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 xml:space="preserve">moratorium on creditor </w:t>
      </w:r>
      <w:proofErr w:type="gramStart"/>
      <w:r w:rsidR="00141965" w:rsidRPr="006A0B1E">
        <w:rPr>
          <w:rFonts w:ascii="Arial" w:hAnsi="Arial" w:cs="Arial"/>
          <w:sz w:val="22"/>
          <w:szCs w:val="22"/>
          <w:highlight w:val="yellow"/>
          <w:lang w:val="en-ZA"/>
        </w:rPr>
        <w:t>actions;</w:t>
      </w:r>
      <w:proofErr w:type="gramEnd"/>
    </w:p>
    <w:p w14:paraId="1997216C" w14:textId="4DB6D8AD" w:rsidR="00141965" w:rsidRPr="006A0B1E" w:rsidRDefault="006A0B1E" w:rsidP="00141965">
      <w:pPr>
        <w:jc w:val="both"/>
        <w:rPr>
          <w:rFonts w:ascii="Arial" w:hAnsi="Arial" w:cs="Arial"/>
          <w:sz w:val="22"/>
          <w:szCs w:val="22"/>
          <w:highlight w:val="yellow"/>
          <w:lang w:val="en-ZA"/>
        </w:rPr>
      </w:pPr>
      <w:r>
        <w:rPr>
          <w:rFonts w:ascii="Arial" w:hAnsi="Arial" w:cs="Arial"/>
          <w:sz w:val="22"/>
          <w:szCs w:val="22"/>
          <w:highlight w:val="yellow"/>
          <w:lang w:val="en-ZA"/>
        </w:rPr>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 xml:space="preserve">creditor </w:t>
      </w:r>
      <w:proofErr w:type="gramStart"/>
      <w:r w:rsidR="00141965" w:rsidRPr="006A0B1E">
        <w:rPr>
          <w:rFonts w:ascii="Arial" w:hAnsi="Arial" w:cs="Arial"/>
          <w:sz w:val="22"/>
          <w:szCs w:val="22"/>
          <w:highlight w:val="yellow"/>
          <w:lang w:val="en-ZA"/>
        </w:rPr>
        <w:t>participation;</w:t>
      </w:r>
      <w:proofErr w:type="gramEnd"/>
    </w:p>
    <w:p w14:paraId="55E9ECBF" w14:textId="29971255" w:rsidR="00141965" w:rsidRPr="006A0B1E" w:rsidRDefault="006A0B1E" w:rsidP="00141965">
      <w:pPr>
        <w:jc w:val="both"/>
        <w:rPr>
          <w:rFonts w:ascii="Arial" w:hAnsi="Arial" w:cs="Arial"/>
          <w:sz w:val="22"/>
          <w:szCs w:val="22"/>
          <w:highlight w:val="yellow"/>
          <w:lang w:val="en-ZA"/>
        </w:rPr>
      </w:pPr>
      <w:r>
        <w:rPr>
          <w:rFonts w:ascii="Arial" w:hAnsi="Arial" w:cs="Arial"/>
          <w:sz w:val="22"/>
          <w:szCs w:val="22"/>
          <w:highlight w:val="yellow"/>
          <w:lang w:val="en-ZA"/>
        </w:rPr>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 xml:space="preserve">executory </w:t>
      </w:r>
      <w:proofErr w:type="gramStart"/>
      <w:r w:rsidR="00141965" w:rsidRPr="006A0B1E">
        <w:rPr>
          <w:rFonts w:ascii="Arial" w:hAnsi="Arial" w:cs="Arial"/>
          <w:sz w:val="22"/>
          <w:szCs w:val="22"/>
          <w:highlight w:val="yellow"/>
          <w:lang w:val="en-ZA"/>
        </w:rPr>
        <w:t>contracts;</w:t>
      </w:r>
      <w:proofErr w:type="gramEnd"/>
    </w:p>
    <w:p w14:paraId="0A2C444A" w14:textId="45257A7A" w:rsidR="00141965" w:rsidRPr="006A0B1E" w:rsidRDefault="006A0B1E" w:rsidP="00141965">
      <w:pPr>
        <w:jc w:val="both"/>
        <w:rPr>
          <w:rFonts w:ascii="Arial" w:hAnsi="Arial" w:cs="Arial"/>
          <w:sz w:val="22"/>
          <w:szCs w:val="22"/>
          <w:highlight w:val="yellow"/>
          <w:lang w:val="en-ZA"/>
        </w:rPr>
      </w:pPr>
      <w:r>
        <w:rPr>
          <w:rFonts w:ascii="Arial" w:hAnsi="Arial" w:cs="Arial"/>
          <w:sz w:val="22"/>
          <w:szCs w:val="22"/>
          <w:highlight w:val="yellow"/>
          <w:lang w:val="en-ZA"/>
        </w:rPr>
        <w:lastRenderedPageBreak/>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 xml:space="preserve">co-ordinated claims </w:t>
      </w:r>
      <w:proofErr w:type="gramStart"/>
      <w:r w:rsidR="00141965" w:rsidRPr="006A0B1E">
        <w:rPr>
          <w:rFonts w:ascii="Arial" w:hAnsi="Arial" w:cs="Arial"/>
          <w:sz w:val="22"/>
          <w:szCs w:val="22"/>
          <w:highlight w:val="yellow"/>
          <w:lang w:val="en-ZA"/>
        </w:rPr>
        <w:t>procedures;</w:t>
      </w:r>
      <w:proofErr w:type="gramEnd"/>
    </w:p>
    <w:p w14:paraId="5F4489BF" w14:textId="6966A9E6" w:rsidR="00141965" w:rsidRPr="006A0B1E" w:rsidRDefault="006A0B1E" w:rsidP="00141965">
      <w:pPr>
        <w:jc w:val="both"/>
        <w:rPr>
          <w:rFonts w:ascii="Arial" w:hAnsi="Arial" w:cs="Arial"/>
          <w:sz w:val="22"/>
          <w:szCs w:val="22"/>
          <w:highlight w:val="yellow"/>
          <w:lang w:val="en-ZA"/>
        </w:rPr>
      </w:pPr>
      <w:r>
        <w:rPr>
          <w:rFonts w:ascii="Arial" w:hAnsi="Arial" w:cs="Arial"/>
          <w:sz w:val="22"/>
          <w:szCs w:val="22"/>
          <w:highlight w:val="yellow"/>
          <w:lang w:val="en-ZA"/>
        </w:rPr>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 xml:space="preserve">priorities and </w:t>
      </w:r>
      <w:proofErr w:type="gramStart"/>
      <w:r w:rsidR="00141965" w:rsidRPr="006A0B1E">
        <w:rPr>
          <w:rFonts w:ascii="Arial" w:hAnsi="Arial" w:cs="Arial"/>
          <w:sz w:val="22"/>
          <w:szCs w:val="22"/>
          <w:highlight w:val="yellow"/>
          <w:lang w:val="en-ZA"/>
        </w:rPr>
        <w:t>preferences;</w:t>
      </w:r>
      <w:proofErr w:type="gramEnd"/>
    </w:p>
    <w:p w14:paraId="63654D6F" w14:textId="42AC8401" w:rsidR="00141965" w:rsidRPr="006A0B1E" w:rsidRDefault="006A0B1E" w:rsidP="00141965">
      <w:pPr>
        <w:jc w:val="both"/>
        <w:rPr>
          <w:rFonts w:ascii="Arial" w:hAnsi="Arial" w:cs="Arial"/>
          <w:sz w:val="22"/>
          <w:szCs w:val="22"/>
          <w:highlight w:val="yellow"/>
          <w:lang w:val="en-ZA"/>
        </w:rPr>
      </w:pPr>
      <w:r>
        <w:rPr>
          <w:rFonts w:ascii="Arial" w:hAnsi="Arial" w:cs="Arial"/>
          <w:sz w:val="22"/>
          <w:szCs w:val="22"/>
          <w:highlight w:val="yellow"/>
          <w:lang w:val="en-ZA"/>
        </w:rPr>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 xml:space="preserve">avoidance provision </w:t>
      </w:r>
      <w:proofErr w:type="gramStart"/>
      <w:r w:rsidR="00141965" w:rsidRPr="006A0B1E">
        <w:rPr>
          <w:rFonts w:ascii="Arial" w:hAnsi="Arial" w:cs="Arial"/>
          <w:sz w:val="22"/>
          <w:szCs w:val="22"/>
          <w:highlight w:val="yellow"/>
          <w:lang w:val="en-ZA"/>
        </w:rPr>
        <w:t>powers;</w:t>
      </w:r>
      <w:proofErr w:type="gramEnd"/>
    </w:p>
    <w:p w14:paraId="40588E7D" w14:textId="7283A3AE" w:rsidR="00141965" w:rsidRPr="006A0B1E" w:rsidRDefault="006A0B1E" w:rsidP="00141965">
      <w:pPr>
        <w:jc w:val="both"/>
        <w:rPr>
          <w:rFonts w:ascii="Arial" w:hAnsi="Arial" w:cs="Arial"/>
          <w:sz w:val="22"/>
          <w:szCs w:val="22"/>
          <w:highlight w:val="yellow"/>
          <w:lang w:val="en-ZA"/>
        </w:rPr>
      </w:pPr>
      <w:r>
        <w:rPr>
          <w:rFonts w:ascii="Arial" w:hAnsi="Arial" w:cs="Arial"/>
          <w:sz w:val="22"/>
          <w:szCs w:val="22"/>
          <w:highlight w:val="yellow"/>
          <w:lang w:val="en-ZA"/>
        </w:rPr>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discharges; and</w:t>
      </w:r>
    </w:p>
    <w:p w14:paraId="205F3238" w14:textId="45EEF313" w:rsidR="00141965" w:rsidRPr="006A0B1E" w:rsidRDefault="006A0B1E" w:rsidP="00141965">
      <w:pPr>
        <w:jc w:val="both"/>
        <w:rPr>
          <w:rFonts w:ascii="Arial" w:hAnsi="Arial" w:cs="Arial"/>
          <w:sz w:val="22"/>
          <w:szCs w:val="22"/>
          <w:lang w:val="en-GB"/>
        </w:rPr>
      </w:pPr>
      <w:r>
        <w:rPr>
          <w:rFonts w:ascii="Arial" w:hAnsi="Arial" w:cs="Arial"/>
          <w:sz w:val="22"/>
          <w:szCs w:val="22"/>
          <w:highlight w:val="yellow"/>
          <w:lang w:val="en-ZA"/>
        </w:rPr>
        <w:t>-</w:t>
      </w:r>
      <w:r>
        <w:rPr>
          <w:rFonts w:ascii="Arial" w:hAnsi="Arial" w:cs="Arial"/>
          <w:sz w:val="22"/>
          <w:szCs w:val="22"/>
          <w:highlight w:val="yellow"/>
          <w:lang w:val="en-ZA"/>
        </w:rPr>
        <w:tab/>
      </w:r>
      <w:r w:rsidR="00141965" w:rsidRPr="006A0B1E">
        <w:rPr>
          <w:rFonts w:ascii="Arial" w:hAnsi="Arial" w:cs="Arial"/>
          <w:sz w:val="22"/>
          <w:szCs w:val="22"/>
          <w:highlight w:val="yellow"/>
          <w:lang w:val="en-ZA"/>
        </w:rPr>
        <w:t>conflict-of-law issue</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77B924B5" w14:textId="1D509365" w:rsidR="00141965" w:rsidRPr="006A0B1E" w:rsidRDefault="00141965" w:rsidP="00C053F7">
      <w:pPr>
        <w:ind w:left="720" w:hanging="720"/>
        <w:jc w:val="both"/>
        <w:rPr>
          <w:rFonts w:ascii="Arial" w:hAnsi="Arial" w:cs="Arial"/>
          <w:sz w:val="22"/>
          <w:szCs w:val="22"/>
          <w:highlight w:val="yellow"/>
          <w:lang w:val="en-GB"/>
        </w:rPr>
      </w:pPr>
      <w:r w:rsidRPr="006A0B1E">
        <w:rPr>
          <w:rFonts w:ascii="Arial" w:hAnsi="Arial" w:cs="Arial"/>
          <w:sz w:val="22"/>
          <w:szCs w:val="22"/>
          <w:highlight w:val="yellow"/>
          <w:lang w:val="en-GB"/>
        </w:rPr>
        <w:t>The first steps taken in the 21st century to promote harmonisation of domestic insolvency</w:t>
      </w:r>
    </w:p>
    <w:p w14:paraId="4AE7EA78" w14:textId="37334BC7" w:rsidR="007D7C92" w:rsidRPr="006A0B1E" w:rsidRDefault="00141965" w:rsidP="00141965">
      <w:pPr>
        <w:jc w:val="both"/>
        <w:rPr>
          <w:rFonts w:ascii="Avenir Next" w:hAnsi="Avenir Next" w:cs="Arial"/>
          <w:sz w:val="22"/>
          <w:szCs w:val="22"/>
          <w:lang w:val="en-GB"/>
        </w:rPr>
      </w:pPr>
      <w:r w:rsidRPr="006A0B1E">
        <w:rPr>
          <w:rFonts w:ascii="Arial" w:hAnsi="Arial" w:cs="Arial"/>
          <w:sz w:val="22"/>
          <w:szCs w:val="22"/>
          <w:highlight w:val="yellow"/>
          <w:lang w:val="en-GB"/>
        </w:rPr>
        <w:t xml:space="preserve">laws come from the UNCITRAL legislative Guide on Insolvency Law. This guideline was intended to be the reference point for different jurisdictions in compiling their own laws and regulations or to review their current laws and regulations to bring it up to international standards. In 2011, the World Bank also published guidelines on the regulation of insolvency law entitled Principles </w:t>
      </w:r>
      <w:r w:rsidR="006A0B1E" w:rsidRPr="006A0B1E">
        <w:rPr>
          <w:rFonts w:ascii="Arial" w:hAnsi="Arial" w:cs="Arial"/>
          <w:sz w:val="22"/>
          <w:szCs w:val="22"/>
          <w:highlight w:val="yellow"/>
          <w:lang w:val="en-GB"/>
        </w:rPr>
        <w:t>for</w:t>
      </w:r>
      <w:r w:rsidRPr="006A0B1E">
        <w:rPr>
          <w:rFonts w:ascii="Arial" w:hAnsi="Arial" w:cs="Arial"/>
          <w:sz w:val="22"/>
          <w:szCs w:val="22"/>
          <w:highlight w:val="yellow"/>
          <w:lang w:val="en-GB"/>
        </w:rPr>
        <w:t xml:space="preserve"> Infective Insolvency </w:t>
      </w:r>
      <w:proofErr w:type="gramStart"/>
      <w:r w:rsidRPr="006A0B1E">
        <w:rPr>
          <w:rFonts w:ascii="Arial" w:hAnsi="Arial" w:cs="Arial"/>
          <w:sz w:val="22"/>
          <w:szCs w:val="22"/>
          <w:highlight w:val="yellow"/>
          <w:lang w:val="en-GB"/>
        </w:rPr>
        <w:t>And</w:t>
      </w:r>
      <w:proofErr w:type="gramEnd"/>
      <w:r w:rsidRPr="006A0B1E">
        <w:rPr>
          <w:rFonts w:ascii="Arial" w:hAnsi="Arial" w:cs="Arial"/>
          <w:sz w:val="22"/>
          <w:szCs w:val="22"/>
          <w:highlight w:val="yellow"/>
          <w:lang w:val="en-GB"/>
        </w:rPr>
        <w:t xml:space="preserve"> Creditor Right Systems.  These guidelines outlined various overarching principles and factors that must be considered </w:t>
      </w:r>
      <w:proofErr w:type="gramStart"/>
      <w:r w:rsidRPr="006A0B1E">
        <w:rPr>
          <w:rFonts w:ascii="Arial" w:hAnsi="Arial" w:cs="Arial"/>
          <w:sz w:val="22"/>
          <w:szCs w:val="22"/>
          <w:highlight w:val="yellow"/>
          <w:lang w:val="en-GB"/>
        </w:rPr>
        <w:t>in order to</w:t>
      </w:r>
      <w:proofErr w:type="gramEnd"/>
      <w:r w:rsidRPr="006A0B1E">
        <w:rPr>
          <w:rFonts w:ascii="Arial" w:hAnsi="Arial" w:cs="Arial"/>
          <w:sz w:val="22"/>
          <w:szCs w:val="22"/>
          <w:highlight w:val="yellow"/>
          <w:lang w:val="en-GB"/>
        </w:rPr>
        <w:t xml:space="preserve"> achieve a successful cross border insolvency procedure. Furthermore in 2010 The European Union published a Policy document on citizens’ rights and constitutional affairs Relating to the harmonisation of insolvency law at EU Level.</w:t>
      </w:r>
      <w:r w:rsidRPr="006A0B1E">
        <w:rPr>
          <w:rStyle w:val="FootnoteReference"/>
          <w:rFonts w:ascii="Arial" w:hAnsi="Arial" w:cs="Arial"/>
          <w:sz w:val="22"/>
          <w:szCs w:val="22"/>
          <w:highlight w:val="yellow"/>
          <w:lang w:val="en-GB"/>
        </w:rPr>
        <w:footnoteReference w:id="1"/>
      </w:r>
      <w:r w:rsidRPr="006A0B1E">
        <w:rPr>
          <w:rFonts w:ascii="Arial" w:hAnsi="Arial" w:cs="Arial"/>
          <w:sz w:val="22"/>
          <w:szCs w:val="22"/>
          <w:highlight w:val="yellow"/>
          <w:lang w:val="en-GB"/>
        </w:rPr>
        <w:t xml:space="preserve"> This policy document was extremely important as it identifies and outlines </w:t>
      </w:r>
      <w:r w:rsidR="006A0B1E" w:rsidRPr="006A0B1E">
        <w:rPr>
          <w:rFonts w:ascii="Arial" w:hAnsi="Arial" w:cs="Arial"/>
          <w:sz w:val="22"/>
          <w:szCs w:val="22"/>
          <w:highlight w:val="yellow"/>
          <w:lang w:val="en-GB"/>
        </w:rPr>
        <w:t>the</w:t>
      </w:r>
      <w:r w:rsidRPr="006A0B1E">
        <w:rPr>
          <w:rFonts w:ascii="Arial" w:hAnsi="Arial" w:cs="Arial"/>
          <w:sz w:val="22"/>
          <w:szCs w:val="22"/>
          <w:highlight w:val="yellow"/>
          <w:lang w:val="en-GB"/>
        </w:rPr>
        <w:t xml:space="preserve"> differences between national insolvency laws and cross border activities. It Furthermore identifies various problems which may occur should there be no common principles and rules related to insolvency of corporate corporates and liability of shareholders. It Furthermore more importantly identifies areas of international insolvency law where harmonisation at EU level can be done it finally evaluates the extent to which harmonisation of insolvency law could further incorporate same into the company laws of the European Union countries. On 10 June 2020 </w:t>
      </w:r>
      <w:r w:rsidR="006A0B1E" w:rsidRPr="006A0B1E">
        <w:rPr>
          <w:rFonts w:ascii="Arial" w:hAnsi="Arial" w:cs="Arial"/>
          <w:sz w:val="22"/>
          <w:szCs w:val="22"/>
          <w:highlight w:val="yellow"/>
          <w:lang w:val="en-GB"/>
        </w:rPr>
        <w:t>the</w:t>
      </w:r>
      <w:r w:rsidRPr="006A0B1E">
        <w:rPr>
          <w:rFonts w:ascii="Arial" w:hAnsi="Arial" w:cs="Arial"/>
          <w:sz w:val="22"/>
          <w:szCs w:val="22"/>
          <w:highlight w:val="yellow"/>
          <w:lang w:val="en-GB"/>
        </w:rPr>
        <w:t xml:space="preserve"> European Commission published a report on the capital marks union titled </w:t>
      </w:r>
      <w:r w:rsidRPr="006A0B1E">
        <w:rPr>
          <w:rFonts w:ascii="Arial" w:hAnsi="Arial" w:cs="Arial"/>
          <w:sz w:val="22"/>
          <w:szCs w:val="22"/>
          <w:highlight w:val="yellow"/>
          <w:lang w:val="en-ZA"/>
        </w:rPr>
        <w:t>‘A new Vision for Europe’s capital markets’</w:t>
      </w:r>
      <w:r w:rsidRPr="006A0B1E">
        <w:rPr>
          <w:rStyle w:val="FootnoteReference"/>
          <w:rFonts w:ascii="Arial" w:hAnsi="Arial" w:cs="Arial"/>
          <w:sz w:val="22"/>
          <w:szCs w:val="22"/>
          <w:highlight w:val="yellow"/>
          <w:lang w:val="en-ZA"/>
        </w:rPr>
        <w:footnoteReference w:id="2"/>
      </w:r>
      <w:r w:rsidRPr="006A0B1E">
        <w:rPr>
          <w:rFonts w:ascii="Arial" w:hAnsi="Arial" w:cs="Arial"/>
          <w:sz w:val="22"/>
          <w:szCs w:val="22"/>
          <w:highlight w:val="yellow"/>
          <w:lang w:val="en-ZA"/>
        </w:rPr>
        <w:t xml:space="preserve">. </w:t>
      </w:r>
      <w:r w:rsidRPr="006A0B1E">
        <w:rPr>
          <w:rFonts w:ascii="Arial" w:hAnsi="Arial" w:cs="Arial"/>
          <w:sz w:val="22"/>
          <w:szCs w:val="22"/>
          <w:highlight w:val="yellow"/>
          <w:lang w:val="en-GB"/>
        </w:rPr>
        <w:t xml:space="preserve">In this report the Commission agreed that the converging of insolvency proceedings would give much clearer legal certainty for cross border investors and reduce the difficulties experienced when dealing with national laws in a cross-border insolvency context. The establishment of these guidelines, policy documents, and regulations Have a very positive impact on addressing cross border insolvency issues. Though these documents are only recommendations as to how cross border insolvency proceedings should be conducted It serves as an important basis </w:t>
      </w:r>
      <w:proofErr w:type="gramStart"/>
      <w:r w:rsidRPr="006A0B1E">
        <w:rPr>
          <w:rFonts w:ascii="Arial" w:hAnsi="Arial" w:cs="Arial"/>
          <w:sz w:val="22"/>
          <w:szCs w:val="22"/>
          <w:highlight w:val="yellow"/>
          <w:lang w:val="en-GB"/>
        </w:rPr>
        <w:t>an</w:t>
      </w:r>
      <w:proofErr w:type="gramEnd"/>
      <w:r w:rsidRPr="006A0B1E">
        <w:rPr>
          <w:rFonts w:ascii="Arial" w:hAnsi="Arial" w:cs="Arial"/>
          <w:sz w:val="22"/>
          <w:szCs w:val="22"/>
          <w:highlight w:val="yellow"/>
          <w:lang w:val="en-GB"/>
        </w:rPr>
        <w:t xml:space="preserve"> useful tools in the fight for a global insolvency document and a unified global cross border insolvency procedure.</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26863A75" w14:textId="3F5385E2" w:rsidR="00141965" w:rsidRPr="00295F32" w:rsidRDefault="00141965" w:rsidP="00141965">
      <w:pPr>
        <w:jc w:val="both"/>
        <w:rPr>
          <w:rFonts w:ascii="Arial" w:hAnsi="Arial" w:cs="Arial"/>
          <w:sz w:val="22"/>
          <w:szCs w:val="22"/>
          <w:highlight w:val="yellow"/>
          <w:lang w:val="en-GB"/>
        </w:rPr>
      </w:pPr>
      <w:proofErr w:type="gramStart"/>
      <w:r w:rsidRPr="00295F32">
        <w:rPr>
          <w:rFonts w:ascii="Arial" w:hAnsi="Arial" w:cs="Arial"/>
          <w:sz w:val="22"/>
          <w:szCs w:val="22"/>
          <w:highlight w:val="yellow"/>
          <w:lang w:val="en-GB"/>
        </w:rPr>
        <w:t>In order for</w:t>
      </w:r>
      <w:proofErr w:type="gramEnd"/>
      <w:r w:rsidRPr="00295F32">
        <w:rPr>
          <w:rFonts w:ascii="Arial" w:hAnsi="Arial" w:cs="Arial"/>
          <w:sz w:val="22"/>
          <w:szCs w:val="22"/>
          <w:highlight w:val="yellow"/>
          <w:lang w:val="en-GB"/>
        </w:rPr>
        <w:t xml:space="preserve"> the Erewhon liquidators to attempt to stop the matter proceeding in Utopia they would need to adopt the provisions listed in the UNCITRAL Model Law on Cross Border Insolvency which has been adopted by Utopia.</w:t>
      </w:r>
    </w:p>
    <w:p w14:paraId="067D685C" w14:textId="77777777" w:rsidR="00141965" w:rsidRPr="00295F32" w:rsidRDefault="00141965" w:rsidP="00141965">
      <w:pPr>
        <w:jc w:val="both"/>
        <w:rPr>
          <w:rFonts w:ascii="Arial" w:hAnsi="Arial" w:cs="Arial"/>
          <w:sz w:val="22"/>
          <w:szCs w:val="22"/>
          <w:highlight w:val="yellow"/>
          <w:lang w:val="en-GB"/>
        </w:rPr>
      </w:pPr>
    </w:p>
    <w:p w14:paraId="14193A56" w14:textId="50117B8C" w:rsidR="00141965" w:rsidRPr="00295F32" w:rsidRDefault="00141965" w:rsidP="00141965">
      <w:pPr>
        <w:jc w:val="both"/>
        <w:rPr>
          <w:rFonts w:ascii="Arial" w:hAnsi="Arial" w:cs="Arial"/>
          <w:sz w:val="22"/>
          <w:szCs w:val="22"/>
          <w:highlight w:val="yellow"/>
          <w:lang w:val="en-GB"/>
        </w:rPr>
      </w:pPr>
      <w:r w:rsidRPr="00295F32">
        <w:rPr>
          <w:rFonts w:ascii="Arial" w:hAnsi="Arial" w:cs="Arial"/>
          <w:sz w:val="22"/>
          <w:szCs w:val="22"/>
          <w:highlight w:val="yellow"/>
          <w:lang w:val="en-GB"/>
        </w:rPr>
        <w:t xml:space="preserve">In terms of Article 15 of the Model Law a foreign representative may apply to the court for recognition of the foreign proceeding in which the foreign representative has been appointed. This is extremely important as should the foreign proceeding be recognised, then in terms of </w:t>
      </w:r>
      <w:bookmarkStart w:id="1" w:name="_Hlk53582965"/>
      <w:r w:rsidRPr="00295F32">
        <w:rPr>
          <w:rFonts w:ascii="Arial" w:hAnsi="Arial" w:cs="Arial"/>
          <w:sz w:val="22"/>
          <w:szCs w:val="22"/>
          <w:highlight w:val="yellow"/>
          <w:lang w:val="en-GB"/>
        </w:rPr>
        <w:t xml:space="preserve">Article 20(1)(a) </w:t>
      </w:r>
      <w:bookmarkEnd w:id="1"/>
      <w:r w:rsidRPr="00295F32">
        <w:rPr>
          <w:rFonts w:ascii="Arial" w:hAnsi="Arial" w:cs="Arial"/>
          <w:sz w:val="22"/>
          <w:szCs w:val="22"/>
          <w:highlight w:val="yellow"/>
          <w:lang w:val="en-GB"/>
        </w:rPr>
        <w:t xml:space="preserve">Commencement or continuation of the action proceedings concerning the dentist liability is stayed. Furthermore, in terms of Article 20(1)(b) execution against the debtor’s assets is also stayed and as per Article 20(1)(c) transferring or otherwise disposing of any assets of the debtor is suspended. </w:t>
      </w:r>
    </w:p>
    <w:p w14:paraId="26DFAF77" w14:textId="77777777" w:rsidR="00141965" w:rsidRPr="00295F32" w:rsidRDefault="00141965" w:rsidP="00141965">
      <w:pPr>
        <w:jc w:val="both"/>
        <w:rPr>
          <w:rFonts w:ascii="Arial" w:hAnsi="Arial" w:cs="Arial"/>
          <w:sz w:val="22"/>
          <w:szCs w:val="22"/>
          <w:highlight w:val="yellow"/>
          <w:lang w:val="en-GB"/>
        </w:rPr>
      </w:pPr>
    </w:p>
    <w:p w14:paraId="6E5B20E0" w14:textId="079D2E41" w:rsidR="00141965" w:rsidRPr="00295F32" w:rsidRDefault="00141965" w:rsidP="00141965">
      <w:pPr>
        <w:jc w:val="both"/>
        <w:rPr>
          <w:rFonts w:ascii="Arial" w:hAnsi="Arial" w:cs="Arial"/>
          <w:sz w:val="22"/>
          <w:szCs w:val="22"/>
          <w:highlight w:val="yellow"/>
          <w:lang w:val="en-GB"/>
        </w:rPr>
      </w:pPr>
      <w:r w:rsidRPr="00295F32">
        <w:rPr>
          <w:rFonts w:ascii="Arial" w:hAnsi="Arial" w:cs="Arial"/>
          <w:sz w:val="22"/>
          <w:szCs w:val="22"/>
          <w:highlight w:val="yellow"/>
          <w:lang w:val="en-GB"/>
        </w:rPr>
        <w:t xml:space="preserve">In terms of article 21(2) the Erewhon Liquidator's may request that the Utopia court entrust the distribution of the </w:t>
      </w:r>
      <w:proofErr w:type="gramStart"/>
      <w:r w:rsidRPr="00295F32">
        <w:rPr>
          <w:rFonts w:ascii="Arial" w:hAnsi="Arial" w:cs="Arial"/>
          <w:sz w:val="22"/>
          <w:szCs w:val="22"/>
          <w:highlight w:val="yellow"/>
          <w:lang w:val="en-GB"/>
        </w:rPr>
        <w:t>debtors</w:t>
      </w:r>
      <w:proofErr w:type="gramEnd"/>
      <w:r w:rsidRPr="00295F32">
        <w:rPr>
          <w:rFonts w:ascii="Arial" w:hAnsi="Arial" w:cs="Arial"/>
          <w:sz w:val="22"/>
          <w:szCs w:val="22"/>
          <w:highlight w:val="yellow"/>
          <w:lang w:val="en-GB"/>
        </w:rPr>
        <w:t xml:space="preserve"> assets located in Utopia to the foreign liquidator. </w:t>
      </w:r>
    </w:p>
    <w:p w14:paraId="39091781" w14:textId="77777777" w:rsidR="00141965" w:rsidRPr="00295F32" w:rsidRDefault="00141965" w:rsidP="00141965">
      <w:pPr>
        <w:jc w:val="both"/>
        <w:rPr>
          <w:rFonts w:ascii="Arial" w:hAnsi="Arial" w:cs="Arial"/>
          <w:sz w:val="22"/>
          <w:szCs w:val="22"/>
          <w:highlight w:val="yellow"/>
          <w:lang w:val="en-GB"/>
        </w:rPr>
      </w:pPr>
    </w:p>
    <w:p w14:paraId="2CD77985" w14:textId="0243F6E3" w:rsidR="00141965" w:rsidRPr="00295F32" w:rsidRDefault="00141965" w:rsidP="00141965">
      <w:pPr>
        <w:jc w:val="both"/>
        <w:rPr>
          <w:rFonts w:ascii="Arial" w:hAnsi="Arial" w:cs="Arial"/>
          <w:color w:val="7B7B7B" w:themeColor="accent3" w:themeShade="BF"/>
          <w:sz w:val="22"/>
          <w:szCs w:val="22"/>
          <w:lang w:val="en-GB"/>
        </w:rPr>
      </w:pPr>
      <w:r w:rsidRPr="00295F32">
        <w:rPr>
          <w:rFonts w:ascii="Arial" w:hAnsi="Arial" w:cs="Arial"/>
          <w:sz w:val="22"/>
          <w:szCs w:val="22"/>
          <w:highlight w:val="yellow"/>
          <w:lang w:val="en-GB"/>
        </w:rPr>
        <w:t>The court in Utopia must co-operate with the liquidators of Erewhon to the maximum extent possible as stated in Article 25.</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2C8B36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r w:rsidR="00C63AE0">
        <w:rPr>
          <w:rFonts w:ascii="Avenir Next" w:hAnsi="Avenir Next" w:cs="Arial"/>
          <w:sz w:val="22"/>
          <w:szCs w:val="22"/>
          <w:lang w:val="en-GB"/>
        </w:rPr>
        <w:t xml:space="preserve"> </w:t>
      </w:r>
      <w:r w:rsidR="00C63AE0" w:rsidRPr="00C63AE0">
        <w:rPr>
          <w:rFonts w:ascii="Avenir Next" w:hAnsi="Avenir Next" w:cs="Arial"/>
          <w:i/>
          <w:iCs/>
          <w:sz w:val="22"/>
          <w:szCs w:val="22"/>
          <w:highlight w:val="yellow"/>
          <w:lang w:val="en-GB"/>
        </w:rPr>
        <w:t>= No</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3B487CCE"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r w:rsidR="00C63AE0" w:rsidRPr="00C63AE0">
        <w:rPr>
          <w:rFonts w:ascii="Avenir Next" w:hAnsi="Avenir Next" w:cs="Arial"/>
          <w:sz w:val="22"/>
          <w:szCs w:val="22"/>
          <w:highlight w:val="yellow"/>
          <w:lang w:val="en-GB"/>
        </w:rPr>
        <w:t>= Yes</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66E8C832" w:rsidR="002D3473" w:rsidRDefault="002D3473" w:rsidP="00C053F7">
      <w:pPr>
        <w:autoSpaceDE w:val="0"/>
        <w:autoSpaceDN w:val="0"/>
        <w:adjustRightInd w:val="0"/>
        <w:spacing w:line="276" w:lineRule="auto"/>
        <w:jc w:val="both"/>
        <w:rPr>
          <w:rFonts w:ascii="Avenir Next" w:hAnsi="Avenir Next" w:cs="Arial"/>
          <w:sz w:val="22"/>
          <w:szCs w:val="22"/>
          <w:lang w:val="en-GB"/>
        </w:rPr>
      </w:pPr>
    </w:p>
    <w:p w14:paraId="0B550C72" w14:textId="58CB2291" w:rsidR="00C63AE0" w:rsidRDefault="00C63AE0" w:rsidP="00C053F7">
      <w:pPr>
        <w:autoSpaceDE w:val="0"/>
        <w:autoSpaceDN w:val="0"/>
        <w:adjustRightInd w:val="0"/>
        <w:spacing w:line="276" w:lineRule="auto"/>
        <w:jc w:val="both"/>
        <w:rPr>
          <w:rFonts w:ascii="Avenir Next" w:hAnsi="Avenir Next" w:cs="Arial"/>
          <w:sz w:val="22"/>
          <w:szCs w:val="22"/>
          <w:lang w:val="en-GB"/>
        </w:rPr>
      </w:pPr>
    </w:p>
    <w:p w14:paraId="03F9F483" w14:textId="27260548" w:rsidR="00C63AE0" w:rsidRDefault="00C63AE0" w:rsidP="00C053F7">
      <w:pPr>
        <w:autoSpaceDE w:val="0"/>
        <w:autoSpaceDN w:val="0"/>
        <w:adjustRightInd w:val="0"/>
        <w:spacing w:line="276" w:lineRule="auto"/>
        <w:jc w:val="both"/>
        <w:rPr>
          <w:rFonts w:ascii="Avenir Next" w:hAnsi="Avenir Next" w:cs="Arial"/>
          <w:sz w:val="22"/>
          <w:szCs w:val="22"/>
          <w:lang w:val="en-GB"/>
        </w:rPr>
      </w:pPr>
    </w:p>
    <w:p w14:paraId="78A55DC4" w14:textId="7B0B1465" w:rsidR="00C63AE0" w:rsidRDefault="00C63AE0" w:rsidP="00C053F7">
      <w:pPr>
        <w:autoSpaceDE w:val="0"/>
        <w:autoSpaceDN w:val="0"/>
        <w:adjustRightInd w:val="0"/>
        <w:spacing w:line="276" w:lineRule="auto"/>
        <w:jc w:val="both"/>
        <w:rPr>
          <w:rFonts w:ascii="Avenir Next" w:hAnsi="Avenir Next" w:cs="Arial"/>
          <w:sz w:val="22"/>
          <w:szCs w:val="22"/>
          <w:lang w:val="en-GB"/>
        </w:rPr>
      </w:pPr>
    </w:p>
    <w:p w14:paraId="731A71FB" w14:textId="77777777" w:rsidR="00C63AE0" w:rsidRPr="00827D56" w:rsidRDefault="00C63AE0"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58939DCC" w:rsidR="0077498C"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[Type your answer here]</w:t>
      </w:r>
    </w:p>
    <w:p w14:paraId="32197F71" w14:textId="173ACDD9" w:rsidR="00C63AE0" w:rsidRDefault="00C63AE0" w:rsidP="00C053F7">
      <w:pPr>
        <w:jc w:val="both"/>
        <w:rPr>
          <w:rFonts w:ascii="Avenir Next" w:hAnsi="Avenir Next" w:cs="Arial"/>
          <w:color w:val="7B7B7B" w:themeColor="accent3" w:themeShade="BF"/>
          <w:sz w:val="22"/>
          <w:szCs w:val="22"/>
          <w:lang w:val="en-GB"/>
        </w:rPr>
      </w:pPr>
    </w:p>
    <w:p w14:paraId="45F7AF5C" w14:textId="4A0F38BC" w:rsidR="00C63AE0" w:rsidRDefault="00C63AE0" w:rsidP="00C053F7">
      <w:pPr>
        <w:jc w:val="both"/>
        <w:rPr>
          <w:rFonts w:ascii="Avenir Next" w:hAnsi="Avenir Next" w:cs="Arial"/>
          <w:color w:val="7B7B7B" w:themeColor="accent3" w:themeShade="BF"/>
          <w:sz w:val="22"/>
          <w:szCs w:val="22"/>
          <w:lang w:val="en-GB"/>
        </w:rPr>
      </w:pPr>
    </w:p>
    <w:p w14:paraId="450055BE" w14:textId="77777777" w:rsidR="00C63AE0" w:rsidRPr="00827D56" w:rsidRDefault="00C63AE0"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C547" w14:textId="77777777" w:rsidR="00BC22BF" w:rsidRDefault="00BC22BF" w:rsidP="00241B44">
      <w:r>
        <w:separator/>
      </w:r>
    </w:p>
  </w:endnote>
  <w:endnote w:type="continuationSeparator" w:id="0">
    <w:p w14:paraId="15065D62" w14:textId="77777777" w:rsidR="00BC22BF" w:rsidRDefault="00BC22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2B5384B" w:rsidR="00AD6A7D" w:rsidRPr="009634F4" w:rsidRDefault="00292CDE" w:rsidP="00AD6A7D">
    <w:pPr>
      <w:pStyle w:val="Footer"/>
      <w:ind w:right="360"/>
      <w:rPr>
        <w:rFonts w:ascii="Avenir Next" w:hAnsi="Avenir Next" w:cs="Arial"/>
        <w:sz w:val="22"/>
        <w:szCs w:val="22"/>
      </w:rPr>
    </w:pPr>
    <w:r>
      <w:rPr>
        <w:rFonts w:ascii="Avenir Next" w:hAnsi="Avenir Next" w:cs="Arial"/>
        <w:sz w:val="22"/>
        <w:szCs w:val="22"/>
      </w:rPr>
      <w:t>202223-912</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8753" w14:textId="77777777" w:rsidR="00BC22BF" w:rsidRDefault="00BC22BF" w:rsidP="00241B44">
      <w:r>
        <w:separator/>
      </w:r>
    </w:p>
  </w:footnote>
  <w:footnote w:type="continuationSeparator" w:id="0">
    <w:p w14:paraId="6D33D9FD" w14:textId="77777777" w:rsidR="00BC22BF" w:rsidRDefault="00BC22BF" w:rsidP="00241B44">
      <w:r>
        <w:continuationSeparator/>
      </w:r>
    </w:p>
  </w:footnote>
  <w:footnote w:id="1">
    <w:p w14:paraId="2EF53748" w14:textId="77777777" w:rsidR="00141965" w:rsidRPr="00797664" w:rsidRDefault="00141965" w:rsidP="00141965">
      <w:pPr>
        <w:pStyle w:val="FootnoteText"/>
        <w:rPr>
          <w:lang w:val="en-ZA"/>
        </w:rPr>
      </w:pPr>
      <w:r>
        <w:rPr>
          <w:rStyle w:val="FootnoteReference"/>
        </w:rPr>
        <w:footnoteRef/>
      </w:r>
      <w:r>
        <w:t xml:space="preserve"> </w:t>
      </w:r>
      <w:hyperlink r:id="rId1" w:history="1">
        <w:r w:rsidRPr="0031191F">
          <w:rPr>
            <w:rStyle w:val="Hyperlink"/>
          </w:rPr>
          <w:t>https://www.eesc.europa.eu/sites/default/files/resources/docs/ipol-juri_nt2010419633_en.pdf</w:t>
        </w:r>
      </w:hyperlink>
      <w:r>
        <w:t xml:space="preserve"> </w:t>
      </w:r>
    </w:p>
  </w:footnote>
  <w:footnote w:id="2">
    <w:p w14:paraId="10568FDD" w14:textId="77777777" w:rsidR="00141965" w:rsidRPr="00797664" w:rsidRDefault="00141965" w:rsidP="00141965">
      <w:pPr>
        <w:pStyle w:val="FootnoteText"/>
        <w:rPr>
          <w:lang w:val="en-ZA"/>
        </w:rPr>
      </w:pPr>
      <w:r>
        <w:rPr>
          <w:rStyle w:val="FootnoteReference"/>
        </w:rPr>
        <w:footnoteRef/>
      </w:r>
      <w:r>
        <w:t xml:space="preserve"> </w:t>
      </w:r>
      <w:hyperlink r:id="rId2" w:history="1">
        <w:r w:rsidRPr="0031191F">
          <w:rPr>
            <w:rStyle w:val="Hyperlink"/>
          </w:rPr>
          <w:t>https://ec.europa.eu/info/news/cmu-high-level-forum-final-report_en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7501883">
    <w:abstractNumId w:val="17"/>
  </w:num>
  <w:num w:numId="2" w16cid:durableId="2114474120">
    <w:abstractNumId w:val="19"/>
  </w:num>
  <w:num w:numId="3" w16cid:durableId="449474993">
    <w:abstractNumId w:val="5"/>
  </w:num>
  <w:num w:numId="4" w16cid:durableId="822700076">
    <w:abstractNumId w:val="2"/>
  </w:num>
  <w:num w:numId="5" w16cid:durableId="765148998">
    <w:abstractNumId w:val="8"/>
  </w:num>
  <w:num w:numId="6" w16cid:durableId="1289240955">
    <w:abstractNumId w:val="14"/>
  </w:num>
  <w:num w:numId="7" w16cid:durableId="1495678274">
    <w:abstractNumId w:val="20"/>
  </w:num>
  <w:num w:numId="8" w16cid:durableId="611934250">
    <w:abstractNumId w:val="13"/>
  </w:num>
  <w:num w:numId="9" w16cid:durableId="1307589874">
    <w:abstractNumId w:val="4"/>
  </w:num>
  <w:num w:numId="10" w16cid:durableId="2108260198">
    <w:abstractNumId w:val="7"/>
  </w:num>
  <w:num w:numId="11" w16cid:durableId="571159231">
    <w:abstractNumId w:val="6"/>
  </w:num>
  <w:num w:numId="12" w16cid:durableId="374738441">
    <w:abstractNumId w:val="3"/>
  </w:num>
  <w:num w:numId="13" w16cid:durableId="625046592">
    <w:abstractNumId w:val="11"/>
  </w:num>
  <w:num w:numId="14" w16cid:durableId="386297067">
    <w:abstractNumId w:val="0"/>
  </w:num>
  <w:num w:numId="15" w16cid:durableId="836728587">
    <w:abstractNumId w:val="1"/>
  </w:num>
  <w:num w:numId="16" w16cid:durableId="343434211">
    <w:abstractNumId w:val="12"/>
  </w:num>
  <w:num w:numId="17" w16cid:durableId="1367490998">
    <w:abstractNumId w:val="10"/>
  </w:num>
  <w:num w:numId="18" w16cid:durableId="2118061237">
    <w:abstractNumId w:val="18"/>
  </w:num>
  <w:num w:numId="19" w16cid:durableId="1065958093">
    <w:abstractNumId w:val="15"/>
  </w:num>
  <w:num w:numId="20" w16cid:durableId="2114745086">
    <w:abstractNumId w:val="21"/>
  </w:num>
  <w:num w:numId="21" w16cid:durableId="628556547">
    <w:abstractNumId w:val="16"/>
  </w:num>
  <w:num w:numId="22" w16cid:durableId="29722440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254B2"/>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1965"/>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15F4C"/>
    <w:rsid w:val="00241B44"/>
    <w:rsid w:val="00245EFB"/>
    <w:rsid w:val="0026515D"/>
    <w:rsid w:val="002668D3"/>
    <w:rsid w:val="0027299F"/>
    <w:rsid w:val="00284EBE"/>
    <w:rsid w:val="00286AE6"/>
    <w:rsid w:val="00292CDE"/>
    <w:rsid w:val="0029433F"/>
    <w:rsid w:val="00294829"/>
    <w:rsid w:val="00295F32"/>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36FC"/>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0B1E"/>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B17C2"/>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35A3B"/>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AF61B3"/>
    <w:rsid w:val="00B14819"/>
    <w:rsid w:val="00B17AA9"/>
    <w:rsid w:val="00B25CBF"/>
    <w:rsid w:val="00B72AE1"/>
    <w:rsid w:val="00B736DF"/>
    <w:rsid w:val="00B74FBD"/>
    <w:rsid w:val="00B82586"/>
    <w:rsid w:val="00B86DB1"/>
    <w:rsid w:val="00B87869"/>
    <w:rsid w:val="00BA6395"/>
    <w:rsid w:val="00BB0F2B"/>
    <w:rsid w:val="00BC22BF"/>
    <w:rsid w:val="00BF1C6F"/>
    <w:rsid w:val="00BF50F7"/>
    <w:rsid w:val="00C02F29"/>
    <w:rsid w:val="00C053F7"/>
    <w:rsid w:val="00C22A25"/>
    <w:rsid w:val="00C33C6C"/>
    <w:rsid w:val="00C35671"/>
    <w:rsid w:val="00C35B77"/>
    <w:rsid w:val="00C376EB"/>
    <w:rsid w:val="00C46EC1"/>
    <w:rsid w:val="00C53E2C"/>
    <w:rsid w:val="00C550C8"/>
    <w:rsid w:val="00C606C3"/>
    <w:rsid w:val="00C63AE0"/>
    <w:rsid w:val="00C72848"/>
    <w:rsid w:val="00C7736C"/>
    <w:rsid w:val="00C7770A"/>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B57F8"/>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news/cmu-high-level-forum-final-report_en" TargetMode="External"/><Relationship Id="rId1" Type="http://schemas.openxmlformats.org/officeDocument/2006/relationships/hyperlink" Target="https://www.eesc.europa.eu/sites/default/files/resources/docs/ipol-juri_nt201041963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Maryke Van Der Linde</cp:lastModifiedBy>
  <cp:revision>5</cp:revision>
  <cp:lastPrinted>2019-09-04T15:45:00Z</cp:lastPrinted>
  <dcterms:created xsi:type="dcterms:W3CDTF">2022-08-31T07:24:00Z</dcterms:created>
  <dcterms:modified xsi:type="dcterms:W3CDTF">2022-10-14T20:44:00Z</dcterms:modified>
</cp:coreProperties>
</file>