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42047" w:rsidRDefault="00B736DF" w:rsidP="009E1027">
      <w:pPr>
        <w:pStyle w:val="ListParagraph"/>
        <w:numPr>
          <w:ilvl w:val="0"/>
          <w:numId w:val="12"/>
        </w:numPr>
        <w:ind w:left="426"/>
        <w:jc w:val="both"/>
        <w:rPr>
          <w:rFonts w:ascii="Avenir Next" w:hAnsi="Avenir Next" w:cs="Arial"/>
          <w:sz w:val="22"/>
          <w:szCs w:val="22"/>
          <w:highlight w:val="yellow"/>
          <w:lang w:val="en-GB"/>
        </w:rPr>
      </w:pPr>
      <w:r w:rsidRPr="00042047">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042047" w:rsidRDefault="00161F1B" w:rsidP="009E1027">
      <w:pPr>
        <w:pStyle w:val="ListParagraph"/>
        <w:numPr>
          <w:ilvl w:val="0"/>
          <w:numId w:val="13"/>
        </w:numPr>
        <w:ind w:left="426"/>
        <w:jc w:val="both"/>
        <w:rPr>
          <w:rFonts w:ascii="Avenir Next" w:hAnsi="Avenir Next" w:cs="Arial"/>
          <w:sz w:val="22"/>
          <w:szCs w:val="22"/>
          <w:highlight w:val="yellow"/>
          <w:lang w:val="en-GB"/>
        </w:rPr>
      </w:pPr>
      <w:r w:rsidRPr="0004204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042047" w:rsidRDefault="009E2E27" w:rsidP="008031A7">
      <w:pPr>
        <w:pStyle w:val="ListParagraph"/>
        <w:numPr>
          <w:ilvl w:val="0"/>
          <w:numId w:val="14"/>
        </w:numPr>
        <w:ind w:left="426"/>
        <w:jc w:val="both"/>
        <w:rPr>
          <w:rFonts w:ascii="Avenir Next" w:hAnsi="Avenir Next" w:cs="Arial"/>
          <w:sz w:val="22"/>
          <w:szCs w:val="22"/>
          <w:highlight w:val="yellow"/>
          <w:lang w:val="en-GB"/>
        </w:rPr>
      </w:pPr>
      <w:r w:rsidRPr="0004204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42047" w:rsidRDefault="009E2E27" w:rsidP="008031A7">
      <w:pPr>
        <w:pStyle w:val="ListParagraph"/>
        <w:numPr>
          <w:ilvl w:val="0"/>
          <w:numId w:val="15"/>
        </w:numPr>
        <w:ind w:left="426"/>
        <w:jc w:val="both"/>
        <w:rPr>
          <w:rFonts w:ascii="Avenir Next" w:hAnsi="Avenir Next" w:cs="Arial"/>
          <w:sz w:val="22"/>
          <w:szCs w:val="22"/>
          <w:highlight w:val="yellow"/>
          <w:lang w:val="en-GB"/>
        </w:rPr>
      </w:pPr>
      <w:r w:rsidRPr="0004204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E4409F" w:rsidRDefault="00A235B7" w:rsidP="006D01C2">
      <w:pPr>
        <w:pStyle w:val="ListParagraph"/>
        <w:numPr>
          <w:ilvl w:val="0"/>
          <w:numId w:val="16"/>
        </w:numPr>
        <w:ind w:left="426"/>
        <w:jc w:val="both"/>
        <w:rPr>
          <w:rFonts w:ascii="Avenir Next" w:hAnsi="Avenir Next" w:cs="Arial"/>
          <w:sz w:val="22"/>
          <w:szCs w:val="22"/>
          <w:highlight w:val="yellow"/>
          <w:lang w:val="en-GB"/>
        </w:rPr>
      </w:pPr>
      <w:r w:rsidRPr="00E4409F">
        <w:rPr>
          <w:rFonts w:ascii="Avenir Next" w:hAnsi="Avenir Next" w:cs="Arial"/>
          <w:sz w:val="22"/>
          <w:szCs w:val="22"/>
          <w:highlight w:val="yellow"/>
          <w:lang w:val="en-GB"/>
        </w:rPr>
        <w:t>The statement</w:t>
      </w:r>
      <w:r w:rsidR="0037465A" w:rsidRPr="00E4409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6B6268"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6B6268">
        <w:rPr>
          <w:rFonts w:ascii="Avenir Next" w:eastAsiaTheme="minorHAnsi" w:hAnsi="Avenir Next" w:cs="Arial"/>
          <w:sz w:val="22"/>
          <w:szCs w:val="22"/>
          <w:highlight w:val="yellow"/>
          <w:lang w:val="en-GB"/>
        </w:rPr>
        <w:t>Private International Law</w:t>
      </w:r>
      <w:r w:rsidR="00991428" w:rsidRPr="006B6268">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6B6268" w:rsidRDefault="004D1A5A" w:rsidP="006D01C2">
      <w:pPr>
        <w:pStyle w:val="ListParagraph"/>
        <w:numPr>
          <w:ilvl w:val="0"/>
          <w:numId w:val="18"/>
        </w:numPr>
        <w:ind w:left="426"/>
        <w:jc w:val="both"/>
        <w:rPr>
          <w:rFonts w:ascii="Avenir Next" w:hAnsi="Avenir Next" w:cs="Arial"/>
          <w:sz w:val="22"/>
          <w:szCs w:val="22"/>
          <w:highlight w:val="yellow"/>
          <w:lang w:val="en-GB"/>
        </w:rPr>
      </w:pPr>
      <w:r w:rsidRPr="006B6268">
        <w:rPr>
          <w:rFonts w:ascii="Avenir Next" w:hAnsi="Avenir Next" w:cs="Arial"/>
          <w:sz w:val="22"/>
          <w:szCs w:val="22"/>
          <w:highlight w:val="yellow"/>
          <w:lang w:val="en-GB"/>
        </w:rPr>
        <w:t>UNCITRAL Model Law on Cross-border Insolvency (1997)</w:t>
      </w:r>
      <w:r w:rsidR="00912C79" w:rsidRPr="006B6268">
        <w:rPr>
          <w:rFonts w:ascii="Avenir Next" w:hAnsi="Avenir Next" w:cs="Arial"/>
          <w:sz w:val="22"/>
          <w:szCs w:val="22"/>
          <w:highlight w:val="yellow"/>
          <w:lang w:val="en-GB"/>
        </w:rPr>
        <w:t>.</w:t>
      </w:r>
      <w:r w:rsidRPr="006B626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7811C5"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7811C5">
        <w:rPr>
          <w:rFonts w:ascii="Avenir Next" w:hAnsi="Avenir Next" w:cs="Arial"/>
          <w:sz w:val="22"/>
          <w:szCs w:val="22"/>
          <w:highlight w:val="yellow"/>
          <w:lang w:val="en-GB"/>
        </w:rPr>
        <w:t>Havana Convention on Private International Law (1928)</w:t>
      </w:r>
      <w:r w:rsidRPr="007811C5">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9C1716" w:rsidRDefault="0082483F" w:rsidP="006D01C2">
      <w:pPr>
        <w:pStyle w:val="ListParagraph"/>
        <w:numPr>
          <w:ilvl w:val="0"/>
          <w:numId w:val="20"/>
        </w:numPr>
        <w:ind w:left="426"/>
        <w:jc w:val="both"/>
        <w:rPr>
          <w:rFonts w:ascii="Avenir Next" w:hAnsi="Avenir Next" w:cs="Arial"/>
          <w:sz w:val="22"/>
          <w:szCs w:val="22"/>
          <w:highlight w:val="yellow"/>
          <w:lang w:val="en-GB"/>
        </w:rPr>
      </w:pPr>
      <w:r w:rsidRPr="009C1716">
        <w:rPr>
          <w:rFonts w:ascii="Avenir Next" w:hAnsi="Avenir Next" w:cs="Arial"/>
          <w:sz w:val="22"/>
          <w:szCs w:val="22"/>
          <w:highlight w:val="yellow"/>
          <w:lang w:val="en-GB"/>
        </w:rPr>
        <w:t>A centralised insolvency register of insolvency proceedings opened in member states</w:t>
      </w:r>
      <w:r w:rsidR="003A2F8D" w:rsidRPr="009C1716">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4624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4624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A66D0EA" w:rsidR="009B07AD" w:rsidRPr="00827D56" w:rsidRDefault="00C46247"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International insolvency law is a situation where insolvency proceedings cut across more than one legal system, and the resolution of the proceedings cannot be reached without the consideration of foreign insolvency rules.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7AC0B675" w:rsidR="009B07AD" w:rsidRPr="00827D56" w:rsidRDefault="00C46247"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Universality is </w:t>
      </w:r>
      <w:r w:rsidR="00615F1D">
        <w:rPr>
          <w:rFonts w:ascii="Avenir Next" w:hAnsi="Avenir Next" w:cs="Arial"/>
          <w:color w:val="7B7B7B" w:themeColor="accent3" w:themeShade="BF"/>
          <w:sz w:val="22"/>
          <w:szCs w:val="22"/>
          <w:lang w:val="en-GB"/>
        </w:rPr>
        <w:t>sustained by the idea that there should be one single insolvency proceeding against the debtor that consolidates and adjudicates between the assets and liabilities of the debtor across all relevant jurisdictions</w:t>
      </w:r>
      <w:r>
        <w:rPr>
          <w:rFonts w:ascii="Avenir Next" w:hAnsi="Avenir Next" w:cs="Arial"/>
          <w:color w:val="7B7B7B" w:themeColor="accent3" w:themeShade="BF"/>
          <w:sz w:val="22"/>
          <w:szCs w:val="22"/>
          <w:lang w:val="en-GB"/>
        </w:rPr>
        <w:t xml:space="preserve">. </w:t>
      </w:r>
      <w:r w:rsidR="00615F1D">
        <w:rPr>
          <w:rFonts w:ascii="Avenir Next" w:hAnsi="Avenir Next" w:cs="Arial"/>
          <w:color w:val="7B7B7B" w:themeColor="accent3" w:themeShade="BF"/>
          <w:sz w:val="22"/>
          <w:szCs w:val="22"/>
          <w:lang w:val="en-GB"/>
        </w:rPr>
        <w:t xml:space="preserve">This requires clear demarcation over the choice of forum and law as enforceability is key. </w:t>
      </w:r>
      <w:r>
        <w:rPr>
          <w:rFonts w:ascii="Avenir Next" w:hAnsi="Avenir Next" w:cs="Arial"/>
          <w:color w:val="7B7B7B" w:themeColor="accent3" w:themeShade="BF"/>
          <w:sz w:val="22"/>
          <w:szCs w:val="22"/>
          <w:lang w:val="en-GB"/>
        </w:rPr>
        <w:t xml:space="preserve">On the other hand, territoriality </w:t>
      </w:r>
      <w:r w:rsidR="00615F1D">
        <w:rPr>
          <w:rFonts w:ascii="Avenir Next" w:hAnsi="Avenir Next" w:cs="Arial"/>
          <w:color w:val="7B7B7B" w:themeColor="accent3" w:themeShade="BF"/>
          <w:sz w:val="22"/>
          <w:szCs w:val="22"/>
          <w:lang w:val="en-GB"/>
        </w:rPr>
        <w:t xml:space="preserve">focuses on the domesticity and state boundaries. For territoriality, proceedings may be commenced against the debtor in any state, </w:t>
      </w:r>
      <w:r w:rsidR="00E34C1F">
        <w:rPr>
          <w:rFonts w:ascii="Avenir Next" w:hAnsi="Avenir Next" w:cs="Arial"/>
          <w:color w:val="7B7B7B" w:themeColor="accent3" w:themeShade="BF"/>
          <w:sz w:val="22"/>
          <w:szCs w:val="22"/>
          <w:lang w:val="en-GB"/>
        </w:rPr>
        <w:t xml:space="preserve">but the proceedings can deal only with the assets/property within the state in which the proceedings were commenced.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4B1D6DBD" w:rsidR="00C72848" w:rsidRPr="00827D56" w:rsidRDefault="00C72848" w:rsidP="00C053F7">
      <w:pPr>
        <w:ind w:left="720" w:hanging="720"/>
        <w:jc w:val="both"/>
        <w:rPr>
          <w:rFonts w:ascii="Avenir Next" w:hAnsi="Avenir Next" w:cs="Arial"/>
          <w:sz w:val="22"/>
          <w:szCs w:val="22"/>
          <w:lang w:val="en-GB"/>
        </w:rPr>
      </w:pPr>
    </w:p>
    <w:p w14:paraId="1482A365" w14:textId="77777777" w:rsidR="00253ABC" w:rsidRPr="00253ABC" w:rsidRDefault="00253ABC" w:rsidP="00253ABC">
      <w:pPr>
        <w:jc w:val="both"/>
        <w:rPr>
          <w:rFonts w:ascii="Avenir Next" w:hAnsi="Avenir Next" w:cs="Arial"/>
          <w:sz w:val="22"/>
          <w:szCs w:val="22"/>
          <w:lang w:val="en-GB"/>
        </w:rPr>
      </w:pPr>
      <w:r>
        <w:rPr>
          <w:rFonts w:ascii="Avenir Next" w:hAnsi="Avenir Next" w:cs="Arial"/>
          <w:sz w:val="22"/>
          <w:szCs w:val="22"/>
          <w:lang w:val="en-GB"/>
        </w:rPr>
        <w:t xml:space="preserve">First, there was a comparative survey of the insolvency systems in the Middle East which was based on the World </w:t>
      </w:r>
      <w:r w:rsidRPr="00253ABC">
        <w:rPr>
          <w:rFonts w:ascii="Avenir Next" w:hAnsi="Avenir Next" w:cs="Arial"/>
          <w:sz w:val="22"/>
          <w:szCs w:val="22"/>
          <w:lang w:val="en-GB"/>
        </w:rPr>
        <w:t>Bank’s Principles for Effective Insolvency and Creditor Rights Systems (2005)</w:t>
      </w:r>
      <w:r>
        <w:rPr>
          <w:rFonts w:ascii="Avenir Next" w:hAnsi="Avenir Next" w:cs="Arial"/>
          <w:sz w:val="22"/>
          <w:szCs w:val="22"/>
          <w:lang w:val="en-GB"/>
        </w:rPr>
        <w:t xml:space="preserve">. This was a joint initiative between </w:t>
      </w:r>
      <w:proofErr w:type="spellStart"/>
      <w:r w:rsidRPr="00253ABC">
        <w:rPr>
          <w:rFonts w:ascii="Avenir Next" w:hAnsi="Avenir Next" w:cs="Arial"/>
          <w:sz w:val="22"/>
          <w:szCs w:val="22"/>
          <w:lang w:val="en-GB"/>
        </w:rPr>
        <w:t>Hawkamah</w:t>
      </w:r>
      <w:proofErr w:type="spellEnd"/>
      <w:r w:rsidRPr="00253ABC">
        <w:rPr>
          <w:rFonts w:ascii="Avenir Next" w:hAnsi="Avenir Next" w:cs="Arial"/>
          <w:sz w:val="22"/>
          <w:szCs w:val="22"/>
          <w:lang w:val="en-GB"/>
        </w:rPr>
        <w:t xml:space="preserve"> Institute for Corporate</w:t>
      </w:r>
    </w:p>
    <w:p w14:paraId="572227E7" w14:textId="408F3446" w:rsidR="0045683E" w:rsidRDefault="00253ABC" w:rsidP="00253ABC">
      <w:pPr>
        <w:jc w:val="both"/>
        <w:rPr>
          <w:rFonts w:ascii="Avenir Next" w:hAnsi="Avenir Next" w:cs="Arial"/>
          <w:sz w:val="22"/>
          <w:szCs w:val="22"/>
          <w:lang w:val="en-GB"/>
        </w:rPr>
      </w:pPr>
      <w:r w:rsidRPr="00253ABC">
        <w:rPr>
          <w:rFonts w:ascii="Avenir Next" w:hAnsi="Avenir Next" w:cs="Arial"/>
          <w:sz w:val="22"/>
          <w:szCs w:val="22"/>
          <w:lang w:val="en-GB"/>
        </w:rPr>
        <w:t>Governance, the World Bank, the OECD and INSOL International.</w:t>
      </w:r>
    </w:p>
    <w:p w14:paraId="50D547DB" w14:textId="21328204" w:rsidR="00253ABC" w:rsidRDefault="00253ABC" w:rsidP="00253ABC">
      <w:pPr>
        <w:jc w:val="both"/>
        <w:rPr>
          <w:rFonts w:ascii="Avenir Next" w:hAnsi="Avenir Next" w:cs="Arial"/>
          <w:sz w:val="22"/>
          <w:szCs w:val="22"/>
          <w:lang w:val="en-GB"/>
        </w:rPr>
      </w:pPr>
    </w:p>
    <w:p w14:paraId="576ADEC1" w14:textId="77777777" w:rsidR="00253ABC" w:rsidRDefault="00253ABC" w:rsidP="00253ABC">
      <w:pPr>
        <w:jc w:val="both"/>
        <w:rPr>
          <w:rFonts w:ascii="Avenir Next" w:hAnsi="Avenir Next" w:cs="Arial"/>
          <w:sz w:val="22"/>
          <w:szCs w:val="22"/>
          <w:lang w:val="en-GB"/>
        </w:rPr>
      </w:pPr>
      <w:r>
        <w:rPr>
          <w:rFonts w:ascii="Avenir Next" w:hAnsi="Avenir Next" w:cs="Arial"/>
          <w:sz w:val="22"/>
          <w:szCs w:val="22"/>
          <w:lang w:val="en-GB"/>
        </w:rPr>
        <w:t>Second, there has been some</w:t>
      </w:r>
      <w:r w:rsidRPr="00253ABC">
        <w:rPr>
          <w:rFonts w:ascii="Avenir Next" w:hAnsi="Avenir Next" w:cs="Arial"/>
          <w:sz w:val="22"/>
          <w:szCs w:val="22"/>
          <w:lang w:val="en-GB"/>
        </w:rPr>
        <w:t xml:space="preserve"> reform </w:t>
      </w:r>
      <w:r>
        <w:rPr>
          <w:rFonts w:ascii="Avenir Next" w:hAnsi="Avenir Next" w:cs="Arial"/>
          <w:sz w:val="22"/>
          <w:szCs w:val="22"/>
          <w:lang w:val="en-GB"/>
        </w:rPr>
        <w:t>of</w:t>
      </w:r>
      <w:r w:rsidRPr="00253ABC">
        <w:rPr>
          <w:rFonts w:ascii="Avenir Next" w:hAnsi="Avenir Next" w:cs="Arial"/>
          <w:sz w:val="22"/>
          <w:szCs w:val="22"/>
          <w:lang w:val="en-GB"/>
        </w:rPr>
        <w:t xml:space="preserve"> domestic insolvency laws</w:t>
      </w:r>
      <w:r>
        <w:rPr>
          <w:rFonts w:ascii="Avenir Next" w:hAnsi="Avenir Next" w:cs="Arial"/>
          <w:sz w:val="22"/>
          <w:szCs w:val="22"/>
          <w:lang w:val="en-GB"/>
        </w:rPr>
        <w:t xml:space="preserve"> in the following Middle East states: the </w:t>
      </w:r>
      <w:r w:rsidRPr="00253ABC">
        <w:rPr>
          <w:rFonts w:ascii="Avenir Next" w:hAnsi="Avenir Next" w:cs="Arial"/>
          <w:sz w:val="22"/>
          <w:szCs w:val="22"/>
          <w:lang w:val="en-GB"/>
        </w:rPr>
        <w:t>UAE in 2016 and 2019, Saudi Arabia in 2018 and Dubai in 2019.</w:t>
      </w:r>
    </w:p>
    <w:p w14:paraId="57EB9B7E" w14:textId="77777777" w:rsidR="00253ABC" w:rsidRDefault="00253ABC" w:rsidP="00253ABC">
      <w:pPr>
        <w:jc w:val="both"/>
        <w:rPr>
          <w:rFonts w:ascii="Avenir Next" w:hAnsi="Avenir Next" w:cs="Arial"/>
          <w:sz w:val="22"/>
          <w:szCs w:val="22"/>
          <w:lang w:val="en-GB"/>
        </w:rPr>
      </w:pPr>
    </w:p>
    <w:p w14:paraId="29B284AF" w14:textId="35EF97B2" w:rsidR="00253ABC" w:rsidRPr="00253ABC" w:rsidRDefault="00253ABC" w:rsidP="00253ABC">
      <w:pPr>
        <w:jc w:val="both"/>
        <w:rPr>
          <w:rFonts w:ascii="Avenir Next" w:hAnsi="Avenir Next" w:cs="Arial"/>
          <w:sz w:val="22"/>
          <w:szCs w:val="22"/>
          <w:lang w:val="en-GB"/>
        </w:rPr>
      </w:pPr>
      <w:r>
        <w:rPr>
          <w:rFonts w:ascii="Avenir Next" w:hAnsi="Avenir Next" w:cs="Arial"/>
          <w:sz w:val="22"/>
          <w:szCs w:val="22"/>
          <w:lang w:val="en-GB"/>
        </w:rPr>
        <w:t xml:space="preserve">Third, Bahrain and the </w:t>
      </w:r>
      <w:r w:rsidRPr="00253ABC">
        <w:rPr>
          <w:rFonts w:ascii="Avenir Next" w:hAnsi="Avenir Next" w:cs="Arial"/>
          <w:sz w:val="22"/>
          <w:szCs w:val="22"/>
          <w:lang w:val="en-GB"/>
        </w:rPr>
        <w:t>Dubai International Financial Centre</w:t>
      </w:r>
      <w:r>
        <w:rPr>
          <w:rFonts w:ascii="Avenir Next" w:hAnsi="Avenir Next" w:cs="Arial"/>
          <w:sz w:val="22"/>
          <w:szCs w:val="22"/>
          <w:lang w:val="en-GB"/>
        </w:rPr>
        <w:t xml:space="preserve"> </w:t>
      </w:r>
      <w:r w:rsidRPr="00253ABC">
        <w:rPr>
          <w:rFonts w:ascii="Avenir Next" w:hAnsi="Avenir Next" w:cs="Arial"/>
          <w:sz w:val="22"/>
          <w:szCs w:val="22"/>
          <w:lang w:val="en-GB"/>
        </w:rPr>
        <w:t>adopted the Model Law on Cross-Border</w:t>
      </w:r>
      <w:r>
        <w:rPr>
          <w:rFonts w:ascii="Avenir Next" w:hAnsi="Avenir Next" w:cs="Arial"/>
          <w:sz w:val="22"/>
          <w:szCs w:val="22"/>
          <w:lang w:val="en-GB"/>
        </w:rPr>
        <w:t xml:space="preserve"> </w:t>
      </w:r>
      <w:r w:rsidRPr="00253ABC">
        <w:rPr>
          <w:rFonts w:ascii="Avenir Next" w:hAnsi="Avenir Next" w:cs="Arial"/>
          <w:sz w:val="22"/>
          <w:szCs w:val="22"/>
          <w:lang w:val="en-GB"/>
        </w:rPr>
        <w:t xml:space="preserve">Insolvency in 2018 </w:t>
      </w:r>
      <w:r>
        <w:rPr>
          <w:rFonts w:ascii="Avenir Next" w:hAnsi="Avenir Next" w:cs="Arial"/>
          <w:sz w:val="22"/>
          <w:szCs w:val="22"/>
          <w:lang w:val="en-GB"/>
        </w:rPr>
        <w:t>and 2019 respectively.</w:t>
      </w: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2E6F6D56" w14:textId="74BE4E92" w:rsidR="00253ABC" w:rsidRPr="00253ABC" w:rsidRDefault="00794BD2" w:rsidP="00253A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outset, the objectives in both the individual and corporation context involve a regime to effectively deal with the satisfaction (full or partial) of the liabilities incurred – therefore, certain principles such as </w:t>
      </w:r>
      <w:proofErr w:type="spellStart"/>
      <w:r>
        <w:rPr>
          <w:rFonts w:ascii="Avenir Next" w:hAnsi="Avenir Next" w:cs="Arial"/>
          <w:color w:val="7B7B7B" w:themeColor="accent3" w:themeShade="BF"/>
          <w:sz w:val="22"/>
          <w:szCs w:val="22"/>
          <w:lang w:val="en-GB"/>
        </w:rPr>
        <w:t>pari</w:t>
      </w:r>
      <w:proofErr w:type="spellEnd"/>
      <w:r>
        <w:rPr>
          <w:rFonts w:ascii="Avenir Next" w:hAnsi="Avenir Next" w:cs="Arial"/>
          <w:color w:val="7B7B7B" w:themeColor="accent3" w:themeShade="BF"/>
          <w:sz w:val="22"/>
          <w:szCs w:val="22"/>
          <w:lang w:val="en-GB"/>
        </w:rPr>
        <w:t xml:space="preserve"> passu distribution and priority of debts apply equally to both contexts. However, there are also clear distinctions in the nature of the objectives of the insolvency regime pertaining to individuals as opposed to corporations. </w:t>
      </w:r>
      <w:r w:rsidR="00253ABC">
        <w:rPr>
          <w:rFonts w:ascii="Avenir Next" w:hAnsi="Avenir Next" w:cs="Arial"/>
          <w:color w:val="7B7B7B" w:themeColor="accent3" w:themeShade="BF"/>
          <w:sz w:val="22"/>
          <w:szCs w:val="22"/>
          <w:lang w:val="en-GB"/>
        </w:rPr>
        <w:t xml:space="preserve">For the individual debtor, the objective is </w:t>
      </w:r>
      <w:r w:rsidR="00253ABC" w:rsidRPr="00253ABC">
        <w:rPr>
          <w:rFonts w:ascii="Avenir Next" w:hAnsi="Avenir Next" w:cs="Arial"/>
          <w:color w:val="7B7B7B" w:themeColor="accent3" w:themeShade="BF"/>
          <w:sz w:val="22"/>
          <w:szCs w:val="22"/>
          <w:lang w:val="en-GB"/>
        </w:rPr>
        <w:t xml:space="preserve">to protect the debtor from </w:t>
      </w:r>
      <w:r w:rsidR="00253ABC">
        <w:rPr>
          <w:rFonts w:ascii="Avenir Next" w:hAnsi="Avenir Next" w:cs="Arial"/>
          <w:color w:val="7B7B7B" w:themeColor="accent3" w:themeShade="BF"/>
          <w:sz w:val="22"/>
          <w:szCs w:val="22"/>
          <w:lang w:val="en-GB"/>
        </w:rPr>
        <w:t>creditor-driven distress</w:t>
      </w:r>
      <w:r w:rsidR="003E58FD">
        <w:rPr>
          <w:rFonts w:ascii="Avenir Next" w:hAnsi="Avenir Next" w:cs="Arial"/>
          <w:color w:val="7B7B7B" w:themeColor="accent3" w:themeShade="BF"/>
          <w:sz w:val="22"/>
          <w:szCs w:val="22"/>
          <w:lang w:val="en-GB"/>
        </w:rPr>
        <w:t xml:space="preserve">, </w:t>
      </w:r>
      <w:r w:rsidR="00253ABC">
        <w:rPr>
          <w:rFonts w:ascii="Avenir Next" w:hAnsi="Avenir Next" w:cs="Arial"/>
          <w:color w:val="7B7B7B" w:themeColor="accent3" w:themeShade="BF"/>
          <w:sz w:val="22"/>
          <w:szCs w:val="22"/>
          <w:lang w:val="en-GB"/>
        </w:rPr>
        <w:t>to equip him</w:t>
      </w:r>
      <w:r w:rsidR="003E58FD">
        <w:rPr>
          <w:rFonts w:ascii="Avenir Next" w:hAnsi="Avenir Next" w:cs="Arial"/>
          <w:color w:val="7B7B7B" w:themeColor="accent3" w:themeShade="BF"/>
          <w:sz w:val="22"/>
          <w:szCs w:val="22"/>
          <w:lang w:val="en-GB"/>
        </w:rPr>
        <w:t xml:space="preserve"> with the ability to start anew and to resolve indebtedness by devising a reasonable repayment plan. With c</w:t>
      </w:r>
      <w:r w:rsidR="00253ABC" w:rsidRPr="00253ABC">
        <w:rPr>
          <w:rFonts w:ascii="Avenir Next" w:hAnsi="Avenir Next" w:cs="Arial"/>
          <w:color w:val="7B7B7B" w:themeColor="accent3" w:themeShade="BF"/>
          <w:sz w:val="22"/>
          <w:szCs w:val="22"/>
          <w:lang w:val="en-GB"/>
        </w:rPr>
        <w:t>orporations</w:t>
      </w:r>
      <w:r w:rsidR="003E58FD">
        <w:rPr>
          <w:rFonts w:ascii="Avenir Next" w:hAnsi="Avenir Next" w:cs="Arial"/>
          <w:color w:val="7B7B7B" w:themeColor="accent3" w:themeShade="BF"/>
          <w:sz w:val="22"/>
          <w:szCs w:val="22"/>
          <w:lang w:val="en-GB"/>
        </w:rPr>
        <w:t>, the main purpose of insolvency is business preservation to maximise value and retain employees. It also involves accounting for the personal liability accrued to directors or agents which have contributed to the unsatisfactory financial health of the company.</w:t>
      </w:r>
      <w:r w:rsidR="004913D9">
        <w:rPr>
          <w:rFonts w:ascii="Avenir Next" w:hAnsi="Avenir Next" w:cs="Arial"/>
          <w:color w:val="7B7B7B" w:themeColor="accent3" w:themeShade="BF"/>
          <w:sz w:val="22"/>
          <w:szCs w:val="22"/>
          <w:lang w:val="en-GB"/>
        </w:rPr>
        <w:t xml:space="preserve"> Another key difference is that policy considerations in relation to the maintenance of the individual debtor himself and his dependents may tend toward the notion of exempt or excluded assets in certain jurisdictions; there is no equivalent policy consideration for corporations.</w:t>
      </w:r>
    </w:p>
    <w:p w14:paraId="4A637290" w14:textId="4A0282A0" w:rsidR="00544127" w:rsidRPr="00827D56" w:rsidRDefault="00544127" w:rsidP="00794BD2">
      <w:pPr>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47B20DBA" w14:textId="77777777" w:rsidR="00156254" w:rsidRDefault="00125DC7" w:rsidP="004626E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international insolvency law, the sources of the differences in the various domestic systems are history (</w:t>
      </w:r>
      <w:proofErr w:type="spellStart"/>
      <w:r>
        <w:rPr>
          <w:rFonts w:ascii="Avenir Next" w:hAnsi="Avenir Next" w:cs="Arial"/>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the historical development of rules) and policy (</w:t>
      </w:r>
      <w:proofErr w:type="spellStart"/>
      <w:r>
        <w:rPr>
          <w:rFonts w:ascii="Avenir Next" w:hAnsi="Avenir Next" w:cs="Arial"/>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w:t>
      </w:r>
      <w:r w:rsidR="00AC7978">
        <w:rPr>
          <w:rFonts w:ascii="Avenir Next" w:hAnsi="Avenir Next" w:cs="Arial"/>
          <w:color w:val="7B7B7B" w:themeColor="accent3" w:themeShade="BF"/>
          <w:sz w:val="22"/>
          <w:szCs w:val="22"/>
          <w:lang w:val="en-GB"/>
        </w:rPr>
        <w:t>whether pro-debtor or pro-creditor)</w:t>
      </w:r>
      <w:r>
        <w:rPr>
          <w:rFonts w:ascii="Avenir Next" w:hAnsi="Avenir Next" w:cs="Arial"/>
          <w:color w:val="7B7B7B" w:themeColor="accent3" w:themeShade="BF"/>
          <w:sz w:val="22"/>
          <w:szCs w:val="22"/>
          <w:lang w:val="en-GB"/>
        </w:rPr>
        <w:t>. This manifests itself in</w:t>
      </w:r>
      <w:r w:rsidR="004626EF">
        <w:rPr>
          <w:rFonts w:ascii="Avenir Next" w:hAnsi="Avenir Next" w:cs="Arial"/>
          <w:color w:val="7B7B7B" w:themeColor="accent3" w:themeShade="BF"/>
          <w:sz w:val="22"/>
          <w:szCs w:val="22"/>
          <w:lang w:val="en-GB"/>
        </w:rPr>
        <w:t xml:space="preserve"> </w:t>
      </w:r>
      <w:r w:rsidR="00AC7978">
        <w:rPr>
          <w:rFonts w:ascii="Avenir Next" w:hAnsi="Avenir Next" w:cs="Arial"/>
          <w:color w:val="7B7B7B" w:themeColor="accent3" w:themeShade="BF"/>
          <w:sz w:val="22"/>
          <w:szCs w:val="22"/>
          <w:lang w:val="en-GB"/>
        </w:rPr>
        <w:t xml:space="preserve">the varied corpus of terminology for insolvency proceedings across </w:t>
      </w:r>
      <w:proofErr w:type="spellStart"/>
      <w:r w:rsidR="00AC7978">
        <w:rPr>
          <w:rFonts w:ascii="Avenir Next" w:hAnsi="Avenir Next" w:cs="Arial"/>
          <w:color w:val="7B7B7B" w:themeColor="accent3" w:themeShade="BF"/>
          <w:sz w:val="22"/>
          <w:szCs w:val="22"/>
          <w:lang w:val="en-GB"/>
        </w:rPr>
        <w:t>states.</w:t>
      </w:r>
      <w:proofErr w:type="spellEnd"/>
      <w:r w:rsidR="00AC7978">
        <w:rPr>
          <w:rFonts w:ascii="Avenir Next" w:hAnsi="Avenir Next" w:cs="Arial"/>
          <w:color w:val="7B7B7B" w:themeColor="accent3" w:themeShade="BF"/>
          <w:sz w:val="22"/>
          <w:szCs w:val="22"/>
          <w:lang w:val="en-GB"/>
        </w:rPr>
        <w:t xml:space="preserve"> For instance, “insolvency” as compared to “bankruptcy” </w:t>
      </w:r>
      <w:r w:rsidR="00156254">
        <w:rPr>
          <w:rFonts w:ascii="Avenir Next" w:hAnsi="Avenir Next" w:cs="Arial"/>
          <w:color w:val="7B7B7B" w:themeColor="accent3" w:themeShade="BF"/>
          <w:sz w:val="22"/>
          <w:szCs w:val="22"/>
          <w:lang w:val="en-GB"/>
        </w:rPr>
        <w:t xml:space="preserve">and the content of “insolvency” – whether the balance sheet or cash flow insolvency suffices. </w:t>
      </w:r>
    </w:p>
    <w:p w14:paraId="75F0F5BF" w14:textId="77777777" w:rsidR="00156254" w:rsidRDefault="00156254" w:rsidP="004626EF">
      <w:pPr>
        <w:jc w:val="both"/>
        <w:rPr>
          <w:rFonts w:ascii="Avenir Next" w:hAnsi="Avenir Next" w:cs="Arial"/>
          <w:color w:val="7B7B7B" w:themeColor="accent3" w:themeShade="BF"/>
          <w:sz w:val="22"/>
          <w:szCs w:val="22"/>
          <w:lang w:val="en-GB"/>
        </w:rPr>
      </w:pPr>
    </w:p>
    <w:p w14:paraId="60408D76" w14:textId="1049970E" w:rsidR="00A01E20" w:rsidRDefault="00AC7978" w:rsidP="004626EF">
      <w:pPr>
        <w:jc w:val="both"/>
        <w:rPr>
          <w:rFonts w:ascii="Avenir Next" w:hAnsi="Avenir Next" w:cs="Arial"/>
          <w:color w:val="7B7B7B" w:themeColor="accent3" w:themeShade="BF"/>
          <w:sz w:val="22"/>
          <w:szCs w:val="22"/>
          <w:lang w:val="en-SG"/>
        </w:rPr>
      </w:pPr>
      <w:r>
        <w:rPr>
          <w:rFonts w:ascii="Avenir Next" w:hAnsi="Avenir Next" w:cs="Arial"/>
          <w:color w:val="7B7B7B" w:themeColor="accent3" w:themeShade="BF"/>
          <w:sz w:val="22"/>
          <w:szCs w:val="22"/>
          <w:lang w:val="en-GB"/>
        </w:rPr>
        <w:t>More substantively, this is reflected</w:t>
      </w:r>
      <w:proofErr w:type="spellStart"/>
      <w:r>
        <w:rPr>
          <w:rFonts w:ascii="Avenir Next" w:hAnsi="Avenir Next" w:cs="Arial"/>
          <w:color w:val="7B7B7B" w:themeColor="accent3" w:themeShade="BF"/>
          <w:sz w:val="22"/>
          <w:szCs w:val="22"/>
          <w:lang w:val="en-GB"/>
        </w:rPr>
        <w:t xml:space="preserve"> </w:t>
      </w:r>
      <w:proofErr w:type="spellEnd"/>
      <w:r>
        <w:rPr>
          <w:rFonts w:ascii="Avenir Next" w:hAnsi="Avenir Next" w:cs="Arial"/>
          <w:color w:val="7B7B7B" w:themeColor="accent3" w:themeShade="BF"/>
          <w:sz w:val="22"/>
          <w:szCs w:val="22"/>
          <w:lang w:val="en-GB"/>
        </w:rPr>
        <w:t xml:space="preserve">in the </w:t>
      </w:r>
      <w:r w:rsidR="004626EF">
        <w:rPr>
          <w:rFonts w:ascii="Avenir Next" w:hAnsi="Avenir Next" w:cs="Arial"/>
          <w:color w:val="7B7B7B" w:themeColor="accent3" w:themeShade="BF"/>
          <w:sz w:val="22"/>
          <w:szCs w:val="22"/>
          <w:lang w:val="en-GB"/>
        </w:rPr>
        <w:t>distribution</w:t>
      </w:r>
      <w:r w:rsidR="00125DC7">
        <w:rPr>
          <w:rFonts w:ascii="Avenir Next" w:hAnsi="Avenir Next" w:cs="Arial"/>
          <w:color w:val="7B7B7B" w:themeColor="accent3" w:themeShade="BF"/>
          <w:sz w:val="22"/>
          <w:szCs w:val="22"/>
          <w:lang w:val="en-GB"/>
        </w:rPr>
        <w:t xml:space="preserve"> rules</w:t>
      </w:r>
      <w:r w:rsidR="00156254">
        <w:rPr>
          <w:rFonts w:ascii="Avenir Next" w:hAnsi="Avenir Next" w:cs="Arial"/>
          <w:color w:val="7B7B7B" w:themeColor="accent3" w:themeShade="BF"/>
          <w:sz w:val="22"/>
          <w:szCs w:val="22"/>
          <w:lang w:val="en-GB"/>
        </w:rPr>
        <w:t xml:space="preserve"> or the rules on priorities and preferences</w:t>
      </w:r>
      <w:r w:rsidR="004626EF">
        <w:rPr>
          <w:rFonts w:ascii="Avenir Next" w:hAnsi="Avenir Next" w:cs="Arial"/>
          <w:color w:val="7B7B7B" w:themeColor="accent3" w:themeShade="BF"/>
          <w:sz w:val="22"/>
          <w:szCs w:val="22"/>
          <w:lang w:val="en-GB"/>
        </w:rPr>
        <w:t xml:space="preserve">. </w:t>
      </w:r>
      <w:r w:rsidR="00A01E20">
        <w:rPr>
          <w:rFonts w:ascii="Avenir Next" w:hAnsi="Avenir Next" w:cs="Arial"/>
          <w:color w:val="7B7B7B" w:themeColor="accent3" w:themeShade="BF"/>
          <w:sz w:val="22"/>
          <w:szCs w:val="22"/>
          <w:lang w:val="en-SG"/>
        </w:rPr>
        <w:t>As the scheme of distribution of assets to the creditors differs by state</w:t>
      </w:r>
      <w:r w:rsidR="004626EF" w:rsidRPr="004626EF">
        <w:rPr>
          <w:rFonts w:ascii="Avenir Next" w:hAnsi="Avenir Next" w:cs="Arial"/>
          <w:color w:val="7B7B7B" w:themeColor="accent3" w:themeShade="BF"/>
          <w:sz w:val="22"/>
          <w:szCs w:val="22"/>
          <w:lang w:val="en-SG"/>
        </w:rPr>
        <w:t xml:space="preserve">, </w:t>
      </w:r>
      <w:r w:rsidR="00A01E20">
        <w:rPr>
          <w:rFonts w:ascii="Avenir Next" w:hAnsi="Avenir Next" w:cs="Arial"/>
          <w:color w:val="7B7B7B" w:themeColor="accent3" w:themeShade="BF"/>
          <w:sz w:val="22"/>
          <w:szCs w:val="22"/>
          <w:lang w:val="en-SG"/>
        </w:rPr>
        <w:t xml:space="preserve">there are palpable challenges with allocating assets to creditors across different jurisdictions with different rules. For instance, with </w:t>
      </w:r>
      <w:r w:rsidR="004626EF" w:rsidRPr="004626EF">
        <w:rPr>
          <w:rFonts w:ascii="Avenir Next" w:hAnsi="Avenir Next" w:cs="Arial"/>
          <w:color w:val="7B7B7B" w:themeColor="accent3" w:themeShade="BF"/>
          <w:sz w:val="22"/>
          <w:szCs w:val="22"/>
          <w:lang w:val="en-SG"/>
        </w:rPr>
        <w:t>employees</w:t>
      </w:r>
      <w:r w:rsidR="00A01E20">
        <w:rPr>
          <w:rFonts w:ascii="Avenir Next" w:hAnsi="Avenir Next" w:cs="Arial"/>
          <w:color w:val="7B7B7B" w:themeColor="accent3" w:themeShade="BF"/>
          <w:sz w:val="22"/>
          <w:szCs w:val="22"/>
          <w:lang w:val="en-SG"/>
        </w:rPr>
        <w:t>’ salaries and expenses</w:t>
      </w:r>
      <w:r w:rsidR="004626EF" w:rsidRPr="004626EF">
        <w:rPr>
          <w:rFonts w:ascii="Avenir Next" w:hAnsi="Avenir Next" w:cs="Arial"/>
          <w:color w:val="7B7B7B" w:themeColor="accent3" w:themeShade="BF"/>
          <w:sz w:val="22"/>
          <w:szCs w:val="22"/>
          <w:lang w:val="en-SG"/>
        </w:rPr>
        <w:t xml:space="preserve"> or the </w:t>
      </w:r>
      <w:r w:rsidR="00A01E20">
        <w:rPr>
          <w:rFonts w:ascii="Avenir Next" w:hAnsi="Avenir Next" w:cs="Arial"/>
          <w:color w:val="7B7B7B" w:themeColor="accent3" w:themeShade="BF"/>
          <w:sz w:val="22"/>
          <w:szCs w:val="22"/>
          <w:lang w:val="en-SG"/>
        </w:rPr>
        <w:t xml:space="preserve">state, there are usually statutory exceptions which provide them priority over the creditors. </w:t>
      </w:r>
      <w:r w:rsidR="004626EF" w:rsidRPr="004626EF">
        <w:rPr>
          <w:rFonts w:ascii="Avenir Next" w:hAnsi="Avenir Next" w:cs="Arial"/>
          <w:color w:val="7B7B7B" w:themeColor="accent3" w:themeShade="BF"/>
          <w:sz w:val="22"/>
          <w:szCs w:val="22"/>
          <w:lang w:val="en-SG"/>
        </w:rPr>
        <w:t xml:space="preserve">However, some </w:t>
      </w:r>
      <w:r w:rsidR="00A01E20">
        <w:rPr>
          <w:rFonts w:ascii="Avenir Next" w:hAnsi="Avenir Next" w:cs="Arial"/>
          <w:color w:val="7B7B7B" w:themeColor="accent3" w:themeShade="BF"/>
          <w:sz w:val="22"/>
          <w:szCs w:val="22"/>
          <w:lang w:val="en-SG"/>
        </w:rPr>
        <w:t>states removed the priority to revenue authorities (</w:t>
      </w:r>
      <w:proofErr w:type="spellStart"/>
      <w:r w:rsidR="00A01E20">
        <w:rPr>
          <w:rFonts w:ascii="Avenir Next" w:hAnsi="Avenir Next" w:cs="Arial"/>
          <w:color w:val="7B7B7B" w:themeColor="accent3" w:themeShade="BF"/>
          <w:sz w:val="22"/>
          <w:szCs w:val="22"/>
          <w:lang w:val="en-SG"/>
        </w:rPr>
        <w:t>ie</w:t>
      </w:r>
      <w:proofErr w:type="spellEnd"/>
      <w:r w:rsidR="00A01E20">
        <w:rPr>
          <w:rFonts w:ascii="Avenir Next" w:hAnsi="Avenir Next" w:cs="Arial"/>
          <w:color w:val="7B7B7B" w:themeColor="accent3" w:themeShade="BF"/>
          <w:sz w:val="22"/>
          <w:szCs w:val="22"/>
          <w:lang w:val="en-SG"/>
        </w:rPr>
        <w:t xml:space="preserve">, the </w:t>
      </w:r>
      <w:r w:rsidR="004626EF" w:rsidRPr="004626EF">
        <w:rPr>
          <w:rFonts w:ascii="Avenir Next" w:hAnsi="Avenir Next" w:cs="Arial"/>
          <w:color w:val="7B7B7B" w:themeColor="accent3" w:themeShade="BF"/>
          <w:sz w:val="22"/>
          <w:szCs w:val="22"/>
          <w:lang w:val="en-SG"/>
        </w:rPr>
        <w:t>“Crown preference”</w:t>
      </w:r>
      <w:r w:rsidR="00A01E20">
        <w:rPr>
          <w:rFonts w:ascii="Avenir Next" w:hAnsi="Avenir Next" w:cs="Arial"/>
          <w:color w:val="7B7B7B" w:themeColor="accent3" w:themeShade="BF"/>
          <w:sz w:val="22"/>
          <w:szCs w:val="22"/>
          <w:lang w:val="en-SG"/>
        </w:rPr>
        <w:t xml:space="preserve">), </w:t>
      </w:r>
      <w:r w:rsidR="004626EF" w:rsidRPr="004626EF">
        <w:rPr>
          <w:rFonts w:ascii="Avenir Next" w:hAnsi="Avenir Next" w:cs="Arial"/>
          <w:color w:val="7B7B7B" w:themeColor="accent3" w:themeShade="BF"/>
          <w:sz w:val="22"/>
          <w:szCs w:val="22"/>
          <w:lang w:val="en-SG"/>
        </w:rPr>
        <w:t xml:space="preserve">and </w:t>
      </w:r>
      <w:r w:rsidR="00A01E20">
        <w:rPr>
          <w:rFonts w:ascii="Avenir Next" w:hAnsi="Avenir Next" w:cs="Arial"/>
          <w:color w:val="7B7B7B" w:themeColor="accent3" w:themeShade="BF"/>
          <w:sz w:val="22"/>
          <w:szCs w:val="22"/>
          <w:lang w:val="en-SG"/>
        </w:rPr>
        <w:t>some jurisdictions</w:t>
      </w:r>
      <w:r w:rsidR="004626EF" w:rsidRPr="004626EF">
        <w:rPr>
          <w:rFonts w:ascii="Avenir Next" w:hAnsi="Avenir Next" w:cs="Arial"/>
          <w:color w:val="7B7B7B" w:themeColor="accent3" w:themeShade="BF"/>
          <w:sz w:val="22"/>
          <w:szCs w:val="22"/>
          <w:lang w:val="en-SG"/>
        </w:rPr>
        <w:t xml:space="preserve"> grant employees a</w:t>
      </w:r>
      <w:r w:rsidR="00A01E20">
        <w:rPr>
          <w:rFonts w:ascii="Avenir Next" w:hAnsi="Avenir Next" w:cs="Arial"/>
          <w:color w:val="7B7B7B" w:themeColor="accent3" w:themeShade="BF"/>
          <w:sz w:val="22"/>
          <w:szCs w:val="22"/>
          <w:lang w:val="en-SG"/>
        </w:rPr>
        <w:t xml:space="preserve"> dominating preference which allows employees to </w:t>
      </w:r>
      <w:r w:rsidR="004626EF" w:rsidRPr="004626EF">
        <w:rPr>
          <w:rFonts w:ascii="Avenir Next" w:hAnsi="Avenir Next" w:cs="Arial"/>
          <w:color w:val="7B7B7B" w:themeColor="accent3" w:themeShade="BF"/>
          <w:sz w:val="22"/>
          <w:szCs w:val="22"/>
          <w:lang w:val="en-SG"/>
        </w:rPr>
        <w:t>enjoy priority over other priority creditors</w:t>
      </w:r>
      <w:r w:rsidR="00A01E20">
        <w:rPr>
          <w:rFonts w:ascii="Avenir Next" w:hAnsi="Avenir Next" w:cs="Arial"/>
          <w:color w:val="7B7B7B" w:themeColor="accent3" w:themeShade="BF"/>
          <w:sz w:val="22"/>
          <w:szCs w:val="22"/>
          <w:lang w:val="en-SG"/>
        </w:rPr>
        <w:t xml:space="preserve"> or even secured creditors</w:t>
      </w:r>
      <w:r w:rsidR="004626EF" w:rsidRPr="004626EF">
        <w:rPr>
          <w:rFonts w:ascii="Avenir Next" w:hAnsi="Avenir Next" w:cs="Arial"/>
          <w:color w:val="7B7B7B" w:themeColor="accent3" w:themeShade="BF"/>
          <w:sz w:val="22"/>
          <w:szCs w:val="22"/>
          <w:lang w:val="en-SG"/>
        </w:rPr>
        <w:t xml:space="preserve">. </w:t>
      </w:r>
    </w:p>
    <w:p w14:paraId="6CBA82F8" w14:textId="4A3F4B32" w:rsidR="00156254" w:rsidRDefault="00156254" w:rsidP="004626EF">
      <w:pPr>
        <w:jc w:val="both"/>
        <w:rPr>
          <w:rFonts w:ascii="Avenir Next" w:hAnsi="Avenir Next" w:cs="Arial"/>
          <w:color w:val="7B7B7B" w:themeColor="accent3" w:themeShade="BF"/>
          <w:sz w:val="22"/>
          <w:szCs w:val="22"/>
          <w:lang w:val="en-SG"/>
        </w:rPr>
      </w:pPr>
    </w:p>
    <w:p w14:paraId="7934949A" w14:textId="24427534" w:rsidR="00156254" w:rsidRDefault="00156254" w:rsidP="004626EF">
      <w:pPr>
        <w:jc w:val="both"/>
        <w:rPr>
          <w:rFonts w:ascii="Avenir Next" w:hAnsi="Avenir Next" w:cs="Arial"/>
          <w:color w:val="7B7B7B" w:themeColor="accent3" w:themeShade="BF"/>
          <w:sz w:val="22"/>
          <w:szCs w:val="22"/>
          <w:lang w:val="en-SG"/>
        </w:rPr>
      </w:pPr>
      <w:r>
        <w:rPr>
          <w:rFonts w:ascii="Avenir Next" w:hAnsi="Avenir Next" w:cs="Arial"/>
          <w:color w:val="7B7B7B" w:themeColor="accent3" w:themeShade="BF"/>
          <w:sz w:val="22"/>
          <w:szCs w:val="22"/>
          <w:lang w:val="en-SG"/>
        </w:rPr>
        <w:t xml:space="preserve">The other differences which may pose a challenge include the various rules on the standing of the foreign representative, the moratorium regime, the extent of creditor participation, </w:t>
      </w:r>
      <w:r>
        <w:rPr>
          <w:rFonts w:ascii="Avenir Next" w:hAnsi="Avenir Next" w:cs="Arial"/>
          <w:color w:val="7B7B7B" w:themeColor="accent3" w:themeShade="BF"/>
          <w:sz w:val="22"/>
          <w:szCs w:val="22"/>
          <w:lang w:val="en-SG"/>
        </w:rPr>
        <w:lastRenderedPageBreak/>
        <w:t>avoidance provisions and issues with the enforcement of foreign judgments in domestic contexts.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F01D078" w:rsidR="00DF75F8" w:rsidRPr="0020450F" w:rsidRDefault="009C0FED" w:rsidP="00C053F7">
      <w:pPr>
        <w:jc w:val="both"/>
        <w:rPr>
          <w:rFonts w:ascii="Avenir Next" w:hAnsi="Avenir Next" w:cs="Arial"/>
          <w:color w:val="7B7B7B" w:themeColor="accent3" w:themeShade="BF"/>
          <w:sz w:val="22"/>
          <w:szCs w:val="22"/>
          <w:lang w:val="en-SG"/>
        </w:rPr>
      </w:pPr>
      <w:r>
        <w:rPr>
          <w:rFonts w:ascii="Avenir Next" w:hAnsi="Avenir Next" w:cs="Arial"/>
          <w:color w:val="7B7B7B" w:themeColor="accent3" w:themeShade="BF"/>
          <w:sz w:val="22"/>
          <w:szCs w:val="22"/>
          <w:lang w:val="en-GB"/>
        </w:rPr>
        <w:t xml:space="preserve">Harmonisation has been pushed on treaties and conventions as well as </w:t>
      </w:r>
      <w:r w:rsidR="006357B3">
        <w:rPr>
          <w:rFonts w:ascii="Avenir Next" w:hAnsi="Avenir Next" w:cs="Arial"/>
          <w:color w:val="7B7B7B" w:themeColor="accent3" w:themeShade="BF"/>
          <w:sz w:val="22"/>
          <w:szCs w:val="22"/>
          <w:lang w:val="en-GB"/>
        </w:rPr>
        <w:t xml:space="preserve">with </w:t>
      </w:r>
      <w:r>
        <w:rPr>
          <w:rFonts w:ascii="Avenir Next" w:hAnsi="Avenir Next" w:cs="Arial"/>
          <w:color w:val="7B7B7B" w:themeColor="accent3" w:themeShade="BF"/>
          <w:sz w:val="22"/>
          <w:szCs w:val="22"/>
          <w:lang w:val="en-GB"/>
        </w:rPr>
        <w:t>soft law.</w:t>
      </w:r>
      <w:r w:rsidR="006357B3">
        <w:rPr>
          <w:rFonts w:ascii="Avenir Next" w:hAnsi="Avenir Next" w:cs="Arial"/>
          <w:color w:val="7B7B7B" w:themeColor="accent3" w:themeShade="BF"/>
          <w:sz w:val="22"/>
          <w:szCs w:val="22"/>
          <w:lang w:val="en-GB"/>
        </w:rPr>
        <w:t xml:space="preserve"> For treaties and conventions, the EIR Recast </w:t>
      </w:r>
      <w:r w:rsidR="00B4279B">
        <w:rPr>
          <w:rFonts w:ascii="Avenir Next" w:hAnsi="Avenir Next" w:cs="Arial"/>
          <w:color w:val="7B7B7B" w:themeColor="accent3" w:themeShade="BF"/>
          <w:sz w:val="22"/>
          <w:szCs w:val="22"/>
          <w:lang w:val="en-GB"/>
        </w:rPr>
        <w:t>is an</w:t>
      </w:r>
      <w:r w:rsidR="006357B3">
        <w:rPr>
          <w:rFonts w:ascii="Avenir Next" w:hAnsi="Avenir Next" w:cs="Arial"/>
          <w:color w:val="7B7B7B" w:themeColor="accent3" w:themeShade="BF"/>
          <w:sz w:val="22"/>
          <w:szCs w:val="22"/>
          <w:lang w:val="en-GB"/>
        </w:rPr>
        <w:t xml:space="preserve"> example of successful </w:t>
      </w:r>
      <w:r w:rsidR="00B4279B">
        <w:rPr>
          <w:rFonts w:ascii="Avenir Next" w:hAnsi="Avenir Next" w:cs="Arial"/>
          <w:color w:val="7B7B7B" w:themeColor="accent3" w:themeShade="BF"/>
          <w:sz w:val="22"/>
          <w:szCs w:val="22"/>
          <w:lang w:val="en-GB"/>
        </w:rPr>
        <w:t xml:space="preserve">multi-lateral efforts to standardise regimes between European Union states. However, it is apparent that this is very rare – the standardisation of insolvency systems across states can only occur with political harmonisation, which is the main reason for the EIR Recast’s success. As for bilateral treaties, these tend to be far more piecemeal and limited in its effect of harmonisation. Arguably, soft law in the form of multilateral organisations and platforms on which best practices and guidance to effective </w:t>
      </w:r>
      <w:r w:rsidR="0020450F">
        <w:rPr>
          <w:rFonts w:ascii="Avenir Next" w:hAnsi="Avenir Next" w:cs="Arial"/>
          <w:color w:val="7B7B7B" w:themeColor="accent3" w:themeShade="BF"/>
          <w:sz w:val="22"/>
          <w:szCs w:val="22"/>
          <w:lang w:val="en-GB"/>
        </w:rPr>
        <w:t xml:space="preserve">insolvency legislation is far more influential. It balances sovereign autonomy whilst prioritising harmonisation by inviting states to collaborate on their socio-economic interests. </w:t>
      </w:r>
      <w:r w:rsidR="0020450F">
        <w:rPr>
          <w:rFonts w:ascii="Avenir Next" w:hAnsi="Avenir Next" w:cs="Arial"/>
          <w:color w:val="7B7B7B" w:themeColor="accent3" w:themeShade="BF"/>
          <w:sz w:val="22"/>
          <w:szCs w:val="22"/>
          <w:lang w:val="en-SG"/>
        </w:rPr>
        <w:t xml:space="preserve">The UNCITRAL </w:t>
      </w:r>
      <w:r w:rsidR="00B4279B" w:rsidRPr="00B4279B">
        <w:rPr>
          <w:rFonts w:ascii="Avenir Next" w:hAnsi="Avenir Next" w:cs="Arial"/>
          <w:color w:val="7B7B7B" w:themeColor="accent3" w:themeShade="BF"/>
          <w:sz w:val="22"/>
          <w:szCs w:val="22"/>
          <w:lang w:val="en-SG"/>
        </w:rPr>
        <w:t xml:space="preserve">Model Law on Cross-border Insolvency </w:t>
      </w:r>
      <w:r w:rsidR="0020450F">
        <w:rPr>
          <w:rFonts w:ascii="Avenir Next" w:hAnsi="Avenir Next" w:cs="Arial"/>
          <w:color w:val="7B7B7B" w:themeColor="accent3" w:themeShade="BF"/>
          <w:sz w:val="22"/>
          <w:szCs w:val="22"/>
          <w:lang w:val="en-SG"/>
        </w:rPr>
        <w:t xml:space="preserve">is </w:t>
      </w:r>
      <w:r w:rsidR="00B4279B" w:rsidRPr="00B4279B">
        <w:rPr>
          <w:rFonts w:ascii="Avenir Next" w:hAnsi="Avenir Next" w:cs="Arial"/>
          <w:color w:val="7B7B7B" w:themeColor="accent3" w:themeShade="BF"/>
          <w:sz w:val="22"/>
          <w:szCs w:val="22"/>
          <w:lang w:val="en-SG"/>
        </w:rPr>
        <w:t xml:space="preserve">draft legislation recommended </w:t>
      </w:r>
      <w:r w:rsidR="0020450F">
        <w:rPr>
          <w:rFonts w:ascii="Avenir Next" w:hAnsi="Avenir Next" w:cs="Arial"/>
          <w:color w:val="7B7B7B" w:themeColor="accent3" w:themeShade="BF"/>
          <w:sz w:val="22"/>
          <w:szCs w:val="22"/>
          <w:lang w:val="en-SG"/>
        </w:rPr>
        <w:t xml:space="preserve">for </w:t>
      </w:r>
      <w:r w:rsidR="00B4279B" w:rsidRPr="00B4279B">
        <w:rPr>
          <w:rFonts w:ascii="Avenir Next" w:hAnsi="Avenir Next" w:cs="Arial"/>
          <w:color w:val="7B7B7B" w:themeColor="accent3" w:themeShade="BF"/>
          <w:sz w:val="22"/>
          <w:szCs w:val="22"/>
          <w:lang w:val="en-SG"/>
        </w:rPr>
        <w:t>member States to adopt, with or without modification</w:t>
      </w:r>
      <w:r w:rsidR="0020450F">
        <w:rPr>
          <w:rFonts w:ascii="Avenir Next" w:hAnsi="Avenir Next" w:cs="Arial"/>
          <w:color w:val="7B7B7B" w:themeColor="accent3" w:themeShade="BF"/>
          <w:sz w:val="22"/>
          <w:szCs w:val="22"/>
          <w:lang w:val="en-SG"/>
        </w:rPr>
        <w:t>, that has seen success on its opt-in and customisable basis.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26D01F6A" w14:textId="13E36384" w:rsidR="00487ABC" w:rsidRPr="004C657C" w:rsidRDefault="00487AB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liquidator should apply to the court in Utopia for the recognition of the winding-up order against Nadir by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courts</w:t>
      </w:r>
      <w:r w:rsidR="00C063EB">
        <w:rPr>
          <w:rFonts w:ascii="Avenir Next" w:hAnsi="Avenir Next" w:cs="Arial"/>
          <w:color w:val="7B7B7B" w:themeColor="accent3" w:themeShade="BF"/>
          <w:sz w:val="22"/>
          <w:szCs w:val="22"/>
          <w:lang w:val="en-GB"/>
        </w:rPr>
        <w:t xml:space="preserve"> under Art 15(1). This would be a foreign main proceeding per Art 17(2)(a).</w:t>
      </w:r>
      <w:r w:rsidR="004C657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Second, once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winding-up order is recognised by the Utopian courts, then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liquidator can apply to participate in the proceeding against Nadir in Utopia pursuant to Art 12 before seeking a </w:t>
      </w:r>
      <w:r w:rsidR="004C657C">
        <w:rPr>
          <w:rFonts w:ascii="Avenir Next" w:hAnsi="Avenir Next" w:cs="Arial"/>
          <w:color w:val="7B7B7B" w:themeColor="accent3" w:themeShade="BF"/>
          <w:sz w:val="22"/>
          <w:szCs w:val="22"/>
          <w:lang w:val="en-GB"/>
        </w:rPr>
        <w:t>stay</w:t>
      </w:r>
      <w:r w:rsidR="00C063EB">
        <w:rPr>
          <w:rFonts w:ascii="Avenir Next" w:hAnsi="Avenir Next" w:cs="Arial"/>
          <w:color w:val="7B7B7B" w:themeColor="accent3" w:themeShade="BF"/>
          <w:sz w:val="22"/>
          <w:szCs w:val="22"/>
          <w:lang w:val="en-GB"/>
        </w:rPr>
        <w:t xml:space="preserve"> of the Apex court action</w:t>
      </w:r>
      <w:r w:rsidR="004C657C">
        <w:rPr>
          <w:rFonts w:ascii="Avenir Next" w:hAnsi="Avenir Next" w:cs="Arial"/>
          <w:color w:val="7B7B7B" w:themeColor="accent3" w:themeShade="BF"/>
          <w:sz w:val="22"/>
          <w:szCs w:val="22"/>
          <w:lang w:val="en-GB"/>
        </w:rPr>
        <w:t xml:space="preserve"> under Art 21(1)(a).</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41DF30E2" w:rsidR="002D3473" w:rsidRDefault="004C657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D951D8">
        <w:rPr>
          <w:rFonts w:ascii="Avenir Next" w:hAnsi="Avenir Next" w:cs="Arial"/>
          <w:color w:val="7B7B7B" w:themeColor="accent3" w:themeShade="BF"/>
          <w:sz w:val="22"/>
          <w:szCs w:val="22"/>
          <w:lang w:val="en-GB"/>
        </w:rPr>
        <w:t>No difference.</w:t>
      </w:r>
    </w:p>
    <w:p w14:paraId="0199F6C7" w14:textId="0A9CE4D2" w:rsidR="004C657C" w:rsidRDefault="004C657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40030C6E" w14:textId="4E3A8554" w:rsidR="004C657C" w:rsidRPr="00827D56" w:rsidRDefault="004C657C"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 </w:t>
      </w:r>
      <w:r w:rsidR="00D951D8">
        <w:rPr>
          <w:rFonts w:ascii="Avenir Next" w:hAnsi="Avenir Next" w:cs="Arial"/>
          <w:color w:val="7B7B7B" w:themeColor="accent3" w:themeShade="BF"/>
          <w:sz w:val="22"/>
          <w:szCs w:val="22"/>
          <w:lang w:val="en-GB"/>
        </w:rPr>
        <w:t>The relief provided in Q4.1 would be reviewed pursuant to Art 29(b).</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 xml:space="preserve">in this scenario.  For each issue, what domestic </w:t>
      </w:r>
      <w:r w:rsidRPr="00827D56">
        <w:rPr>
          <w:rFonts w:ascii="Avenir Next" w:hAnsi="Avenir Next" w:cs="Arial"/>
          <w:sz w:val="22"/>
          <w:szCs w:val="22"/>
          <w:lang w:val="en-GB"/>
        </w:rPr>
        <w:lastRenderedPageBreak/>
        <w:t>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0FC06AA2" w:rsidR="0077498C" w:rsidRDefault="00AA2FB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Singapore. The four issues are as follows: (1) whether the representative has standing to commence insolvency proceedings in the country where the head office and/or its branches are located; (2) where he should commence the insolvency proceedings; (3) the priority and preference across creditors in the different states; and (4) rules on directors’ liability in each state that the company operates in. </w:t>
      </w:r>
    </w:p>
    <w:p w14:paraId="63C7768E" w14:textId="761C1E25" w:rsidR="00AA2FB0" w:rsidRDefault="00AA2FB0" w:rsidP="00C053F7">
      <w:pPr>
        <w:jc w:val="both"/>
        <w:rPr>
          <w:rFonts w:ascii="Avenir Next" w:hAnsi="Avenir Next" w:cs="Arial"/>
          <w:color w:val="7B7B7B" w:themeColor="accent3" w:themeShade="BF"/>
          <w:sz w:val="22"/>
          <w:szCs w:val="22"/>
          <w:lang w:val="en-GB"/>
        </w:rPr>
      </w:pPr>
    </w:p>
    <w:p w14:paraId="2FBD553F" w14:textId="5DA9B571" w:rsidR="00AA2FB0" w:rsidRPr="00D55E27" w:rsidRDefault="00AA2FB0" w:rsidP="00C053F7">
      <w:pPr>
        <w:jc w:val="both"/>
        <w:rPr>
          <w:rFonts w:ascii="Avenir Next" w:hAnsi="Avenir Next" w:cs="Arial"/>
          <w:color w:val="000000" w:themeColor="text1"/>
          <w:sz w:val="22"/>
          <w:szCs w:val="22"/>
        </w:rPr>
      </w:pPr>
      <w:r>
        <w:rPr>
          <w:rFonts w:ascii="Avenir Next" w:hAnsi="Avenir Next" w:cs="Arial"/>
          <w:color w:val="7B7B7B" w:themeColor="accent3" w:themeShade="BF"/>
          <w:sz w:val="22"/>
          <w:szCs w:val="22"/>
          <w:lang w:val="en-GB"/>
        </w:rPr>
        <w:t xml:space="preserve">It may be helpful for the insolvency representative to check which of the states have adopted UNCITRAL Model Law on Cross-Border Insolvency – but the applicability of these rules does not require reciprocity. </w:t>
      </w:r>
      <w:r w:rsidR="00D55E27">
        <w:rPr>
          <w:rFonts w:ascii="Avenir Next" w:hAnsi="Avenir Next" w:cs="Arial"/>
          <w:color w:val="7B7B7B" w:themeColor="accent3" w:themeShade="BF"/>
          <w:sz w:val="22"/>
          <w:szCs w:val="22"/>
          <w:lang w:val="en-GB"/>
        </w:rPr>
        <w:t xml:space="preserve">Other statutes which may assist include the </w:t>
      </w:r>
      <w:r w:rsidR="00D55E27" w:rsidRPr="00D55E27">
        <w:rPr>
          <w:rFonts w:ascii="Avenir Next" w:hAnsi="Avenir Next" w:cs="Arial"/>
          <w:color w:val="7B7B7B" w:themeColor="accent3" w:themeShade="BF"/>
          <w:sz w:val="22"/>
          <w:szCs w:val="22"/>
          <w:lang w:val="en-GB"/>
        </w:rPr>
        <w:t>Reciprocal Enforcement of Foreign Judgments Act 1959</w:t>
      </w:r>
      <w:r w:rsidR="00D55E27">
        <w:rPr>
          <w:rFonts w:ascii="Avenir Next" w:hAnsi="Avenir Next" w:cs="Arial"/>
          <w:color w:val="7B7B7B" w:themeColor="accent3" w:themeShade="BF"/>
          <w:sz w:val="22"/>
          <w:szCs w:val="22"/>
          <w:lang w:val="en-GB"/>
        </w:rPr>
        <w:t xml:space="preserve"> and the </w:t>
      </w:r>
      <w:r w:rsidR="00D55E27" w:rsidRPr="00D55E27">
        <w:rPr>
          <w:rFonts w:ascii="Avenir Next" w:hAnsi="Avenir Next" w:cs="Arial"/>
          <w:color w:val="7B7B7B" w:themeColor="accent3" w:themeShade="BF"/>
          <w:sz w:val="22"/>
          <w:szCs w:val="22"/>
          <w:lang w:val="en-GB"/>
        </w:rPr>
        <w:t>Reciprocal Enforcement of Commonwealth Judgments Act 1921</w:t>
      </w:r>
      <w:r w:rsidR="00D55E27">
        <w:rPr>
          <w:rFonts w:ascii="Avenir Next" w:hAnsi="Avenir Next" w:cs="Arial"/>
          <w:color w:val="7B7B7B" w:themeColor="accent3" w:themeShade="BF"/>
          <w:sz w:val="22"/>
          <w:szCs w:val="22"/>
          <w:lang w:val="en-GB"/>
        </w:rPr>
        <w:t>.</w:t>
      </w:r>
    </w:p>
    <w:p w14:paraId="35D8F287" w14:textId="77777777" w:rsidR="0077498C" w:rsidRPr="00D55E27" w:rsidRDefault="0077498C" w:rsidP="00C053F7">
      <w:pPr>
        <w:jc w:val="both"/>
        <w:rPr>
          <w:rFonts w:ascii="Avenir Next" w:hAnsi="Avenir Next" w:cs="Arial"/>
          <w:color w:val="000000" w:themeColor="text1"/>
          <w:sz w:val="22"/>
          <w:szCs w:val="22"/>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CA6E" w14:textId="77777777" w:rsidR="002B0542" w:rsidRDefault="002B0542" w:rsidP="00241B44">
      <w:r>
        <w:separator/>
      </w:r>
    </w:p>
  </w:endnote>
  <w:endnote w:type="continuationSeparator" w:id="0">
    <w:p w14:paraId="7827DDD4" w14:textId="77777777" w:rsidR="002B0542" w:rsidRDefault="002B054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FE1DF76" w:rsidR="00AD6A7D" w:rsidRPr="009634F4" w:rsidRDefault="00211A57" w:rsidP="00AD6A7D">
    <w:pPr>
      <w:pStyle w:val="Footer"/>
      <w:ind w:right="360"/>
      <w:rPr>
        <w:rFonts w:ascii="Avenir Next" w:hAnsi="Avenir Next" w:cs="Arial"/>
        <w:sz w:val="22"/>
        <w:szCs w:val="22"/>
      </w:rPr>
    </w:pPr>
    <w:r w:rsidRPr="00211A57">
      <w:rPr>
        <w:rFonts w:ascii="Avenir Next" w:hAnsi="Avenir Next" w:cs="Arial"/>
        <w:sz w:val="22"/>
        <w:szCs w:val="22"/>
      </w:rPr>
      <w:t>202223-991</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8184" w14:textId="77777777" w:rsidR="002B0542" w:rsidRDefault="002B0542" w:rsidP="00241B44">
      <w:r>
        <w:separator/>
      </w:r>
    </w:p>
  </w:footnote>
  <w:footnote w:type="continuationSeparator" w:id="0">
    <w:p w14:paraId="53978830" w14:textId="77777777" w:rsidR="002B0542" w:rsidRDefault="002B054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0556"/>
    <w:rsid w:val="00042047"/>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5DC7"/>
    <w:rsid w:val="00126A4D"/>
    <w:rsid w:val="0014622C"/>
    <w:rsid w:val="00152348"/>
    <w:rsid w:val="0015456D"/>
    <w:rsid w:val="00156254"/>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450F"/>
    <w:rsid w:val="0020725B"/>
    <w:rsid w:val="00211A57"/>
    <w:rsid w:val="00241B44"/>
    <w:rsid w:val="00245EFB"/>
    <w:rsid w:val="00253ABC"/>
    <w:rsid w:val="0026515D"/>
    <w:rsid w:val="002668D3"/>
    <w:rsid w:val="0027299F"/>
    <w:rsid w:val="00284EBE"/>
    <w:rsid w:val="00286AE6"/>
    <w:rsid w:val="0029433F"/>
    <w:rsid w:val="00294829"/>
    <w:rsid w:val="0029690F"/>
    <w:rsid w:val="002A2A60"/>
    <w:rsid w:val="002B0542"/>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58FD"/>
    <w:rsid w:val="003E67D1"/>
    <w:rsid w:val="003F5758"/>
    <w:rsid w:val="00405DC1"/>
    <w:rsid w:val="00411B48"/>
    <w:rsid w:val="00415F1F"/>
    <w:rsid w:val="0042108F"/>
    <w:rsid w:val="00430FED"/>
    <w:rsid w:val="0043427C"/>
    <w:rsid w:val="00434A8C"/>
    <w:rsid w:val="00444284"/>
    <w:rsid w:val="00445CE6"/>
    <w:rsid w:val="004534C2"/>
    <w:rsid w:val="0045683E"/>
    <w:rsid w:val="004626EF"/>
    <w:rsid w:val="00487ABC"/>
    <w:rsid w:val="004913D9"/>
    <w:rsid w:val="00491675"/>
    <w:rsid w:val="00493855"/>
    <w:rsid w:val="004A16A3"/>
    <w:rsid w:val="004A57DD"/>
    <w:rsid w:val="004A7B51"/>
    <w:rsid w:val="004A7D71"/>
    <w:rsid w:val="004A7EF3"/>
    <w:rsid w:val="004B11FD"/>
    <w:rsid w:val="004B23A2"/>
    <w:rsid w:val="004C1306"/>
    <w:rsid w:val="004C657C"/>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733D"/>
    <w:rsid w:val="00610388"/>
    <w:rsid w:val="00612CA5"/>
    <w:rsid w:val="00614DF6"/>
    <w:rsid w:val="006153EC"/>
    <w:rsid w:val="00615F1D"/>
    <w:rsid w:val="00621A17"/>
    <w:rsid w:val="00627CC9"/>
    <w:rsid w:val="00627E7B"/>
    <w:rsid w:val="00630542"/>
    <w:rsid w:val="00632E44"/>
    <w:rsid w:val="00634622"/>
    <w:rsid w:val="006357B3"/>
    <w:rsid w:val="00636110"/>
    <w:rsid w:val="00636808"/>
    <w:rsid w:val="00641515"/>
    <w:rsid w:val="00654C2F"/>
    <w:rsid w:val="00657087"/>
    <w:rsid w:val="00677AEB"/>
    <w:rsid w:val="00687A1D"/>
    <w:rsid w:val="00697EA1"/>
    <w:rsid w:val="006A2646"/>
    <w:rsid w:val="006A6530"/>
    <w:rsid w:val="006B1CA2"/>
    <w:rsid w:val="006B435A"/>
    <w:rsid w:val="006B4C64"/>
    <w:rsid w:val="006B6268"/>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11C5"/>
    <w:rsid w:val="00784128"/>
    <w:rsid w:val="00793173"/>
    <w:rsid w:val="00794BD2"/>
    <w:rsid w:val="007C1459"/>
    <w:rsid w:val="007C1FCC"/>
    <w:rsid w:val="007C35E7"/>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A671F"/>
    <w:rsid w:val="009B0723"/>
    <w:rsid w:val="009B07AD"/>
    <w:rsid w:val="009B0883"/>
    <w:rsid w:val="009B15E2"/>
    <w:rsid w:val="009C0B8E"/>
    <w:rsid w:val="009C0FED"/>
    <w:rsid w:val="009C1716"/>
    <w:rsid w:val="009C1BC8"/>
    <w:rsid w:val="009C2442"/>
    <w:rsid w:val="009D0811"/>
    <w:rsid w:val="009D0EE1"/>
    <w:rsid w:val="009E1027"/>
    <w:rsid w:val="009E2AEB"/>
    <w:rsid w:val="009E2E27"/>
    <w:rsid w:val="009E4DE3"/>
    <w:rsid w:val="00A005FC"/>
    <w:rsid w:val="00A01E20"/>
    <w:rsid w:val="00A047EE"/>
    <w:rsid w:val="00A2274A"/>
    <w:rsid w:val="00A235B7"/>
    <w:rsid w:val="00A32C9E"/>
    <w:rsid w:val="00A407EF"/>
    <w:rsid w:val="00A458BE"/>
    <w:rsid w:val="00A46B4C"/>
    <w:rsid w:val="00A5117B"/>
    <w:rsid w:val="00A54909"/>
    <w:rsid w:val="00A60074"/>
    <w:rsid w:val="00A6627C"/>
    <w:rsid w:val="00A71019"/>
    <w:rsid w:val="00A81029"/>
    <w:rsid w:val="00A83A2F"/>
    <w:rsid w:val="00A96489"/>
    <w:rsid w:val="00A97725"/>
    <w:rsid w:val="00AA2FB0"/>
    <w:rsid w:val="00AB685C"/>
    <w:rsid w:val="00AB6C2D"/>
    <w:rsid w:val="00AC3839"/>
    <w:rsid w:val="00AC7082"/>
    <w:rsid w:val="00AC7978"/>
    <w:rsid w:val="00AD6A7D"/>
    <w:rsid w:val="00AF228E"/>
    <w:rsid w:val="00B14819"/>
    <w:rsid w:val="00B17AA9"/>
    <w:rsid w:val="00B4279B"/>
    <w:rsid w:val="00B72AE1"/>
    <w:rsid w:val="00B736DF"/>
    <w:rsid w:val="00B74FBD"/>
    <w:rsid w:val="00B82586"/>
    <w:rsid w:val="00B86DB1"/>
    <w:rsid w:val="00B87869"/>
    <w:rsid w:val="00BB0F2B"/>
    <w:rsid w:val="00BB3978"/>
    <w:rsid w:val="00BF1C6F"/>
    <w:rsid w:val="00BF50F7"/>
    <w:rsid w:val="00C02F29"/>
    <w:rsid w:val="00C053F7"/>
    <w:rsid w:val="00C063EB"/>
    <w:rsid w:val="00C22A25"/>
    <w:rsid w:val="00C33C6C"/>
    <w:rsid w:val="00C35671"/>
    <w:rsid w:val="00C35B77"/>
    <w:rsid w:val="00C376EB"/>
    <w:rsid w:val="00C46247"/>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55E27"/>
    <w:rsid w:val="00D63EFD"/>
    <w:rsid w:val="00D84752"/>
    <w:rsid w:val="00D86B3B"/>
    <w:rsid w:val="00D8748A"/>
    <w:rsid w:val="00D93196"/>
    <w:rsid w:val="00D951D8"/>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4C1F"/>
    <w:rsid w:val="00E4409F"/>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135">
      <w:bodyDiv w:val="1"/>
      <w:marLeft w:val="0"/>
      <w:marRight w:val="0"/>
      <w:marTop w:val="0"/>
      <w:marBottom w:val="0"/>
      <w:divBdr>
        <w:top w:val="none" w:sz="0" w:space="0" w:color="auto"/>
        <w:left w:val="none" w:sz="0" w:space="0" w:color="auto"/>
        <w:bottom w:val="none" w:sz="0" w:space="0" w:color="auto"/>
        <w:right w:val="none" w:sz="0" w:space="0" w:color="auto"/>
      </w:divBdr>
    </w:div>
    <w:div w:id="79300454">
      <w:bodyDiv w:val="1"/>
      <w:marLeft w:val="0"/>
      <w:marRight w:val="0"/>
      <w:marTop w:val="0"/>
      <w:marBottom w:val="0"/>
      <w:divBdr>
        <w:top w:val="none" w:sz="0" w:space="0" w:color="auto"/>
        <w:left w:val="none" w:sz="0" w:space="0" w:color="auto"/>
        <w:bottom w:val="none" w:sz="0" w:space="0" w:color="auto"/>
        <w:right w:val="none" w:sz="0" w:space="0" w:color="auto"/>
      </w:divBdr>
    </w:div>
    <w:div w:id="31545344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634969">
      <w:bodyDiv w:val="1"/>
      <w:marLeft w:val="0"/>
      <w:marRight w:val="0"/>
      <w:marTop w:val="0"/>
      <w:marBottom w:val="0"/>
      <w:divBdr>
        <w:top w:val="none" w:sz="0" w:space="0" w:color="auto"/>
        <w:left w:val="none" w:sz="0" w:space="0" w:color="auto"/>
        <w:bottom w:val="none" w:sz="0" w:space="0" w:color="auto"/>
        <w:right w:val="none" w:sz="0" w:space="0" w:color="auto"/>
      </w:divBdr>
    </w:div>
    <w:div w:id="588268851">
      <w:bodyDiv w:val="1"/>
      <w:marLeft w:val="0"/>
      <w:marRight w:val="0"/>
      <w:marTop w:val="0"/>
      <w:marBottom w:val="0"/>
      <w:divBdr>
        <w:top w:val="none" w:sz="0" w:space="0" w:color="auto"/>
        <w:left w:val="none" w:sz="0" w:space="0" w:color="auto"/>
        <w:bottom w:val="none" w:sz="0" w:space="0" w:color="auto"/>
        <w:right w:val="none" w:sz="0" w:space="0" w:color="auto"/>
      </w:divBdr>
    </w:div>
    <w:div w:id="674191811">
      <w:bodyDiv w:val="1"/>
      <w:marLeft w:val="0"/>
      <w:marRight w:val="0"/>
      <w:marTop w:val="0"/>
      <w:marBottom w:val="0"/>
      <w:divBdr>
        <w:top w:val="none" w:sz="0" w:space="0" w:color="auto"/>
        <w:left w:val="none" w:sz="0" w:space="0" w:color="auto"/>
        <w:bottom w:val="none" w:sz="0" w:space="0" w:color="auto"/>
        <w:right w:val="none" w:sz="0" w:space="0" w:color="auto"/>
      </w:divBdr>
    </w:div>
    <w:div w:id="79876090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30222">
      <w:bodyDiv w:val="1"/>
      <w:marLeft w:val="0"/>
      <w:marRight w:val="0"/>
      <w:marTop w:val="0"/>
      <w:marBottom w:val="0"/>
      <w:divBdr>
        <w:top w:val="none" w:sz="0" w:space="0" w:color="auto"/>
        <w:left w:val="none" w:sz="0" w:space="0" w:color="auto"/>
        <w:bottom w:val="none" w:sz="0" w:space="0" w:color="auto"/>
        <w:right w:val="none" w:sz="0" w:space="0" w:color="auto"/>
      </w:divBdr>
    </w:div>
    <w:div w:id="1274626468">
      <w:bodyDiv w:val="1"/>
      <w:marLeft w:val="0"/>
      <w:marRight w:val="0"/>
      <w:marTop w:val="0"/>
      <w:marBottom w:val="0"/>
      <w:divBdr>
        <w:top w:val="none" w:sz="0" w:space="0" w:color="auto"/>
        <w:left w:val="none" w:sz="0" w:space="0" w:color="auto"/>
        <w:bottom w:val="none" w:sz="0" w:space="0" w:color="auto"/>
        <w:right w:val="none" w:sz="0" w:space="0" w:color="auto"/>
      </w:divBdr>
    </w:div>
    <w:div w:id="1357660547">
      <w:bodyDiv w:val="1"/>
      <w:marLeft w:val="0"/>
      <w:marRight w:val="0"/>
      <w:marTop w:val="0"/>
      <w:marBottom w:val="0"/>
      <w:divBdr>
        <w:top w:val="none" w:sz="0" w:space="0" w:color="auto"/>
        <w:left w:val="none" w:sz="0" w:space="0" w:color="auto"/>
        <w:bottom w:val="none" w:sz="0" w:space="0" w:color="auto"/>
        <w:right w:val="none" w:sz="0" w:space="0" w:color="auto"/>
      </w:divBdr>
    </w:div>
    <w:div w:id="1500270070">
      <w:bodyDiv w:val="1"/>
      <w:marLeft w:val="0"/>
      <w:marRight w:val="0"/>
      <w:marTop w:val="0"/>
      <w:marBottom w:val="0"/>
      <w:divBdr>
        <w:top w:val="none" w:sz="0" w:space="0" w:color="auto"/>
        <w:left w:val="none" w:sz="0" w:space="0" w:color="auto"/>
        <w:bottom w:val="none" w:sz="0" w:space="0" w:color="auto"/>
        <w:right w:val="none" w:sz="0" w:space="0" w:color="auto"/>
      </w:divBdr>
    </w:div>
    <w:div w:id="163374975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pearly.anghx@gmail.com</cp:lastModifiedBy>
  <cp:revision>21</cp:revision>
  <cp:lastPrinted>2019-09-04T15:45:00Z</cp:lastPrinted>
  <dcterms:created xsi:type="dcterms:W3CDTF">2022-10-14T16:06:00Z</dcterms:created>
  <dcterms:modified xsi:type="dcterms:W3CDTF">2022-10-14T19:01:00Z</dcterms:modified>
</cp:coreProperties>
</file>