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B001A5" w:rsidRDefault="00B736DF" w:rsidP="009E1027">
      <w:pPr>
        <w:pStyle w:val="ListParagraph"/>
        <w:numPr>
          <w:ilvl w:val="0"/>
          <w:numId w:val="12"/>
        </w:numPr>
        <w:ind w:left="426"/>
        <w:jc w:val="both"/>
        <w:rPr>
          <w:rFonts w:ascii="Avenir Next" w:hAnsi="Avenir Next" w:cs="Arial"/>
          <w:sz w:val="22"/>
          <w:szCs w:val="22"/>
          <w:highlight w:val="yellow"/>
          <w:lang w:val="en-GB"/>
        </w:rPr>
      </w:pPr>
      <w:r w:rsidRPr="00B001A5">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B001A5" w:rsidRDefault="00161F1B" w:rsidP="009E1027">
      <w:pPr>
        <w:pStyle w:val="ListParagraph"/>
        <w:numPr>
          <w:ilvl w:val="0"/>
          <w:numId w:val="13"/>
        </w:numPr>
        <w:ind w:left="426"/>
        <w:jc w:val="both"/>
        <w:rPr>
          <w:rFonts w:ascii="Avenir Next" w:hAnsi="Avenir Next" w:cs="Arial"/>
          <w:sz w:val="22"/>
          <w:szCs w:val="22"/>
          <w:highlight w:val="yellow"/>
          <w:lang w:val="en-GB"/>
        </w:rPr>
      </w:pPr>
      <w:r w:rsidRPr="00B001A5">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B001A5" w:rsidRDefault="009E2E27" w:rsidP="008031A7">
      <w:pPr>
        <w:pStyle w:val="ListParagraph"/>
        <w:numPr>
          <w:ilvl w:val="0"/>
          <w:numId w:val="14"/>
        </w:numPr>
        <w:ind w:left="426"/>
        <w:jc w:val="both"/>
        <w:rPr>
          <w:rFonts w:ascii="Avenir Next" w:hAnsi="Avenir Next" w:cs="Arial"/>
          <w:sz w:val="22"/>
          <w:szCs w:val="22"/>
          <w:highlight w:val="yellow"/>
          <w:lang w:val="en-GB"/>
        </w:rPr>
      </w:pPr>
      <w:r w:rsidRPr="00B001A5">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B001A5" w:rsidRDefault="009E2E27" w:rsidP="008031A7">
      <w:pPr>
        <w:pStyle w:val="ListParagraph"/>
        <w:numPr>
          <w:ilvl w:val="0"/>
          <w:numId w:val="15"/>
        </w:numPr>
        <w:ind w:left="426"/>
        <w:jc w:val="both"/>
        <w:rPr>
          <w:rFonts w:ascii="Avenir Next" w:hAnsi="Avenir Next" w:cs="Arial"/>
          <w:sz w:val="22"/>
          <w:szCs w:val="22"/>
          <w:highlight w:val="yellow"/>
          <w:lang w:val="en-GB"/>
        </w:rPr>
      </w:pPr>
      <w:r w:rsidRPr="00B001A5">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B001A5" w:rsidRDefault="00A235B7" w:rsidP="006D01C2">
      <w:pPr>
        <w:pStyle w:val="ListParagraph"/>
        <w:numPr>
          <w:ilvl w:val="0"/>
          <w:numId w:val="16"/>
        </w:numPr>
        <w:ind w:left="426"/>
        <w:jc w:val="both"/>
        <w:rPr>
          <w:rFonts w:ascii="Avenir Next" w:hAnsi="Avenir Next" w:cs="Arial"/>
          <w:sz w:val="22"/>
          <w:szCs w:val="22"/>
          <w:highlight w:val="yellow"/>
          <w:lang w:val="en-GB"/>
        </w:rPr>
      </w:pPr>
      <w:r w:rsidRPr="00B001A5">
        <w:rPr>
          <w:rFonts w:ascii="Avenir Next" w:hAnsi="Avenir Next" w:cs="Arial"/>
          <w:sz w:val="22"/>
          <w:szCs w:val="22"/>
          <w:highlight w:val="yellow"/>
          <w:lang w:val="en-GB"/>
        </w:rPr>
        <w:t>The statement</w:t>
      </w:r>
      <w:r w:rsidR="0037465A" w:rsidRPr="00B001A5">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B001A5"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B001A5">
        <w:rPr>
          <w:rFonts w:ascii="Avenir Next" w:eastAsiaTheme="minorHAnsi" w:hAnsi="Avenir Next" w:cs="Arial"/>
          <w:sz w:val="22"/>
          <w:szCs w:val="22"/>
          <w:highlight w:val="yellow"/>
          <w:lang w:val="en-GB"/>
        </w:rPr>
        <w:t>Private International Law</w:t>
      </w:r>
      <w:r w:rsidR="00991428" w:rsidRPr="00B001A5">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B001A5"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B001A5">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B001A5">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B001A5"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B001A5">
        <w:rPr>
          <w:rFonts w:ascii="Avenir Next" w:hAnsi="Avenir Next" w:cs="Arial"/>
          <w:sz w:val="22"/>
          <w:szCs w:val="22"/>
          <w:highlight w:val="yellow"/>
          <w:lang w:val="en-GB"/>
        </w:rPr>
        <w:t>Havana Convention on Private International Law (1928)</w:t>
      </w:r>
      <w:r w:rsidRPr="00B001A5">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B001A5" w:rsidRDefault="0082483F" w:rsidP="006D01C2">
      <w:pPr>
        <w:pStyle w:val="ListParagraph"/>
        <w:numPr>
          <w:ilvl w:val="0"/>
          <w:numId w:val="20"/>
        </w:numPr>
        <w:ind w:left="426"/>
        <w:jc w:val="both"/>
        <w:rPr>
          <w:rFonts w:ascii="Avenir Next" w:hAnsi="Avenir Next" w:cs="Arial"/>
          <w:sz w:val="22"/>
          <w:szCs w:val="22"/>
          <w:highlight w:val="yellow"/>
          <w:lang w:val="en-GB"/>
        </w:rPr>
      </w:pPr>
      <w:r w:rsidRPr="00B001A5">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B001A5"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B001A5">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68B296F0" w14:textId="77777777" w:rsidR="00B001A5" w:rsidRPr="00827D56" w:rsidRDefault="00B001A5" w:rsidP="00B001A5">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entails an imperfect and non-codified interplay of laws and jurisdictional principles of two or more nations in the event and circumstance of insolvency of a legal entity with cross-border and transnational repercussions.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039E27B5" w14:textId="7349F078" w:rsidR="00C82D87" w:rsidRDefault="007B4479" w:rsidP="00B001A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B001A5" w:rsidRPr="00F14312">
        <w:rPr>
          <w:rFonts w:ascii="Avenir Next" w:hAnsi="Avenir Next" w:cs="Arial"/>
          <w:color w:val="7B7B7B" w:themeColor="accent3" w:themeShade="BF"/>
          <w:sz w:val="22"/>
          <w:szCs w:val="22"/>
          <w:lang w:val="en-GB"/>
        </w:rPr>
        <w:t>Universality’ and ‘Territoriality’ in their purest form are the opposites</w:t>
      </w:r>
      <w:r>
        <w:rPr>
          <w:rFonts w:ascii="Avenir Next" w:hAnsi="Avenir Next" w:cs="Arial"/>
          <w:color w:val="7B7B7B" w:themeColor="accent3" w:themeShade="BF"/>
          <w:sz w:val="22"/>
          <w:szCs w:val="22"/>
          <w:lang w:val="en-GB"/>
        </w:rPr>
        <w:t xml:space="preserve">, </w:t>
      </w:r>
      <w:r w:rsidR="00B001A5" w:rsidRPr="00F14312">
        <w:rPr>
          <w:rFonts w:ascii="Avenir Next" w:hAnsi="Avenir Next" w:cs="Arial"/>
          <w:color w:val="7B7B7B" w:themeColor="accent3" w:themeShade="BF"/>
          <w:sz w:val="22"/>
          <w:szCs w:val="22"/>
          <w:lang w:val="en-GB"/>
        </w:rPr>
        <w:t>being</w:t>
      </w:r>
      <w:r>
        <w:rPr>
          <w:rFonts w:ascii="Avenir Next" w:hAnsi="Avenir Next" w:cs="Arial"/>
          <w:color w:val="7B7B7B" w:themeColor="accent3" w:themeShade="BF"/>
          <w:sz w:val="22"/>
          <w:szCs w:val="22"/>
          <w:lang w:val="en-GB"/>
        </w:rPr>
        <w:t xml:space="preserve"> as simple as</w:t>
      </w:r>
      <w:r w:rsidR="00B001A5" w:rsidRPr="00F14312">
        <w:rPr>
          <w:rFonts w:ascii="Avenir Next" w:hAnsi="Avenir Next" w:cs="Arial"/>
          <w:color w:val="7B7B7B" w:themeColor="accent3" w:themeShade="BF"/>
          <w:sz w:val="22"/>
          <w:szCs w:val="22"/>
          <w:lang w:val="en-GB"/>
        </w:rPr>
        <w:t xml:space="preserve"> ‘one’ vs. ‘many’ respectively. While Universality promulgates that a single insolvency proceeding is administered, mostly in the state where the corporate entity carries on its business activities or has major business interests and dealings, effectively imposing a moratorium </w:t>
      </w:r>
      <w:r>
        <w:rPr>
          <w:rFonts w:ascii="Avenir Next" w:hAnsi="Avenir Next" w:cs="Arial"/>
          <w:color w:val="7B7B7B" w:themeColor="accent3" w:themeShade="BF"/>
          <w:sz w:val="22"/>
          <w:szCs w:val="22"/>
          <w:lang w:val="en-GB"/>
        </w:rPr>
        <w:t xml:space="preserve">on </w:t>
      </w:r>
      <w:r w:rsidR="00B001A5" w:rsidRPr="00F14312">
        <w:rPr>
          <w:rFonts w:ascii="Avenir Next" w:hAnsi="Avenir Next" w:cs="Arial"/>
          <w:color w:val="7B7B7B" w:themeColor="accent3" w:themeShade="BF"/>
          <w:sz w:val="22"/>
          <w:szCs w:val="22"/>
          <w:lang w:val="en-GB"/>
        </w:rPr>
        <w:t>any enforcement action or insolvency action in any other state, Territoriality entails multiple actions and proceedings against the debtor’s entity and assets in different states where the said assets or interest and dealings may lie.</w:t>
      </w:r>
    </w:p>
    <w:p w14:paraId="7CF0EC36" w14:textId="1B06C7BF" w:rsidR="00B001A5" w:rsidRDefault="00B001A5" w:rsidP="007B4479">
      <w:pPr>
        <w:jc w:val="both"/>
        <w:rPr>
          <w:rFonts w:ascii="Avenir Next" w:hAnsi="Avenir Next" w:cs="Arial"/>
          <w:color w:val="7B7B7B" w:themeColor="accent3" w:themeShade="BF"/>
          <w:sz w:val="22"/>
          <w:szCs w:val="22"/>
          <w:lang w:val="en-GB"/>
        </w:rPr>
      </w:pPr>
      <w:r w:rsidRPr="00F14312">
        <w:rPr>
          <w:rFonts w:ascii="Avenir Next" w:hAnsi="Avenir Next" w:cs="Arial"/>
          <w:color w:val="7B7B7B" w:themeColor="accent3" w:themeShade="BF"/>
          <w:sz w:val="22"/>
          <w:szCs w:val="22"/>
          <w:lang w:val="en-GB"/>
        </w:rPr>
        <w:t>Universality has an advantage of collective participation, cost efficiency and complete control over the</w:t>
      </w:r>
      <w:r>
        <w:rPr>
          <w:rFonts w:ascii="Avenir Next" w:hAnsi="Avenir Next" w:cs="Arial"/>
          <w:color w:val="7B7B7B" w:themeColor="accent3" w:themeShade="BF"/>
          <w:sz w:val="22"/>
          <w:szCs w:val="22"/>
          <w:lang w:val="en-GB"/>
        </w:rPr>
        <w:t xml:space="preserve"> </w:t>
      </w:r>
      <w:r w:rsidRPr="00F14312">
        <w:rPr>
          <w:rFonts w:ascii="Avenir Next" w:hAnsi="Avenir Next" w:cs="Arial"/>
          <w:color w:val="7B7B7B" w:themeColor="accent3" w:themeShade="BF"/>
          <w:sz w:val="22"/>
          <w:szCs w:val="22"/>
          <w:lang w:val="en-GB"/>
        </w:rPr>
        <w:t xml:space="preserve">estate of the debtor irrespective of a cross-border nature. On the other hand Territoriality brings about comfort in an asset, territory and creditor specific approach, keeping in mind the respective national laws and domestic markets. </w:t>
      </w:r>
    </w:p>
    <w:p w14:paraId="7FAFB40B" w14:textId="7865AF34" w:rsidR="007B4479" w:rsidRPr="00F14312" w:rsidRDefault="007B4479" w:rsidP="007B4479">
      <w:pPr>
        <w:jc w:val="both"/>
        <w:rPr>
          <w:rFonts w:ascii="Avenir Next" w:hAnsi="Avenir Next" w:cs="Arial"/>
          <w:color w:val="7B7B7B" w:themeColor="accent3" w:themeShade="BF"/>
          <w:sz w:val="22"/>
          <w:szCs w:val="22"/>
          <w:lang w:val="en-GB"/>
        </w:rPr>
      </w:pPr>
      <w:r w:rsidRPr="00F14312">
        <w:rPr>
          <w:rFonts w:ascii="Avenir Next" w:hAnsi="Avenir Next" w:cs="Arial"/>
          <w:color w:val="7B7B7B" w:themeColor="accent3" w:themeShade="BF"/>
          <w:sz w:val="22"/>
          <w:szCs w:val="22"/>
          <w:lang w:val="en-GB"/>
        </w:rPr>
        <w:lastRenderedPageBreak/>
        <w:t>While Universality has been the more holistic of approaches, it has indeed been difficult in achieving this almost ‘utopic’ approach, as there is general non-coordination between states and an added risk of compete sub-ordination of local laws and principles before the laws of the state where the main insolvency proceedings are being administered. Territoriality</w:t>
      </w:r>
      <w:r w:rsidR="009A5332">
        <w:rPr>
          <w:rFonts w:ascii="Avenir Next" w:hAnsi="Avenir Next" w:cs="Arial"/>
          <w:color w:val="7B7B7B" w:themeColor="accent3" w:themeShade="BF"/>
          <w:sz w:val="22"/>
          <w:szCs w:val="22"/>
          <w:lang w:val="en-GB"/>
        </w:rPr>
        <w:t xml:space="preserve"> on the other hand</w:t>
      </w:r>
      <w:r w:rsidRPr="00F14312">
        <w:rPr>
          <w:rFonts w:ascii="Avenir Next" w:hAnsi="Avenir Next" w:cs="Arial"/>
          <w:color w:val="7B7B7B" w:themeColor="accent3" w:themeShade="BF"/>
          <w:sz w:val="22"/>
          <w:szCs w:val="22"/>
          <w:lang w:val="en-GB"/>
        </w:rPr>
        <w:t xml:space="preserve"> is a cash intensive approach, with basic aspects of confusion</w:t>
      </w:r>
      <w:r w:rsidR="009A5332">
        <w:rPr>
          <w:rFonts w:ascii="Avenir Next" w:hAnsi="Avenir Next" w:cs="Arial"/>
          <w:color w:val="7B7B7B" w:themeColor="accent3" w:themeShade="BF"/>
          <w:sz w:val="22"/>
          <w:szCs w:val="22"/>
          <w:lang w:val="en-GB"/>
        </w:rPr>
        <w:t xml:space="preserve"> and procedural delays,</w:t>
      </w:r>
      <w:r w:rsidRPr="00F14312">
        <w:rPr>
          <w:rFonts w:ascii="Avenir Next" w:hAnsi="Avenir Next" w:cs="Arial"/>
          <w:color w:val="7B7B7B" w:themeColor="accent3" w:themeShade="BF"/>
          <w:sz w:val="22"/>
          <w:szCs w:val="22"/>
          <w:lang w:val="en-GB"/>
        </w:rPr>
        <w:t xml:space="preserve"> given the various concurrent proceedings that take place, which may have different outcomes. </w:t>
      </w:r>
    </w:p>
    <w:p w14:paraId="6E29989D" w14:textId="77777777" w:rsidR="007B4479" w:rsidRPr="00F14312" w:rsidRDefault="007B4479" w:rsidP="007B4479">
      <w:pPr>
        <w:jc w:val="both"/>
        <w:rPr>
          <w:rFonts w:ascii="Avenir Next" w:hAnsi="Avenir Next" w:cs="Arial"/>
          <w:color w:val="7B7B7B" w:themeColor="accent3" w:themeShade="BF"/>
          <w:sz w:val="22"/>
          <w:szCs w:val="22"/>
          <w:lang w:val="en-GB"/>
        </w:rPr>
      </w:pPr>
    </w:p>
    <w:p w14:paraId="223752FF" w14:textId="77777777" w:rsidR="00B001A5" w:rsidRPr="00827D56" w:rsidRDefault="00B001A5" w:rsidP="00B001A5">
      <w:pPr>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0EE0AB54" w14:textId="09735744" w:rsidR="007B4479" w:rsidRPr="005F63EC" w:rsidRDefault="007B4479" w:rsidP="007B4479">
      <w:pPr>
        <w:pStyle w:val="ListParagraph"/>
        <w:numPr>
          <w:ilvl w:val="0"/>
          <w:numId w:val="23"/>
        </w:numPr>
        <w:jc w:val="both"/>
        <w:rPr>
          <w:rFonts w:ascii="Avenir Next" w:hAnsi="Avenir Next" w:cs="Arial"/>
          <w:sz w:val="22"/>
          <w:szCs w:val="22"/>
          <w:lang w:val="en-GB"/>
        </w:rPr>
      </w:pPr>
      <w:r w:rsidRPr="009A5332">
        <w:rPr>
          <w:rFonts w:ascii="Avenir Next" w:hAnsi="Avenir Next" w:cs="Arial"/>
          <w:color w:val="7B7B7B" w:themeColor="accent3" w:themeShade="BF"/>
          <w:sz w:val="22"/>
          <w:szCs w:val="22"/>
          <w:u w:val="single"/>
          <w:lang w:val="en-GB"/>
        </w:rPr>
        <w:t>Insolvency Law DIFC Law No. 1 of 2019 (‘The New Insolvency Law’):</w:t>
      </w:r>
      <w:r>
        <w:rPr>
          <w:rFonts w:ascii="Avenir Next" w:hAnsi="Avenir Next" w:cs="Arial"/>
          <w:color w:val="7B7B7B" w:themeColor="accent3" w:themeShade="BF"/>
          <w:sz w:val="22"/>
          <w:szCs w:val="22"/>
          <w:lang w:val="en-GB"/>
        </w:rPr>
        <w:t xml:space="preserve"> New concepts have been introduced by the Dubai International Financial Centre (“DIFC”) with effect from June 6, 2019, which include rehabilitation with a debtor-in-possession scheme, appointment of an administrator in cases of mismanagement and adoption of the </w:t>
      </w:r>
      <w:r w:rsidR="00A74851">
        <w:rPr>
          <w:rFonts w:ascii="Avenir Next" w:hAnsi="Avenir Next" w:cs="Arial"/>
          <w:color w:val="7B7B7B" w:themeColor="accent3" w:themeShade="BF"/>
          <w:sz w:val="22"/>
          <w:szCs w:val="22"/>
          <w:lang w:val="en-GB"/>
        </w:rPr>
        <w:t xml:space="preserve">UNCITRAL Model Law on Cross-Border Bankruptcy </w:t>
      </w:r>
      <w:r>
        <w:rPr>
          <w:rFonts w:ascii="Avenir Next" w:hAnsi="Avenir Next" w:cs="Arial"/>
          <w:color w:val="7B7B7B" w:themeColor="accent3" w:themeShade="BF"/>
          <w:sz w:val="22"/>
          <w:szCs w:val="22"/>
          <w:lang w:val="en-GB"/>
        </w:rPr>
        <w:t>to assist in cross-border situations.</w:t>
      </w:r>
    </w:p>
    <w:p w14:paraId="5C195D4D" w14:textId="53EBFAE1" w:rsidR="007B4479" w:rsidRDefault="007B4479" w:rsidP="007B4479">
      <w:pPr>
        <w:pStyle w:val="ListParagraph"/>
        <w:numPr>
          <w:ilvl w:val="0"/>
          <w:numId w:val="23"/>
        </w:numPr>
        <w:jc w:val="both"/>
        <w:rPr>
          <w:rFonts w:ascii="Avenir Next" w:hAnsi="Avenir Next" w:cs="Arial"/>
          <w:color w:val="7B7B7B" w:themeColor="accent3" w:themeShade="BF"/>
          <w:sz w:val="22"/>
          <w:szCs w:val="22"/>
          <w:lang w:val="en-GB"/>
        </w:rPr>
      </w:pPr>
      <w:r w:rsidRPr="009A5332">
        <w:rPr>
          <w:rFonts w:ascii="Avenir Next" w:hAnsi="Avenir Next" w:cs="Arial"/>
          <w:color w:val="7B7B7B" w:themeColor="accent3" w:themeShade="BF"/>
          <w:sz w:val="22"/>
          <w:szCs w:val="22"/>
          <w:u w:val="single"/>
          <w:lang w:val="en-GB"/>
        </w:rPr>
        <w:t>KSA Bankruptcy Law- Saudi Arabia</w:t>
      </w:r>
      <w:r w:rsidRPr="00B2237C">
        <w:rPr>
          <w:rFonts w:ascii="Avenir Next" w:hAnsi="Avenir Next" w:cs="Arial"/>
          <w:color w:val="7B7B7B" w:themeColor="accent3" w:themeShade="BF"/>
          <w:sz w:val="22"/>
          <w:szCs w:val="22"/>
          <w:lang w:val="en-GB"/>
        </w:rPr>
        <w:t xml:space="preserve">: The kingdom adopted a 4-part bankruptcy law in 2018 with various procedures on offer such as ‘Protective Settlement Procedure’ which aims to facilitate a settlement between the debtor and the creditor, financial restructuring which aids in rehabilitation, and two different liquidation procedures. Features such as rehabilitation, maximisation of value for stakeholders, equitable treatment of creditors have been included therein.  </w:t>
      </w:r>
    </w:p>
    <w:p w14:paraId="541D3E1F" w14:textId="77777777" w:rsidR="007B4479" w:rsidRPr="00B2237C" w:rsidRDefault="007B4479" w:rsidP="007B4479">
      <w:pPr>
        <w:pStyle w:val="ListParagraph"/>
        <w:numPr>
          <w:ilvl w:val="0"/>
          <w:numId w:val="23"/>
        </w:numPr>
        <w:jc w:val="both"/>
        <w:rPr>
          <w:rFonts w:ascii="Avenir Next" w:hAnsi="Avenir Next" w:cs="Arial"/>
          <w:color w:val="7B7B7B" w:themeColor="accent3" w:themeShade="BF"/>
          <w:sz w:val="22"/>
          <w:szCs w:val="22"/>
          <w:lang w:val="en-GB"/>
        </w:rPr>
      </w:pPr>
      <w:r w:rsidRPr="00A74851">
        <w:rPr>
          <w:rFonts w:ascii="Avenir Next" w:hAnsi="Avenir Next" w:cs="Arial"/>
          <w:color w:val="7B7B7B" w:themeColor="accent3" w:themeShade="BF"/>
          <w:sz w:val="22"/>
          <w:szCs w:val="22"/>
          <w:u w:val="single"/>
          <w:lang w:val="en-GB"/>
        </w:rPr>
        <w:t>Bahrain’s Bankruptcy Law (Decree Law 22/2018)</w:t>
      </w:r>
      <w:r>
        <w:rPr>
          <w:rFonts w:ascii="Avenir Next" w:hAnsi="Avenir Next" w:cs="Arial"/>
          <w:color w:val="7B7B7B" w:themeColor="accent3" w:themeShade="BF"/>
          <w:sz w:val="22"/>
          <w:szCs w:val="22"/>
          <w:lang w:val="en-GB"/>
        </w:rPr>
        <w:t>: The most striking feature of Bahrain’s new Bankruptcy Law which came into force on December 7,2018 was the adoption of UNCITRAL Model Law on Cross-Border Bankruptcy, which have been preserved under Title 5.</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01AC7C8A" w14:textId="77777777" w:rsidR="00A74851" w:rsidRDefault="007B4479" w:rsidP="007B4479">
      <w:pPr>
        <w:jc w:val="both"/>
        <w:rPr>
          <w:rFonts w:ascii="Avenir Next" w:hAnsi="Avenir Next" w:cs="Arial"/>
          <w:color w:val="7B7B7B" w:themeColor="accent3" w:themeShade="BF"/>
          <w:sz w:val="22"/>
          <w:szCs w:val="22"/>
          <w:lang w:val="en-GB"/>
        </w:rPr>
      </w:pPr>
      <w:r w:rsidRPr="003B4B61">
        <w:rPr>
          <w:rFonts w:ascii="Avenir Next" w:hAnsi="Avenir Next" w:cs="Arial"/>
          <w:color w:val="7B7B7B" w:themeColor="accent3" w:themeShade="BF"/>
          <w:sz w:val="22"/>
          <w:szCs w:val="22"/>
          <w:lang w:val="en-GB"/>
        </w:rPr>
        <w:t xml:space="preserve">Insolvency and/or bankruptcy process of an individual means the administration of the state of insolvency of a natural individual, while the insolvency and/or liquidation of a corporate is the process of administration of the affairs of an unnatural but a legal entity and its estate either when the value of its liabilities have exceeded </w:t>
      </w:r>
      <w:r w:rsidR="00A74851">
        <w:rPr>
          <w:rFonts w:ascii="Avenir Next" w:hAnsi="Avenir Next" w:cs="Arial"/>
          <w:color w:val="7B7B7B" w:themeColor="accent3" w:themeShade="BF"/>
          <w:sz w:val="22"/>
          <w:szCs w:val="22"/>
          <w:lang w:val="en-GB"/>
        </w:rPr>
        <w:t>the value of its assets</w:t>
      </w:r>
      <w:r w:rsidRPr="003B4B61">
        <w:rPr>
          <w:rFonts w:ascii="Avenir Next" w:hAnsi="Avenir Next" w:cs="Arial"/>
          <w:color w:val="7B7B7B" w:themeColor="accent3" w:themeShade="BF"/>
          <w:sz w:val="22"/>
          <w:szCs w:val="22"/>
          <w:lang w:val="en-GB"/>
        </w:rPr>
        <w:t xml:space="preserve"> and its unable to repay its debts. Fundamentally, the objective of an individual insolvency process is to protect the individual debtor from its creditors and offer some sort of a workable solution to the interested parties in order to give a fresh start to the debtor, hence an individual insolvency or bankruptcy process, depending on the concerned state jurisdiction, is often the last resort for a bankrupt individual, that is to seek intervention and protection of the legal machinery, barring the situations involving elements of fraud. </w:t>
      </w:r>
    </w:p>
    <w:p w14:paraId="11395024" w14:textId="77777777" w:rsidR="009A753D" w:rsidRDefault="007B4479" w:rsidP="007B4479">
      <w:pPr>
        <w:jc w:val="both"/>
        <w:rPr>
          <w:rFonts w:ascii="Avenir Next" w:hAnsi="Avenir Next" w:cs="Arial"/>
          <w:color w:val="7B7B7B" w:themeColor="accent3" w:themeShade="BF"/>
          <w:sz w:val="22"/>
          <w:szCs w:val="22"/>
          <w:lang w:val="en-GB"/>
        </w:rPr>
      </w:pPr>
      <w:r w:rsidRPr="003B4B61">
        <w:rPr>
          <w:rFonts w:ascii="Avenir Next" w:hAnsi="Avenir Next" w:cs="Arial"/>
          <w:color w:val="7B7B7B" w:themeColor="accent3" w:themeShade="BF"/>
          <w:sz w:val="22"/>
          <w:szCs w:val="22"/>
          <w:lang w:val="en-GB"/>
        </w:rPr>
        <w:t xml:space="preserve">On the other hand, the insolvency process of a corporate individual can </w:t>
      </w:r>
      <w:r w:rsidR="009A753D">
        <w:rPr>
          <w:rFonts w:ascii="Avenir Next" w:hAnsi="Avenir Next" w:cs="Arial"/>
          <w:color w:val="7B7B7B" w:themeColor="accent3" w:themeShade="BF"/>
          <w:sz w:val="22"/>
          <w:szCs w:val="22"/>
          <w:lang w:val="en-GB"/>
        </w:rPr>
        <w:t xml:space="preserve">be </w:t>
      </w:r>
      <w:r w:rsidRPr="003B4B61">
        <w:rPr>
          <w:rFonts w:ascii="Avenir Next" w:hAnsi="Avenir Next" w:cs="Arial"/>
          <w:color w:val="7B7B7B" w:themeColor="accent3" w:themeShade="BF"/>
          <w:sz w:val="22"/>
          <w:szCs w:val="22"/>
          <w:lang w:val="en-GB"/>
        </w:rPr>
        <w:t xml:space="preserve">various depending upon the choice of procedure, such as a restructuring, rehabilitation, a formal out of court debt work out, an administrative liquidation and so on. The fundamental element of a corporate insolvency may or may not be protection and preservation as the same depends on the circumstances, and facts. </w:t>
      </w:r>
    </w:p>
    <w:p w14:paraId="738692EA" w14:textId="15B24B5B" w:rsidR="007B4479" w:rsidRPr="003B4B61" w:rsidRDefault="007B4479" w:rsidP="007B4479">
      <w:pPr>
        <w:jc w:val="both"/>
        <w:rPr>
          <w:rFonts w:ascii="Avenir Next" w:hAnsi="Avenir Next" w:cs="Arial"/>
          <w:color w:val="7B7B7B" w:themeColor="accent3" w:themeShade="BF"/>
          <w:sz w:val="22"/>
          <w:szCs w:val="22"/>
          <w:lang w:val="en-GB"/>
        </w:rPr>
      </w:pPr>
      <w:r w:rsidRPr="003B4B61">
        <w:rPr>
          <w:rFonts w:ascii="Avenir Next" w:hAnsi="Avenir Next" w:cs="Arial"/>
          <w:color w:val="7B7B7B" w:themeColor="accent3" w:themeShade="BF"/>
          <w:sz w:val="22"/>
          <w:szCs w:val="22"/>
          <w:lang w:val="en-GB"/>
        </w:rPr>
        <w:t xml:space="preserve">The impact of commencement of insolvency proceedings is also quite different on a natural individual and a corporation, for instance the individual may be barred from raising any fresh debt during such a period, while on the other hand its encouraged that interim finance be provided to corporates if the need arises. Disqualifications </w:t>
      </w:r>
      <w:proofErr w:type="gramStart"/>
      <w:r w:rsidRPr="003B4B61">
        <w:rPr>
          <w:rFonts w:ascii="Avenir Next" w:hAnsi="Avenir Next" w:cs="Arial"/>
          <w:color w:val="7B7B7B" w:themeColor="accent3" w:themeShade="BF"/>
          <w:sz w:val="22"/>
          <w:szCs w:val="22"/>
          <w:lang w:val="en-GB"/>
        </w:rPr>
        <w:t>in the nature of limitations</w:t>
      </w:r>
      <w:proofErr w:type="gramEnd"/>
      <w:r w:rsidRPr="003B4B61">
        <w:rPr>
          <w:rFonts w:ascii="Avenir Next" w:hAnsi="Avenir Next" w:cs="Arial"/>
          <w:color w:val="7B7B7B" w:themeColor="accent3" w:themeShade="BF"/>
          <w:sz w:val="22"/>
          <w:szCs w:val="22"/>
          <w:lang w:val="en-GB"/>
        </w:rPr>
        <w:t xml:space="preserve"> on holding certain posts, traveling abroad etc. are almost always imposed on individual debtors, while the same may or may not be an automatic imposition on the individuals of the management of a corporate and may depend on the peculiar facts. One very distinct feature of an individual insolvency process is the concept of ‘excluded debt’, which does not exist in a corporate insolvency process. It</w:t>
      </w:r>
      <w:r w:rsidR="009A753D">
        <w:rPr>
          <w:rFonts w:ascii="Avenir Next" w:hAnsi="Avenir Next" w:cs="Arial"/>
          <w:color w:val="7B7B7B" w:themeColor="accent3" w:themeShade="BF"/>
          <w:sz w:val="22"/>
          <w:szCs w:val="22"/>
          <w:lang w:val="en-GB"/>
        </w:rPr>
        <w:t>’</w:t>
      </w:r>
      <w:r w:rsidRPr="003B4B61">
        <w:rPr>
          <w:rFonts w:ascii="Avenir Next" w:hAnsi="Avenir Next" w:cs="Arial"/>
          <w:color w:val="7B7B7B" w:themeColor="accent3" w:themeShade="BF"/>
          <w:sz w:val="22"/>
          <w:szCs w:val="22"/>
          <w:lang w:val="en-GB"/>
        </w:rPr>
        <w:t xml:space="preserve">s loosely, excluding of the </w:t>
      </w:r>
      <w:proofErr w:type="gramStart"/>
      <w:r w:rsidRPr="003B4B61">
        <w:rPr>
          <w:rFonts w:ascii="Avenir Next" w:hAnsi="Avenir Next" w:cs="Arial"/>
          <w:color w:val="7B7B7B" w:themeColor="accent3" w:themeShade="BF"/>
          <w:sz w:val="22"/>
          <w:szCs w:val="22"/>
          <w:lang w:val="en-GB"/>
        </w:rPr>
        <w:t>basic necessities</w:t>
      </w:r>
      <w:proofErr w:type="gramEnd"/>
      <w:r w:rsidRPr="003B4B61">
        <w:rPr>
          <w:rFonts w:ascii="Avenir Next" w:hAnsi="Avenir Next" w:cs="Arial"/>
          <w:color w:val="7B7B7B" w:themeColor="accent3" w:themeShade="BF"/>
          <w:sz w:val="22"/>
          <w:szCs w:val="22"/>
          <w:lang w:val="en-GB"/>
        </w:rPr>
        <w:t xml:space="preserve"> of a natural individual from the impact of the proceedings, such as a dwelling unit, household goods, customary and religious objects</w:t>
      </w:r>
      <w:r w:rsidR="009A753D">
        <w:rPr>
          <w:rFonts w:ascii="Avenir Next" w:hAnsi="Avenir Next" w:cs="Arial"/>
          <w:color w:val="7B7B7B" w:themeColor="accent3" w:themeShade="BF"/>
          <w:sz w:val="22"/>
          <w:szCs w:val="22"/>
          <w:lang w:val="en-GB"/>
        </w:rPr>
        <w:t xml:space="preserve"> etc</w:t>
      </w:r>
      <w:r w:rsidRPr="003B4B61">
        <w:rPr>
          <w:rFonts w:ascii="Avenir Next" w:hAnsi="Avenir Next" w:cs="Arial"/>
          <w:color w:val="7B7B7B" w:themeColor="accent3" w:themeShade="BF"/>
          <w:sz w:val="22"/>
          <w:szCs w:val="22"/>
          <w:lang w:val="en-GB"/>
        </w:rPr>
        <w:t xml:space="preserve">. Another characteristic of an individual insolvency is that the natural person is not as such ‘dissolved’, which dissolution is </w:t>
      </w:r>
      <w:proofErr w:type="gramStart"/>
      <w:r w:rsidRPr="003B4B61">
        <w:rPr>
          <w:rFonts w:ascii="Avenir Next" w:hAnsi="Avenir Next" w:cs="Arial"/>
          <w:color w:val="7B7B7B" w:themeColor="accent3" w:themeShade="BF"/>
          <w:sz w:val="22"/>
          <w:szCs w:val="22"/>
          <w:lang w:val="en-GB"/>
        </w:rPr>
        <w:t>the end result</w:t>
      </w:r>
      <w:proofErr w:type="gramEnd"/>
      <w:r w:rsidRPr="003B4B61">
        <w:rPr>
          <w:rFonts w:ascii="Avenir Next" w:hAnsi="Avenir Next" w:cs="Arial"/>
          <w:color w:val="7B7B7B" w:themeColor="accent3" w:themeShade="BF"/>
          <w:sz w:val="22"/>
          <w:szCs w:val="22"/>
          <w:lang w:val="en-GB"/>
        </w:rPr>
        <w:t xml:space="preserve"> of all liquidation process of a corporate. A corporate entity and its business can be re-organised or liquidated and sold in bits and pieces. The business, if any of an individual can be re-organised</w:t>
      </w:r>
      <w:r w:rsidR="009724F7">
        <w:rPr>
          <w:rFonts w:ascii="Avenir Next" w:hAnsi="Avenir Next" w:cs="Arial"/>
          <w:color w:val="7B7B7B" w:themeColor="accent3" w:themeShade="BF"/>
          <w:sz w:val="22"/>
          <w:szCs w:val="22"/>
          <w:lang w:val="en-GB"/>
        </w:rPr>
        <w:t xml:space="preserve"> but</w:t>
      </w:r>
      <w:r w:rsidRPr="003B4B61">
        <w:rPr>
          <w:rFonts w:ascii="Avenir Next" w:hAnsi="Avenir Next" w:cs="Arial"/>
          <w:color w:val="7B7B7B" w:themeColor="accent3" w:themeShade="BF"/>
          <w:sz w:val="22"/>
          <w:szCs w:val="22"/>
          <w:lang w:val="en-GB"/>
        </w:rPr>
        <w:t xml:space="preserve"> </w:t>
      </w:r>
      <w:r w:rsidR="009724F7">
        <w:rPr>
          <w:rFonts w:ascii="Avenir Next" w:hAnsi="Avenir Next" w:cs="Arial"/>
          <w:color w:val="7B7B7B" w:themeColor="accent3" w:themeShade="BF"/>
          <w:sz w:val="22"/>
          <w:szCs w:val="22"/>
          <w:lang w:val="en-GB"/>
        </w:rPr>
        <w:t>t</w:t>
      </w:r>
      <w:r w:rsidRPr="003B4B61">
        <w:rPr>
          <w:rFonts w:ascii="Avenir Next" w:hAnsi="Avenir Next" w:cs="Arial"/>
          <w:color w:val="7B7B7B" w:themeColor="accent3" w:themeShade="BF"/>
          <w:sz w:val="22"/>
          <w:szCs w:val="22"/>
          <w:lang w:val="en-GB"/>
        </w:rPr>
        <w:t>he individual cannot, however, be liquidated or sold</w:t>
      </w:r>
      <w:r w:rsidR="009724F7">
        <w:rPr>
          <w:rStyle w:val="FootnoteReference"/>
          <w:rFonts w:ascii="Avenir Next" w:hAnsi="Avenir Next" w:cs="Arial"/>
          <w:color w:val="7B7B7B" w:themeColor="accent3" w:themeShade="BF"/>
          <w:sz w:val="22"/>
          <w:szCs w:val="22"/>
          <w:lang w:val="en-GB"/>
        </w:rPr>
        <w:footnoteReference w:id="1"/>
      </w:r>
      <w:r w:rsidRPr="003B4B61">
        <w:rPr>
          <w:rFonts w:ascii="Avenir Next" w:hAnsi="Avenir Next" w:cs="Arial"/>
          <w:color w:val="7B7B7B" w:themeColor="accent3" w:themeShade="BF"/>
          <w:sz w:val="22"/>
          <w:szCs w:val="22"/>
          <w:lang w:val="en-GB"/>
        </w:rPr>
        <w:t>. Further, as individuals in bankruptcy never liquidate, there is no issue of filtering failure in personal bankruptcy</w:t>
      </w:r>
      <w:r w:rsidR="009724F7">
        <w:rPr>
          <w:rStyle w:val="FootnoteReference"/>
          <w:rFonts w:ascii="Avenir Next" w:hAnsi="Avenir Next" w:cs="Arial"/>
          <w:color w:val="7B7B7B" w:themeColor="accent3" w:themeShade="BF"/>
          <w:sz w:val="22"/>
          <w:szCs w:val="22"/>
          <w:lang w:val="en-GB"/>
        </w:rPr>
        <w:footnoteReference w:id="2"/>
      </w:r>
      <w:r w:rsidRPr="003B4B61">
        <w:rPr>
          <w:rFonts w:ascii="Avenir Next" w:hAnsi="Avenir Next" w:cs="Arial"/>
          <w:color w:val="7B7B7B" w:themeColor="accent3" w:themeShade="BF"/>
          <w:sz w:val="22"/>
          <w:szCs w:val="22"/>
          <w:lang w:val="en-GB"/>
        </w:rPr>
        <w:t>. Lastly, Insolvency of a natural person concerns an individual and his or her creditors whilst the insolvency of a corporate can impact more parties. Directors, shareholders, creditors, and employees could be impacted by a company going into liquidation and/or insolvency, whether it’s through termination of employment, recovering debt, or not successfully recovering debt</w:t>
      </w:r>
      <w:r w:rsidR="009724F7">
        <w:rPr>
          <w:rStyle w:val="FootnoteReference"/>
          <w:rFonts w:ascii="Avenir Next" w:hAnsi="Avenir Next" w:cs="Arial"/>
          <w:color w:val="7B7B7B" w:themeColor="accent3" w:themeShade="BF"/>
          <w:sz w:val="22"/>
          <w:szCs w:val="22"/>
          <w:lang w:val="en-GB"/>
        </w:rPr>
        <w:footnoteReference w:id="3"/>
      </w:r>
      <w:r w:rsidRPr="003B4B61">
        <w:rPr>
          <w:rFonts w:ascii="Avenir Next" w:hAnsi="Avenir Next" w:cs="Arial"/>
          <w:color w:val="7B7B7B" w:themeColor="accent3" w:themeShade="BF"/>
          <w:sz w:val="22"/>
          <w:szCs w:val="22"/>
          <w:lang w:val="en-GB"/>
        </w:rPr>
        <w:t xml:space="preserve">. Hence the insolvency of a corporate impacts much more people and the economy at times as well.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205725DF" w14:textId="3A7477E3" w:rsidR="007B4479" w:rsidRPr="00827D56" w:rsidRDefault="007B4479" w:rsidP="007B4479">
      <w:pPr>
        <w:jc w:val="both"/>
        <w:rPr>
          <w:rFonts w:ascii="Avenir Next" w:hAnsi="Avenir Next" w:cs="Arial"/>
          <w:sz w:val="22"/>
          <w:szCs w:val="22"/>
          <w:shd w:val="clear" w:color="auto" w:fill="FFFFFF"/>
          <w:lang w:val="en-GB"/>
        </w:rPr>
      </w:pPr>
      <w:r>
        <w:rPr>
          <w:rFonts w:ascii="Avenir Next" w:hAnsi="Avenir Next" w:cs="Arial"/>
          <w:color w:val="7B7B7B" w:themeColor="accent3" w:themeShade="BF"/>
          <w:sz w:val="22"/>
          <w:szCs w:val="22"/>
          <w:lang w:val="en-GB"/>
        </w:rPr>
        <w:t>The challenges faced in cross border insolvencies start from the foundations itself. For instances, the usage of the terms, ‘insolvency’, ‘bankruptcy’, etc. have different connotations in different jurisdictions and often entail very specific and detail</w:t>
      </w:r>
      <w:r w:rsidR="009724F7">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 xml:space="preserve"> procedures which are often set in evolution of their respective law as well as judicial precedence’s. Hence harmonisation of the aforesaid at a very nuclear level is always going to pose itself as a challenge. Secondly, respective jurisdictions have varying thresholds, for example in certain states, even an incipient stress or one default can trigger an insolvency action, while certain states,</w:t>
      </w:r>
      <w:r w:rsidR="009724F7">
        <w:rPr>
          <w:rFonts w:ascii="Avenir Next" w:hAnsi="Avenir Next" w:cs="Arial"/>
          <w:color w:val="7B7B7B" w:themeColor="accent3" w:themeShade="BF"/>
          <w:sz w:val="22"/>
          <w:szCs w:val="22"/>
          <w:lang w:val="en-GB"/>
        </w:rPr>
        <w:t xml:space="preserve"> may</w:t>
      </w:r>
      <w:r>
        <w:rPr>
          <w:rFonts w:ascii="Avenir Next" w:hAnsi="Avenir Next" w:cs="Arial"/>
          <w:color w:val="7B7B7B" w:themeColor="accent3" w:themeShade="BF"/>
          <w:sz w:val="22"/>
          <w:szCs w:val="22"/>
          <w:lang w:val="en-GB"/>
        </w:rPr>
        <w:t xml:space="preserve"> have a formal out of court debt work out</w:t>
      </w:r>
      <w:r w:rsidR="009724F7">
        <w:rPr>
          <w:rFonts w:ascii="Avenir Next" w:hAnsi="Avenir Next" w:cs="Arial"/>
          <w:color w:val="7B7B7B" w:themeColor="accent3" w:themeShade="BF"/>
          <w:sz w:val="22"/>
          <w:szCs w:val="22"/>
          <w:lang w:val="en-GB"/>
        </w:rPr>
        <w:t xml:space="preserve"> scheme</w:t>
      </w:r>
      <w:r>
        <w:rPr>
          <w:rFonts w:ascii="Avenir Next" w:hAnsi="Avenir Next" w:cs="Arial"/>
          <w:color w:val="7B7B7B" w:themeColor="accent3" w:themeShade="BF"/>
          <w:sz w:val="22"/>
          <w:szCs w:val="22"/>
          <w:lang w:val="en-GB"/>
        </w:rPr>
        <w:t xml:space="preserve"> to rehabilitate the corporate entity before any insolvency action is considered. Also, there are diametrically opposite approaches being debtor-in-possession and creditor-in-possession which vary from state to state and at times the challenges can stem from one country’s law being more advanced and mature in comparison to the other. In addition to the aforesaid, </w:t>
      </w:r>
      <w:r w:rsidRPr="000F6F76">
        <w:rPr>
          <w:rFonts w:ascii="Avenir Next" w:hAnsi="Avenir Next" w:cs="Arial"/>
          <w:color w:val="7B7B7B" w:themeColor="accent3" w:themeShade="BF"/>
          <w:sz w:val="22"/>
          <w:szCs w:val="22"/>
          <w:lang w:val="en-GB"/>
        </w:rPr>
        <w:t>where insolvency proceedings are governed by the laws of several jurisdictions, various conflicts of law issues are bound to arise</w:t>
      </w:r>
      <w:r>
        <w:rPr>
          <w:rStyle w:val="FootnoteReference"/>
        </w:rPr>
        <w:footnoteReference w:id="4"/>
      </w:r>
      <w:r>
        <w:rPr>
          <w:rFonts w:ascii="Avenir Next" w:hAnsi="Avenir Next" w:cs="Arial"/>
          <w:color w:val="7B7B7B" w:themeColor="accent3" w:themeShade="BF"/>
          <w:sz w:val="22"/>
          <w:szCs w:val="22"/>
          <w:lang w:val="en-GB"/>
        </w:rPr>
        <w:t xml:space="preserve">. Especially </w:t>
      </w:r>
      <w:proofErr w:type="gramStart"/>
      <w:r w:rsidR="0078773E">
        <w:rPr>
          <w:rFonts w:ascii="Avenir Next" w:hAnsi="Avenir Next" w:cs="Arial"/>
          <w:color w:val="7B7B7B" w:themeColor="accent3" w:themeShade="BF"/>
          <w:sz w:val="22"/>
          <w:szCs w:val="22"/>
          <w:lang w:val="en-GB"/>
        </w:rPr>
        <w:t>in regard to</w:t>
      </w:r>
      <w:proofErr w:type="gramEnd"/>
      <w:r>
        <w:rPr>
          <w:rFonts w:ascii="Avenir Next" w:hAnsi="Avenir Next" w:cs="Arial"/>
          <w:color w:val="7B7B7B" w:themeColor="accent3" w:themeShade="BF"/>
          <w:sz w:val="22"/>
          <w:szCs w:val="22"/>
          <w:lang w:val="en-GB"/>
        </w:rPr>
        <w:t xml:space="preserve"> commercial treatment of claims, laws on set-off and netting, treatment of creditors and various class of creditors, treatment of crown or state debt, waterfall or distribution mechanism, the procedure of seeking bids</w:t>
      </w:r>
      <w:r w:rsidR="00D31119">
        <w:rPr>
          <w:rFonts w:ascii="Avenir Next" w:hAnsi="Avenir Next" w:cs="Arial"/>
          <w:color w:val="7B7B7B" w:themeColor="accent3" w:themeShade="BF"/>
          <w:sz w:val="22"/>
          <w:szCs w:val="22"/>
          <w:lang w:val="en-GB"/>
        </w:rPr>
        <w:t>/resolution schemes</w:t>
      </w:r>
      <w:r>
        <w:rPr>
          <w:rFonts w:ascii="Avenir Next" w:hAnsi="Avenir Next" w:cs="Arial"/>
          <w:color w:val="7B7B7B" w:themeColor="accent3" w:themeShade="BF"/>
          <w:sz w:val="22"/>
          <w:szCs w:val="22"/>
          <w:lang w:val="en-GB"/>
        </w:rPr>
        <w:t>, terms of interim finance, workings of the committee of creditors and their influence. The challenges can also arise from local laws on recognition of foreign jurisdictions and foreign court orders and their enforcement locally specially when they are monetary and or commercial in nature. There is also an inherent difficulty as to whether a certain court ha</w:t>
      </w:r>
      <w:r w:rsidR="00D31119">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jurisdiction over foreign assets.</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1AFDAFE6" w14:textId="5D519CD6" w:rsidR="00D31119" w:rsidRPr="00B26F6D" w:rsidRDefault="00D31119" w:rsidP="00D31119">
      <w:pPr>
        <w:jc w:val="both"/>
        <w:rPr>
          <w:rFonts w:ascii="Avenir Next" w:hAnsi="Avenir Next" w:cs="Arial"/>
          <w:color w:val="7B7B7B" w:themeColor="accent3" w:themeShade="BF"/>
          <w:sz w:val="22"/>
          <w:szCs w:val="22"/>
          <w:lang w:val="en-GB"/>
        </w:rPr>
      </w:pPr>
      <w:r w:rsidRPr="00B26F6D">
        <w:rPr>
          <w:rFonts w:ascii="Avenir Next" w:hAnsi="Avenir Next" w:cs="Arial"/>
          <w:color w:val="7B7B7B" w:themeColor="accent3" w:themeShade="BF"/>
          <w:sz w:val="22"/>
          <w:szCs w:val="22"/>
          <w:lang w:val="en-GB"/>
        </w:rPr>
        <w:t>The multilateral steps taken in the 21st century</w:t>
      </w:r>
      <w:r w:rsidR="00B26F6D" w:rsidRPr="00B26F6D">
        <w:rPr>
          <w:rFonts w:ascii="Avenir Next" w:hAnsi="Avenir Next" w:cs="Arial"/>
          <w:color w:val="7B7B7B" w:themeColor="accent3" w:themeShade="BF"/>
          <w:sz w:val="22"/>
          <w:szCs w:val="22"/>
          <w:lang w:val="en-GB"/>
        </w:rPr>
        <w:t xml:space="preserve"> to promote harmonisation of domestic insolvency laws are as follows:</w:t>
      </w:r>
    </w:p>
    <w:p w14:paraId="4103D267" w14:textId="2B090DFF" w:rsidR="007B4479" w:rsidRPr="00E73878" w:rsidRDefault="007B4479" w:rsidP="007B4479">
      <w:pPr>
        <w:pStyle w:val="ListParagraph"/>
        <w:numPr>
          <w:ilvl w:val="0"/>
          <w:numId w:val="24"/>
        </w:numPr>
        <w:jc w:val="both"/>
        <w:rPr>
          <w:rFonts w:ascii="Avenir Next" w:hAnsi="Avenir Next" w:cs="Arial"/>
          <w:sz w:val="22"/>
          <w:szCs w:val="22"/>
          <w:lang w:val="en-GB"/>
        </w:rPr>
      </w:pPr>
      <w:r w:rsidRPr="00B26F6D">
        <w:rPr>
          <w:rFonts w:ascii="Avenir Next" w:hAnsi="Avenir Next" w:cs="Arial"/>
          <w:color w:val="7B7B7B" w:themeColor="accent3" w:themeShade="BF"/>
          <w:sz w:val="22"/>
          <w:szCs w:val="22"/>
          <w:u w:val="single"/>
          <w:lang w:val="en-GB"/>
        </w:rPr>
        <w:t>The UNCITRAL Legislative Guide on Insolvency Law (2004)</w:t>
      </w:r>
      <w:r w:rsidR="00B26F6D">
        <w:rPr>
          <w:rFonts w:ascii="Avenir Next" w:hAnsi="Avenir Next" w:cs="Arial"/>
          <w:color w:val="7B7B7B" w:themeColor="accent3" w:themeShade="BF"/>
          <w:sz w:val="22"/>
          <w:szCs w:val="22"/>
          <w:lang w:val="en-GB"/>
        </w:rPr>
        <w:t>: In</w:t>
      </w:r>
      <w:r w:rsidRPr="00E73878">
        <w:rPr>
          <w:rFonts w:ascii="Avenir Next" w:hAnsi="Avenir Next" w:cs="Arial"/>
          <w:color w:val="7B7B7B" w:themeColor="accent3" w:themeShade="BF"/>
          <w:sz w:val="22"/>
          <w:szCs w:val="22"/>
          <w:lang w:val="en-GB"/>
        </w:rPr>
        <w:t xml:space="preserve"> </w:t>
      </w:r>
      <w:r w:rsidR="00B26F6D" w:rsidRPr="00E73878">
        <w:rPr>
          <w:rFonts w:ascii="Avenir Next" w:hAnsi="Avenir Next" w:cs="Arial"/>
          <w:color w:val="7B7B7B" w:themeColor="accent3" w:themeShade="BF"/>
          <w:sz w:val="22"/>
          <w:szCs w:val="22"/>
          <w:lang w:val="en-GB"/>
        </w:rPr>
        <w:t>it</w:t>
      </w:r>
      <w:r w:rsidR="00B26F6D">
        <w:rPr>
          <w:rFonts w:ascii="Avenir Next" w:hAnsi="Avenir Next" w:cs="Arial"/>
          <w:color w:val="7B7B7B" w:themeColor="accent3" w:themeShade="BF"/>
          <w:sz w:val="22"/>
          <w:szCs w:val="22"/>
          <w:lang w:val="en-GB"/>
        </w:rPr>
        <w:t>s</w:t>
      </w:r>
      <w:r w:rsidRPr="00E73878">
        <w:rPr>
          <w:rFonts w:ascii="Avenir Next" w:hAnsi="Avenir Next" w:cs="Arial"/>
          <w:color w:val="7B7B7B" w:themeColor="accent3" w:themeShade="BF"/>
          <w:sz w:val="22"/>
          <w:szCs w:val="22"/>
          <w:lang w:val="en-GB"/>
        </w:rPr>
        <w:t xml:space="preserve"> purpose states that it is a comprehensive statement of key objectives and principles that should be reflected in a State’s insolvency laws</w:t>
      </w:r>
      <w:r>
        <w:rPr>
          <w:rStyle w:val="FootnoteReference"/>
          <w:rFonts w:ascii="Avenir Next" w:hAnsi="Avenir Next" w:cs="Arial"/>
          <w:color w:val="7B7B7B" w:themeColor="accent3" w:themeShade="BF"/>
          <w:sz w:val="22"/>
          <w:szCs w:val="22"/>
          <w:lang w:val="en-GB"/>
        </w:rPr>
        <w:footnoteReference w:id="5"/>
      </w:r>
      <w:r w:rsidRPr="00E73878">
        <w:rPr>
          <w:rFonts w:ascii="Avenir Next" w:hAnsi="Avenir Next" w:cs="Arial"/>
          <w:color w:val="7B7B7B" w:themeColor="accent3" w:themeShade="BF"/>
          <w:sz w:val="22"/>
          <w:szCs w:val="22"/>
          <w:lang w:val="en-GB"/>
        </w:rPr>
        <w:t>. Part</w:t>
      </w:r>
      <w:r>
        <w:rPr>
          <w:rFonts w:ascii="Avenir Next" w:hAnsi="Avenir Next" w:cs="Arial"/>
          <w:color w:val="7B7B7B" w:themeColor="accent3" w:themeShade="BF"/>
          <w:sz w:val="22"/>
          <w:szCs w:val="22"/>
          <w:lang w:val="en-GB"/>
        </w:rPr>
        <w:t xml:space="preserve"> one deals with key objectives of insolvency law, part two lists core features of an insolvency process which deals with the various stages thereof, part three deals with group insolvencies, part four focuses on the key responsibilities that should be shouldered upon the management of a corporate the moment stress is visible or anticipated while part five deals with MSME stress and insolvencies.</w:t>
      </w:r>
    </w:p>
    <w:p w14:paraId="4AAB90DC" w14:textId="4D5D405F" w:rsidR="007B4479" w:rsidRPr="00092E42" w:rsidRDefault="007B4479" w:rsidP="007B4479">
      <w:pPr>
        <w:pStyle w:val="ListParagraph"/>
        <w:numPr>
          <w:ilvl w:val="0"/>
          <w:numId w:val="24"/>
        </w:numPr>
        <w:jc w:val="both"/>
        <w:rPr>
          <w:rFonts w:ascii="Avenir Next" w:hAnsi="Avenir Next" w:cs="Arial"/>
          <w:color w:val="7B7B7B" w:themeColor="accent3" w:themeShade="BF"/>
          <w:sz w:val="22"/>
          <w:szCs w:val="22"/>
          <w:lang w:val="en-GB"/>
        </w:rPr>
      </w:pPr>
      <w:r w:rsidRPr="00092E42">
        <w:rPr>
          <w:rFonts w:ascii="Avenir Next" w:hAnsi="Avenir Next" w:cs="Arial"/>
          <w:color w:val="7B7B7B" w:themeColor="accent3" w:themeShade="BF"/>
          <w:sz w:val="22"/>
          <w:szCs w:val="22"/>
          <w:lang w:val="en-GB"/>
        </w:rPr>
        <w:t xml:space="preserve">The efforts of the </w:t>
      </w:r>
      <w:r w:rsidRPr="00B26F6D">
        <w:rPr>
          <w:rFonts w:ascii="Avenir Next" w:hAnsi="Avenir Next" w:cs="Arial"/>
          <w:color w:val="7B7B7B" w:themeColor="accent3" w:themeShade="BF"/>
          <w:sz w:val="22"/>
          <w:szCs w:val="22"/>
          <w:u w:val="single"/>
          <w:lang w:val="en-GB"/>
        </w:rPr>
        <w:t>International Bar Association in 1997</w:t>
      </w:r>
      <w:r w:rsidRPr="00092E42">
        <w:rPr>
          <w:rFonts w:ascii="Avenir Next" w:hAnsi="Avenir Next" w:cs="Arial"/>
          <w:color w:val="7B7B7B" w:themeColor="accent3" w:themeShade="BF"/>
          <w:sz w:val="22"/>
          <w:szCs w:val="22"/>
          <w:lang w:val="en-GB"/>
        </w:rPr>
        <w:t xml:space="preserve"> in drafting a model bankruptcy code which could be adopted and relied upon by states who were looking to draft or amend their insolvencies laws.</w:t>
      </w:r>
      <w:r w:rsidR="00B26F6D">
        <w:rPr>
          <w:rFonts w:ascii="Avenir Next" w:hAnsi="Avenir Next" w:cs="Arial"/>
          <w:color w:val="7B7B7B" w:themeColor="accent3" w:themeShade="BF"/>
          <w:sz w:val="22"/>
          <w:szCs w:val="22"/>
          <w:lang w:val="en-GB"/>
        </w:rPr>
        <w:t xml:space="preserve"> They are not concluded, however nevertheless it was instrumental in shaping the literature on the subject.</w:t>
      </w:r>
    </w:p>
    <w:p w14:paraId="32E120CA" w14:textId="16924979" w:rsidR="007B4479" w:rsidRPr="00092E42" w:rsidRDefault="007B4479" w:rsidP="007B4479">
      <w:pPr>
        <w:pStyle w:val="ListParagraph"/>
        <w:numPr>
          <w:ilvl w:val="0"/>
          <w:numId w:val="24"/>
        </w:numPr>
        <w:jc w:val="both"/>
        <w:rPr>
          <w:rFonts w:ascii="Avenir Next" w:hAnsi="Avenir Next" w:cs="Arial"/>
          <w:sz w:val="22"/>
          <w:szCs w:val="22"/>
          <w:lang w:val="en-GB"/>
        </w:rPr>
      </w:pPr>
      <w:r w:rsidRPr="00B26F6D">
        <w:rPr>
          <w:rFonts w:ascii="Avenir Next" w:hAnsi="Avenir Next" w:cs="Arial"/>
          <w:color w:val="7B7B7B" w:themeColor="accent3" w:themeShade="BF"/>
          <w:sz w:val="22"/>
          <w:szCs w:val="22"/>
          <w:u w:val="single"/>
          <w:lang w:val="en-GB"/>
        </w:rPr>
        <w:t>The World Bank’s ‘Principles for Effective Insolvency and Creditor / Debtor Regime</w:t>
      </w:r>
      <w:r w:rsidRPr="00092E42">
        <w:rPr>
          <w:rFonts w:ascii="Avenir Next" w:hAnsi="Avenir Next" w:cs="Arial"/>
          <w:color w:val="7B7B7B" w:themeColor="accent3" w:themeShade="BF"/>
          <w:sz w:val="22"/>
          <w:szCs w:val="22"/>
          <w:lang w:val="en-GB"/>
        </w:rPr>
        <w:t xml:space="preserve">: The </w:t>
      </w:r>
      <w:r w:rsidR="00B26F6D">
        <w:rPr>
          <w:rFonts w:ascii="Avenir Next" w:hAnsi="Avenir Next" w:cs="Arial"/>
          <w:color w:val="7B7B7B" w:themeColor="accent3" w:themeShade="BF"/>
          <w:sz w:val="22"/>
          <w:szCs w:val="22"/>
          <w:lang w:val="en-GB"/>
        </w:rPr>
        <w:t>p</w:t>
      </w:r>
      <w:r w:rsidRPr="00092E42">
        <w:rPr>
          <w:rFonts w:ascii="Avenir Next" w:hAnsi="Avenir Next" w:cs="Arial"/>
          <w:color w:val="7B7B7B" w:themeColor="accent3" w:themeShade="BF"/>
          <w:sz w:val="22"/>
          <w:szCs w:val="22"/>
          <w:lang w:val="en-GB"/>
        </w:rPr>
        <w:t>rinciples are a distillation of international best practice on design aspects of</w:t>
      </w:r>
      <w:r>
        <w:rPr>
          <w:rFonts w:ascii="Avenir Next" w:hAnsi="Avenir Next" w:cs="Arial"/>
          <w:color w:val="7B7B7B" w:themeColor="accent3" w:themeShade="BF"/>
          <w:sz w:val="22"/>
          <w:szCs w:val="22"/>
          <w:lang w:val="en-GB"/>
        </w:rPr>
        <w:t xml:space="preserve"> </w:t>
      </w:r>
      <w:r w:rsidRPr="00092E42">
        <w:rPr>
          <w:rFonts w:ascii="Avenir Next" w:hAnsi="Avenir Next" w:cs="Arial"/>
          <w:color w:val="7B7B7B" w:themeColor="accent3" w:themeShade="BF"/>
          <w:sz w:val="22"/>
          <w:szCs w:val="22"/>
          <w:lang w:val="en-GB"/>
        </w:rPr>
        <w:t xml:space="preserve">these systems, </w:t>
      </w:r>
      <w:r w:rsidRPr="00092E42">
        <w:rPr>
          <w:rFonts w:ascii="Avenir Next" w:hAnsi="Avenir Next" w:cs="Arial"/>
          <w:color w:val="7B7B7B" w:themeColor="accent3" w:themeShade="BF"/>
          <w:sz w:val="22"/>
          <w:szCs w:val="22"/>
          <w:lang w:val="en-GB"/>
        </w:rPr>
        <w:lastRenderedPageBreak/>
        <w:t>emphasizing contextual, integrated solutions and the policy choices involved in developing those solutions</w:t>
      </w:r>
      <w:r>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6"/>
      </w:r>
    </w:p>
    <w:p w14:paraId="01B3A932" w14:textId="14B2BD62" w:rsidR="007B4479" w:rsidRDefault="007B4479" w:rsidP="007B4479">
      <w:pPr>
        <w:pStyle w:val="ListParagraph"/>
        <w:numPr>
          <w:ilvl w:val="0"/>
          <w:numId w:val="24"/>
        </w:numPr>
        <w:jc w:val="both"/>
        <w:rPr>
          <w:rFonts w:ascii="Avenir Next" w:hAnsi="Avenir Next" w:cs="Arial"/>
          <w:color w:val="7B7B7B" w:themeColor="accent3" w:themeShade="BF"/>
          <w:sz w:val="22"/>
          <w:szCs w:val="22"/>
          <w:lang w:val="en-GB"/>
        </w:rPr>
      </w:pPr>
      <w:r w:rsidRPr="00B26F6D">
        <w:rPr>
          <w:rFonts w:ascii="Avenir Next" w:hAnsi="Avenir Next" w:cs="Arial"/>
          <w:color w:val="7B7B7B" w:themeColor="accent3" w:themeShade="BF"/>
          <w:sz w:val="22"/>
          <w:szCs w:val="22"/>
          <w:u w:val="single"/>
          <w:lang w:val="en-GB"/>
        </w:rPr>
        <w:t>EU’s “Harmonisation of Insolvency Law at EU Level</w:t>
      </w:r>
      <w:r w:rsidRPr="000F671D">
        <w:rPr>
          <w:rFonts w:ascii="Avenir Next" w:hAnsi="Avenir Next" w:cs="Arial"/>
          <w:color w:val="7B7B7B" w:themeColor="accent3" w:themeShade="BF"/>
          <w:sz w:val="22"/>
          <w:szCs w:val="22"/>
          <w:lang w:val="en-GB"/>
        </w:rPr>
        <w:t xml:space="preserve">”: It provides a list of problems which might occur in the absence of common rules on insolvency, such as problems related to insolvency of corporate groups, liability of shareholders being nationals of different </w:t>
      </w:r>
      <w:r w:rsidR="00B26F6D">
        <w:rPr>
          <w:rFonts w:ascii="Avenir Next" w:hAnsi="Avenir Next" w:cs="Arial"/>
          <w:color w:val="7B7B7B" w:themeColor="accent3" w:themeShade="BF"/>
          <w:sz w:val="22"/>
          <w:szCs w:val="22"/>
          <w:lang w:val="en-GB"/>
        </w:rPr>
        <w:t>m</w:t>
      </w:r>
      <w:r w:rsidRPr="000F671D">
        <w:rPr>
          <w:rFonts w:ascii="Avenir Next" w:hAnsi="Avenir Next" w:cs="Arial"/>
          <w:color w:val="7B7B7B" w:themeColor="accent3" w:themeShade="BF"/>
          <w:sz w:val="22"/>
          <w:szCs w:val="22"/>
          <w:lang w:val="en-GB"/>
        </w:rPr>
        <w:t xml:space="preserve">ember </w:t>
      </w:r>
      <w:r w:rsidR="00B26F6D">
        <w:rPr>
          <w:rFonts w:ascii="Avenir Next" w:hAnsi="Avenir Next" w:cs="Arial"/>
          <w:color w:val="7B7B7B" w:themeColor="accent3" w:themeShade="BF"/>
          <w:sz w:val="22"/>
          <w:szCs w:val="22"/>
          <w:lang w:val="en-GB"/>
        </w:rPr>
        <w:t>s</w:t>
      </w:r>
      <w:r w:rsidRPr="000F671D">
        <w:rPr>
          <w:rFonts w:ascii="Avenir Next" w:hAnsi="Avenir Next" w:cs="Arial"/>
          <w:color w:val="7B7B7B" w:themeColor="accent3" w:themeShade="BF"/>
          <w:sz w:val="22"/>
          <w:szCs w:val="22"/>
          <w:lang w:val="en-GB"/>
        </w:rPr>
        <w:t>tates, reference to national laws for the insolvency of 'Community' companies and strategic cross-border movements for insolvency purposes.</w:t>
      </w:r>
      <w:r>
        <w:rPr>
          <w:rStyle w:val="FootnoteReference"/>
          <w:rFonts w:ascii="Avenir Next" w:hAnsi="Avenir Next" w:cs="Arial"/>
          <w:color w:val="7B7B7B" w:themeColor="accent3" w:themeShade="BF"/>
          <w:sz w:val="22"/>
          <w:szCs w:val="22"/>
          <w:lang w:val="en-GB"/>
        </w:rPr>
        <w:footnoteReference w:id="7"/>
      </w:r>
    </w:p>
    <w:p w14:paraId="646EA566" w14:textId="77777777" w:rsidR="007B4479" w:rsidRDefault="007B4479" w:rsidP="007B4479">
      <w:pPr>
        <w:pStyle w:val="ListParagraph"/>
        <w:numPr>
          <w:ilvl w:val="0"/>
          <w:numId w:val="24"/>
        </w:numPr>
        <w:jc w:val="both"/>
        <w:rPr>
          <w:rFonts w:ascii="Avenir Next" w:hAnsi="Avenir Next" w:cs="Arial"/>
          <w:color w:val="7B7B7B" w:themeColor="accent3" w:themeShade="BF"/>
          <w:sz w:val="22"/>
          <w:szCs w:val="22"/>
          <w:lang w:val="en-GB"/>
        </w:rPr>
      </w:pPr>
      <w:r w:rsidRPr="00B26F6D">
        <w:rPr>
          <w:rFonts w:ascii="Avenir Next" w:hAnsi="Avenir Next" w:cs="Arial"/>
          <w:color w:val="7B7B7B" w:themeColor="accent3" w:themeShade="BF"/>
          <w:sz w:val="22"/>
          <w:szCs w:val="22"/>
          <w:u w:val="single"/>
          <w:lang w:val="en-GB"/>
        </w:rPr>
        <w:t>ICR Standard</w:t>
      </w:r>
      <w:r>
        <w:rPr>
          <w:rFonts w:ascii="Avenir Next" w:hAnsi="Avenir Next" w:cs="Arial"/>
          <w:color w:val="7B7B7B" w:themeColor="accent3" w:themeShade="BF"/>
          <w:sz w:val="22"/>
          <w:szCs w:val="22"/>
          <w:lang w:val="en-GB"/>
        </w:rPr>
        <w:t>: T</w:t>
      </w:r>
      <w:r w:rsidRPr="00A51244">
        <w:rPr>
          <w:rFonts w:ascii="Avenir Next" w:hAnsi="Avenir Next" w:cs="Arial"/>
          <w:color w:val="7B7B7B" w:themeColor="accent3" w:themeShade="BF"/>
          <w:sz w:val="22"/>
          <w:szCs w:val="22"/>
          <w:lang w:val="en-GB"/>
        </w:rPr>
        <w:t>he World Bank and the </w:t>
      </w:r>
      <w:hyperlink r:id="rId9" w:tgtFrame="_blank" w:history="1">
        <w:r w:rsidRPr="00A51244">
          <w:rPr>
            <w:rFonts w:ascii="Avenir Next" w:hAnsi="Avenir Next"/>
            <w:color w:val="7B7B7B" w:themeColor="accent3" w:themeShade="BF"/>
            <w:sz w:val="22"/>
            <w:szCs w:val="22"/>
            <w:lang w:val="en-GB"/>
          </w:rPr>
          <w:t>United Nations Commission on International Trade Law</w:t>
        </w:r>
      </w:hyperlink>
      <w:r w:rsidRPr="00A51244">
        <w:rPr>
          <w:rFonts w:ascii="Avenir Next" w:hAnsi="Avenir Next" w:cs="Arial"/>
          <w:color w:val="7B7B7B" w:themeColor="accent3" w:themeShade="BF"/>
          <w:sz w:val="22"/>
          <w:szCs w:val="22"/>
          <w:lang w:val="en-GB"/>
        </w:rPr>
        <w:t> (UNCITRAL), in consultation with the </w:t>
      </w:r>
      <w:hyperlink r:id="rId10" w:tgtFrame="_blank" w:history="1">
        <w:r w:rsidRPr="00A51244">
          <w:rPr>
            <w:rFonts w:ascii="Avenir Next" w:hAnsi="Avenir Next"/>
            <w:color w:val="7B7B7B" w:themeColor="accent3" w:themeShade="BF"/>
            <w:sz w:val="22"/>
            <w:szCs w:val="22"/>
            <w:lang w:val="en-GB"/>
          </w:rPr>
          <w:t>International Monetary Fund</w:t>
        </w:r>
      </w:hyperlink>
      <w:r w:rsidRPr="00A51244">
        <w:rPr>
          <w:rFonts w:ascii="Avenir Next" w:hAnsi="Avenir Next" w:cs="Arial"/>
          <w:color w:val="7B7B7B" w:themeColor="accent3" w:themeShade="BF"/>
          <w:sz w:val="22"/>
          <w:szCs w:val="22"/>
          <w:lang w:val="en-GB"/>
        </w:rPr>
        <w:t> (IMF), designed the </w:t>
      </w:r>
      <w:hyperlink r:id="rId11" w:tgtFrame="_blank" w:history="1">
        <w:r w:rsidRPr="00B26F6D">
          <w:rPr>
            <w:rFonts w:ascii="Avenir Next" w:hAnsi="Avenir Next"/>
            <w:color w:val="7B7B7B" w:themeColor="accent3" w:themeShade="BF"/>
            <w:sz w:val="22"/>
            <w:szCs w:val="22"/>
            <w:u w:val="single"/>
            <w:lang w:val="en-GB"/>
          </w:rPr>
          <w:t>Insolvency and Creditor Rights Standar</w:t>
        </w:r>
        <w:r w:rsidRPr="00B26F6D">
          <w:rPr>
            <w:rFonts w:ascii="Avenir Next" w:hAnsi="Avenir Next"/>
            <w:color w:val="7B7B7B" w:themeColor="accent3" w:themeShade="BF"/>
            <w:sz w:val="22"/>
            <w:szCs w:val="22"/>
            <w:u w:val="single"/>
            <w:lang w:val="en-GB"/>
          </w:rPr>
          <w:t>d</w:t>
        </w:r>
      </w:hyperlink>
      <w:r>
        <w:rPr>
          <w:rFonts w:ascii="Avenir Next" w:hAnsi="Avenir Next" w:cs="Arial"/>
          <w:color w:val="7B7B7B" w:themeColor="accent3" w:themeShade="BF"/>
          <w:sz w:val="22"/>
          <w:szCs w:val="22"/>
          <w:lang w:val="en-GB"/>
        </w:rPr>
        <w:t xml:space="preserve"> </w:t>
      </w:r>
      <w:r w:rsidRPr="00A51244">
        <w:rPr>
          <w:rFonts w:ascii="Avenir Next" w:hAnsi="Avenir Next" w:cs="Arial"/>
          <w:color w:val="7B7B7B" w:themeColor="accent3" w:themeShade="BF"/>
          <w:sz w:val="22"/>
          <w:szCs w:val="22"/>
          <w:lang w:val="en-GB"/>
        </w:rPr>
        <w:t>to represent the international consensus on best practices for evaluating and strengthening national insolvency and creditor rights systems. The ICR Standard does this by combining the World Bank </w:t>
      </w:r>
      <w:hyperlink r:id="rId12" w:tgtFrame="_blank" w:history="1">
        <w:r w:rsidRPr="00A51244">
          <w:rPr>
            <w:rFonts w:ascii="Avenir Next" w:hAnsi="Avenir Next"/>
            <w:color w:val="7B7B7B" w:themeColor="accent3" w:themeShade="BF"/>
            <w:sz w:val="22"/>
            <w:szCs w:val="22"/>
            <w:lang w:val="en-GB"/>
          </w:rPr>
          <w:t>Principles for Effective Insolvency and Creditor/Debtor Regimes</w:t>
        </w:r>
      </w:hyperlink>
      <w:r>
        <w:rPr>
          <w:rFonts w:ascii="Avenir Next" w:hAnsi="Avenir Next" w:cs="Arial"/>
          <w:color w:val="7B7B7B" w:themeColor="accent3" w:themeShade="BF"/>
          <w:sz w:val="22"/>
          <w:szCs w:val="22"/>
          <w:lang w:val="en-GB"/>
        </w:rPr>
        <w:t xml:space="preserve"> </w:t>
      </w:r>
      <w:r w:rsidRPr="00A51244">
        <w:rPr>
          <w:rFonts w:ascii="Avenir Next" w:hAnsi="Avenir Next" w:cs="Arial"/>
          <w:color w:val="7B7B7B" w:themeColor="accent3" w:themeShade="BF"/>
          <w:sz w:val="22"/>
          <w:szCs w:val="22"/>
          <w:lang w:val="en-GB"/>
        </w:rPr>
        <w:t>and the </w:t>
      </w:r>
      <w:hyperlink r:id="rId13" w:tgtFrame="_blank" w:history="1">
        <w:r w:rsidRPr="00A51244">
          <w:rPr>
            <w:rFonts w:ascii="Avenir Next" w:hAnsi="Avenir Next"/>
            <w:color w:val="7B7B7B" w:themeColor="accent3" w:themeShade="BF"/>
            <w:sz w:val="22"/>
            <w:szCs w:val="22"/>
            <w:lang w:val="en-GB"/>
          </w:rPr>
          <w:t>UNCITRAL Legislative Guide on Insolvency Law</w:t>
        </w:r>
      </w:hyperlink>
      <w:r>
        <w:rPr>
          <w:rStyle w:val="FootnoteReference"/>
          <w:rFonts w:ascii="Avenir Next" w:hAnsi="Avenir Next" w:cs="Arial"/>
          <w:color w:val="7B7B7B" w:themeColor="accent3" w:themeShade="BF"/>
          <w:sz w:val="22"/>
          <w:szCs w:val="22"/>
          <w:lang w:val="en-GB"/>
        </w:rPr>
        <w:footnoteReference w:id="8"/>
      </w:r>
      <w:r>
        <w:rPr>
          <w:rFonts w:ascii="Avenir Next" w:hAnsi="Avenir Next" w:cs="Arial"/>
          <w:color w:val="7B7B7B" w:themeColor="accent3" w:themeShade="BF"/>
          <w:sz w:val="22"/>
          <w:szCs w:val="22"/>
          <w:lang w:val="en-GB"/>
        </w:rPr>
        <w:t>.</w:t>
      </w:r>
    </w:p>
    <w:p w14:paraId="03CC29C7" w14:textId="77777777" w:rsidR="007B4479" w:rsidRDefault="007B4479" w:rsidP="007B4479">
      <w:pPr>
        <w:jc w:val="both"/>
        <w:rPr>
          <w:rFonts w:ascii="Avenir Next" w:hAnsi="Avenir Next" w:cs="Arial"/>
          <w:color w:val="7B7B7B" w:themeColor="accent3" w:themeShade="BF"/>
          <w:sz w:val="22"/>
          <w:szCs w:val="22"/>
          <w:lang w:val="en-GB"/>
        </w:rPr>
      </w:pPr>
    </w:p>
    <w:p w14:paraId="4A6B7B1A" w14:textId="2B24166F" w:rsidR="007B4479" w:rsidRDefault="007B4479" w:rsidP="00B26F6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proofErr w:type="gramStart"/>
      <w:r>
        <w:rPr>
          <w:rFonts w:ascii="Avenir Next" w:hAnsi="Avenir Next" w:cs="Arial"/>
          <w:color w:val="7B7B7B" w:themeColor="accent3" w:themeShade="BF"/>
          <w:sz w:val="22"/>
          <w:szCs w:val="22"/>
          <w:lang w:val="en-GB"/>
        </w:rPr>
        <w:t>aforementioned efforts</w:t>
      </w:r>
      <w:proofErr w:type="gramEnd"/>
      <w:r>
        <w:rPr>
          <w:rFonts w:ascii="Avenir Next" w:hAnsi="Avenir Next" w:cs="Arial"/>
          <w:color w:val="7B7B7B" w:themeColor="accent3" w:themeShade="BF"/>
          <w:sz w:val="22"/>
          <w:szCs w:val="22"/>
          <w:lang w:val="en-GB"/>
        </w:rPr>
        <w:t xml:space="preserve"> have been undeniably, greatly instrumental in addressing international insolvency issues as firstly they promote and encourage adoption of best domestic practices in home nations and member states, which is the first step towards a more mature outlook in the realm of international insolvencies. These works have made available ample and quality material to developing and under-developing nations to revamp their insolvencies laws, who inadvertently will be on the cusp of facing cross-border issues given the rampant development and globalisation. Additionally, most of the </w:t>
      </w:r>
      <w:proofErr w:type="gramStart"/>
      <w:r>
        <w:rPr>
          <w:rFonts w:ascii="Avenir Next" w:hAnsi="Avenir Next" w:cs="Arial"/>
          <w:color w:val="7B7B7B" w:themeColor="accent3" w:themeShade="BF"/>
          <w:sz w:val="22"/>
          <w:szCs w:val="22"/>
          <w:lang w:val="en-GB"/>
        </w:rPr>
        <w:t>aforementioned works</w:t>
      </w:r>
      <w:proofErr w:type="gramEnd"/>
      <w:r>
        <w:rPr>
          <w:rFonts w:ascii="Avenir Next" w:hAnsi="Avenir Next" w:cs="Arial"/>
          <w:color w:val="7B7B7B" w:themeColor="accent3" w:themeShade="BF"/>
          <w:sz w:val="22"/>
          <w:szCs w:val="22"/>
          <w:lang w:val="en-GB"/>
        </w:rPr>
        <w:t xml:space="preserve"> have elements which address one or the other fundamental international insolvency issue, such as methods of cooperation and coordination, multinational insolvencies, entering of and into pre-insolvency detrimental transactions, access to foreign international representatives to have access to courts and other relevant authorities, to name a few. </w:t>
      </w:r>
    </w:p>
    <w:p w14:paraId="4E83D7AF" w14:textId="7DC9C7D3" w:rsidR="00DF75F8" w:rsidRPr="00827D56" w:rsidRDefault="00DF75F8" w:rsidP="00C053F7">
      <w:pPr>
        <w:jc w:val="both"/>
        <w:rPr>
          <w:rFonts w:ascii="Avenir Next" w:hAnsi="Avenir Next" w:cs="Arial"/>
          <w:sz w:val="22"/>
          <w:szCs w:val="22"/>
          <w:lang w:val="en-GB"/>
        </w:rPr>
      </w:pP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56345D8F" w14:textId="43D755C2" w:rsidR="007B4479" w:rsidRPr="001F1355" w:rsidRDefault="007B4479" w:rsidP="007B4479">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accordance to </w:t>
      </w:r>
      <w:r w:rsidRPr="00A5019A">
        <w:rPr>
          <w:rFonts w:ascii="Avenir Next" w:hAnsi="Avenir Next" w:cs="Arial"/>
          <w:color w:val="7B7B7B" w:themeColor="accent3" w:themeShade="BF"/>
          <w:sz w:val="22"/>
          <w:szCs w:val="22"/>
          <w:lang w:val="en-GB"/>
        </w:rPr>
        <w:t>The UNCITRAL</w:t>
      </w:r>
      <w:r>
        <w:rPr>
          <w:rFonts w:ascii="Avenir Next" w:hAnsi="Avenir Next" w:cs="Arial"/>
          <w:color w:val="7B7B7B" w:themeColor="accent3" w:themeShade="BF"/>
          <w:sz w:val="22"/>
          <w:szCs w:val="22"/>
          <w:lang w:val="en-GB"/>
        </w:rPr>
        <w:t xml:space="preserve"> Model Law of Cross-border Insolvency (“Model Law”), the ‘centre of main interest’ should correspond to the place where the debtor conducts the administration of his interests on a regular basis and is therefore ascertainable by third parties</w:t>
      </w:r>
      <w:r>
        <w:rPr>
          <w:rStyle w:val="FootnoteReference"/>
          <w:rFonts w:ascii="Avenir Next" w:hAnsi="Avenir Next" w:cs="Arial"/>
          <w:color w:val="7B7B7B" w:themeColor="accent3" w:themeShade="BF"/>
          <w:sz w:val="22"/>
          <w:szCs w:val="22"/>
          <w:lang w:val="en-GB"/>
        </w:rPr>
        <w:footnoteReference w:id="9"/>
      </w:r>
      <w:r>
        <w:rPr>
          <w:rFonts w:ascii="Avenir Next" w:hAnsi="Avenir Next" w:cs="Arial"/>
          <w:color w:val="7B7B7B" w:themeColor="accent3" w:themeShade="BF"/>
          <w:sz w:val="22"/>
          <w:szCs w:val="22"/>
          <w:lang w:val="en-GB"/>
        </w:rPr>
        <w:t xml:space="preserve">. Hence in the case of Nadir, Utopia will be considered as its ‘centre of main interest’ as its registered in Utopia, has its head office in Utopia, and was the place where Apex supplied services to goods to Nadir. The action bought by Apex in Utopia will be considered </w:t>
      </w:r>
      <w:r w:rsidR="00B26F6D">
        <w:rPr>
          <w:rFonts w:ascii="Avenir Next" w:hAnsi="Avenir Next" w:cs="Arial"/>
          <w:color w:val="7B7B7B" w:themeColor="accent3" w:themeShade="BF"/>
          <w:sz w:val="22"/>
          <w:szCs w:val="22"/>
          <w:lang w:val="en-GB"/>
        </w:rPr>
        <w:t xml:space="preserve">as </w:t>
      </w:r>
      <w:r>
        <w:rPr>
          <w:rFonts w:ascii="Avenir Next" w:hAnsi="Avenir Next" w:cs="Arial"/>
          <w:color w:val="7B7B7B" w:themeColor="accent3" w:themeShade="BF"/>
          <w:sz w:val="22"/>
          <w:szCs w:val="22"/>
          <w:lang w:val="en-GB"/>
        </w:rPr>
        <w:t>the ‘main insolvency proceedings’, which will have a universal scope and shall encompass all of Nadir’s assets on a world-wide basis</w:t>
      </w:r>
      <w:r>
        <w:rPr>
          <w:rStyle w:val="FootnoteReference"/>
          <w:rFonts w:ascii="Avenir Next" w:hAnsi="Avenir Next" w:cs="Arial"/>
          <w:color w:val="7B7B7B" w:themeColor="accent3" w:themeShade="BF"/>
          <w:sz w:val="22"/>
          <w:szCs w:val="22"/>
          <w:lang w:val="en-GB"/>
        </w:rPr>
        <w:footnoteReference w:id="10"/>
      </w:r>
      <w:r>
        <w:rPr>
          <w:rFonts w:ascii="Avenir Next" w:hAnsi="Avenir Next" w:cs="Arial"/>
          <w:color w:val="7B7B7B" w:themeColor="accent3" w:themeShade="BF"/>
          <w:sz w:val="22"/>
          <w:szCs w:val="22"/>
          <w:lang w:val="en-GB"/>
        </w:rPr>
        <w:t>. Furthermore, ‘Erewhon’ will now only be considered an ‘establishment’</w:t>
      </w:r>
      <w:r>
        <w:rPr>
          <w:rStyle w:val="FootnoteReference"/>
          <w:rFonts w:ascii="Avenir Next" w:hAnsi="Avenir Next" w:cs="Arial"/>
          <w:color w:val="7B7B7B" w:themeColor="accent3" w:themeShade="BF"/>
          <w:sz w:val="22"/>
          <w:szCs w:val="22"/>
          <w:lang w:val="en-GB"/>
        </w:rPr>
        <w:footnoteReference w:id="11"/>
      </w:r>
      <w:r>
        <w:rPr>
          <w:rFonts w:ascii="Avenir Next" w:hAnsi="Avenir Next" w:cs="Arial"/>
          <w:color w:val="7B7B7B" w:themeColor="accent3" w:themeShade="BF"/>
          <w:sz w:val="22"/>
          <w:szCs w:val="22"/>
          <w:lang w:val="en-GB"/>
        </w:rPr>
        <w:t xml:space="preserve"> under the Model Law, and hence the winding-up order/proceedings in Erewhon will be termed as ‘foreign non-main proceedings’</w:t>
      </w:r>
      <w:r>
        <w:rPr>
          <w:rStyle w:val="FootnoteReference"/>
          <w:rFonts w:ascii="Avenir Next" w:hAnsi="Avenir Next" w:cs="Arial"/>
          <w:color w:val="7B7B7B" w:themeColor="accent3" w:themeShade="BF"/>
          <w:sz w:val="22"/>
          <w:szCs w:val="22"/>
          <w:lang w:val="en-GB"/>
        </w:rPr>
        <w:footnoteReference w:id="12"/>
      </w:r>
      <w:r>
        <w:rPr>
          <w:rFonts w:ascii="Avenir Next" w:hAnsi="Avenir Next" w:cs="Arial"/>
          <w:color w:val="7B7B7B" w:themeColor="accent3" w:themeShade="BF"/>
          <w:sz w:val="22"/>
          <w:szCs w:val="22"/>
          <w:lang w:val="en-GB"/>
        </w:rPr>
        <w:t>.</w:t>
      </w:r>
    </w:p>
    <w:p w14:paraId="31F60DCB" w14:textId="77777777" w:rsidR="007B4479" w:rsidRPr="0066431E" w:rsidRDefault="007B4479" w:rsidP="007B4479">
      <w:pPr>
        <w:pStyle w:val="ListParagraph"/>
        <w:jc w:val="both"/>
        <w:rPr>
          <w:rFonts w:ascii="Avenir Next" w:hAnsi="Avenir Next" w:cs="Arial"/>
          <w:sz w:val="22"/>
          <w:szCs w:val="22"/>
          <w:lang w:val="en-GB"/>
        </w:rPr>
      </w:pPr>
    </w:p>
    <w:p w14:paraId="477BEC3A" w14:textId="77777777" w:rsidR="007B4479" w:rsidRDefault="007B4479" w:rsidP="007B4479">
      <w:pPr>
        <w:pStyle w:val="ListParagraph"/>
        <w:jc w:val="both"/>
        <w:rPr>
          <w:rFonts w:ascii="Avenir Next" w:hAnsi="Avenir Next" w:cs="Arial"/>
          <w:color w:val="7B7B7B" w:themeColor="accent3" w:themeShade="BF"/>
          <w:sz w:val="22"/>
          <w:szCs w:val="22"/>
          <w:lang w:val="en-GB"/>
        </w:rPr>
      </w:pPr>
      <w:r w:rsidRPr="0066431E">
        <w:rPr>
          <w:rFonts w:ascii="Avenir Next" w:hAnsi="Avenir Next" w:cs="Arial"/>
          <w:color w:val="7B7B7B" w:themeColor="accent3" w:themeShade="BF"/>
          <w:sz w:val="22"/>
          <w:szCs w:val="22"/>
          <w:lang w:val="en-GB"/>
        </w:rPr>
        <w:t>Further, under the Model Law, there is no presumption with respect to determination of an ‘establishment’</w:t>
      </w:r>
      <w:r>
        <w:rPr>
          <w:rStyle w:val="FootnoteReference"/>
          <w:rFonts w:ascii="Avenir Next" w:hAnsi="Avenir Next" w:cs="Arial"/>
          <w:color w:val="7B7B7B" w:themeColor="accent3" w:themeShade="BF"/>
          <w:sz w:val="22"/>
          <w:szCs w:val="22"/>
          <w:lang w:val="en-GB"/>
        </w:rPr>
        <w:footnoteReference w:id="13"/>
      </w:r>
      <w:r w:rsidRPr="0066431E">
        <w:rPr>
          <w:rFonts w:ascii="Avenir Next" w:hAnsi="Avenir Next" w:cs="Arial"/>
          <w:color w:val="7B7B7B" w:themeColor="accent3" w:themeShade="BF"/>
          <w:sz w:val="22"/>
          <w:szCs w:val="22"/>
          <w:lang w:val="en-GB"/>
        </w:rPr>
        <w:t>. The interests and authority of a representative of a foreign non-main proceeding are typically narrower than the interests and the authority of a representative of a foreign main proceeding, who normally seeks to gain control over all assets of the insolvent debtor</w:t>
      </w:r>
      <w:r>
        <w:rPr>
          <w:rFonts w:ascii="Avenir Next" w:hAnsi="Avenir Next" w:cs="Arial"/>
          <w:color w:val="7B7B7B" w:themeColor="accent3" w:themeShade="BF"/>
          <w:sz w:val="22"/>
          <w:szCs w:val="22"/>
          <w:lang w:val="en-GB"/>
        </w:rPr>
        <w:t>. Therefore the following principles are applicable in the present matter given that the liquidator is a foreign representative of a foreign non-main proceedings, with the objective that the said non-main foreign non-main proceedings should not interfere with the administration of the main proceedings</w:t>
      </w:r>
      <w:r>
        <w:rPr>
          <w:rStyle w:val="FootnoteReference"/>
          <w:rFonts w:ascii="Avenir Next" w:hAnsi="Avenir Next" w:cs="Arial"/>
          <w:color w:val="7B7B7B" w:themeColor="accent3" w:themeShade="BF"/>
          <w:sz w:val="22"/>
          <w:szCs w:val="22"/>
          <w:lang w:val="en-GB"/>
        </w:rPr>
        <w:footnoteReference w:id="14"/>
      </w:r>
      <w:r>
        <w:rPr>
          <w:rFonts w:ascii="Avenir Next" w:hAnsi="Avenir Next" w:cs="Arial"/>
          <w:color w:val="7B7B7B" w:themeColor="accent3" w:themeShade="BF"/>
          <w:sz w:val="22"/>
          <w:szCs w:val="22"/>
          <w:lang w:val="en-GB"/>
        </w:rPr>
        <w:t>:</w:t>
      </w:r>
    </w:p>
    <w:p w14:paraId="782251D9" w14:textId="77777777" w:rsidR="007B4479" w:rsidRDefault="007B4479" w:rsidP="007B4479">
      <w:pPr>
        <w:pStyle w:val="ListParagraph"/>
        <w:jc w:val="both"/>
        <w:rPr>
          <w:rFonts w:ascii="Avenir Next" w:hAnsi="Avenir Next" w:cs="Arial"/>
          <w:color w:val="7B7B7B" w:themeColor="accent3" w:themeShade="BF"/>
          <w:sz w:val="22"/>
          <w:szCs w:val="22"/>
          <w:lang w:val="en-GB"/>
        </w:rPr>
      </w:pPr>
      <w:r w:rsidRPr="0066431E">
        <w:rPr>
          <w:rFonts w:ascii="Avenir Next" w:hAnsi="Avenir Next" w:cs="Arial"/>
          <w:color w:val="7B7B7B" w:themeColor="accent3" w:themeShade="BF"/>
          <w:sz w:val="22"/>
          <w:szCs w:val="22"/>
          <w:lang w:val="en-GB"/>
        </w:rPr>
        <w:t xml:space="preserve"> (a) that relief granted to a foreign non-main proceeding should be limited to assets that are to be administered in that non-main proceeding, and</w:t>
      </w:r>
      <w:r>
        <w:rPr>
          <w:rFonts w:ascii="Avenir Next" w:hAnsi="Avenir Next" w:cs="Arial"/>
          <w:color w:val="7B7B7B" w:themeColor="accent3" w:themeShade="BF"/>
          <w:sz w:val="22"/>
          <w:szCs w:val="22"/>
          <w:lang w:val="en-GB"/>
        </w:rPr>
        <w:t>;</w:t>
      </w:r>
    </w:p>
    <w:p w14:paraId="57AAD76F" w14:textId="77777777" w:rsidR="007B4479" w:rsidRDefault="007B4479" w:rsidP="007B4479">
      <w:pPr>
        <w:pStyle w:val="ListParagraph"/>
        <w:jc w:val="both"/>
        <w:rPr>
          <w:rFonts w:ascii="Avenir Next" w:hAnsi="Avenir Next" w:cs="Arial"/>
          <w:color w:val="7B7B7B" w:themeColor="accent3" w:themeShade="BF"/>
          <w:sz w:val="22"/>
          <w:szCs w:val="22"/>
          <w:lang w:val="en-GB"/>
        </w:rPr>
      </w:pPr>
      <w:r w:rsidRPr="0066431E">
        <w:rPr>
          <w:rFonts w:ascii="Avenir Next" w:hAnsi="Avenir Next" w:cs="Arial"/>
          <w:color w:val="7B7B7B" w:themeColor="accent3" w:themeShade="BF"/>
          <w:sz w:val="22"/>
          <w:szCs w:val="22"/>
          <w:lang w:val="en-GB"/>
        </w:rPr>
        <w:t>(b) that, if the foreign representative seeks information concerning the debtor’s assets or affairs, the relief must concern information required in that non-main proceeding</w:t>
      </w:r>
      <w:r>
        <w:rPr>
          <w:rStyle w:val="FootnoteReference"/>
          <w:rFonts w:ascii="Avenir Next" w:hAnsi="Avenir Next" w:cs="Arial"/>
          <w:color w:val="7B7B7B" w:themeColor="accent3" w:themeShade="BF"/>
          <w:sz w:val="22"/>
          <w:szCs w:val="22"/>
          <w:lang w:val="en-GB"/>
        </w:rPr>
        <w:footnoteReference w:id="15"/>
      </w:r>
      <w:r w:rsidRPr="0066431E">
        <w:rPr>
          <w:rFonts w:ascii="Avenir Next" w:hAnsi="Avenir Next" w:cs="Arial"/>
          <w:color w:val="7B7B7B" w:themeColor="accent3" w:themeShade="BF"/>
          <w:sz w:val="22"/>
          <w:szCs w:val="22"/>
          <w:lang w:val="en-GB"/>
        </w:rPr>
        <w:t>.</w:t>
      </w:r>
    </w:p>
    <w:p w14:paraId="5017A2DA" w14:textId="77777777" w:rsidR="007B4479" w:rsidRDefault="007B4479" w:rsidP="007B4479">
      <w:pPr>
        <w:pStyle w:val="ListParagraph"/>
        <w:jc w:val="both"/>
        <w:rPr>
          <w:rFonts w:ascii="Avenir Next" w:hAnsi="Avenir Next" w:cs="Arial"/>
          <w:sz w:val="22"/>
          <w:szCs w:val="22"/>
          <w:lang w:val="en-GB"/>
        </w:rPr>
      </w:pPr>
    </w:p>
    <w:p w14:paraId="3BD501D0" w14:textId="35CF63C1" w:rsidR="00827D56" w:rsidRPr="00827D56" w:rsidRDefault="007B4479" w:rsidP="007B4479">
      <w:pPr>
        <w:jc w:val="both"/>
        <w:rPr>
          <w:rFonts w:ascii="Avenir Next" w:hAnsi="Avenir Next" w:cs="Arial"/>
          <w:sz w:val="22"/>
          <w:szCs w:val="22"/>
          <w:lang w:val="en-GB"/>
        </w:rPr>
      </w:pPr>
      <w:r w:rsidRPr="001F1355">
        <w:rPr>
          <w:rFonts w:ascii="Avenir Next" w:hAnsi="Avenir Next" w:cs="Arial"/>
          <w:color w:val="7B7B7B" w:themeColor="accent3" w:themeShade="BF"/>
          <w:sz w:val="22"/>
          <w:szCs w:val="22"/>
          <w:lang w:val="en-GB"/>
        </w:rPr>
        <w:t xml:space="preserve">Hence, the above-mentioned principles should be </w:t>
      </w:r>
      <w:proofErr w:type="gramStart"/>
      <w:r w:rsidRPr="001F1355">
        <w:rPr>
          <w:rFonts w:ascii="Avenir Next" w:hAnsi="Avenir Next" w:cs="Arial"/>
          <w:color w:val="7B7B7B" w:themeColor="accent3" w:themeShade="BF"/>
          <w:sz w:val="22"/>
          <w:szCs w:val="22"/>
          <w:lang w:val="en-GB"/>
        </w:rPr>
        <w:t>taken into account</w:t>
      </w:r>
      <w:proofErr w:type="gramEnd"/>
      <w:r w:rsidRPr="001F1355">
        <w:rPr>
          <w:rFonts w:ascii="Avenir Next" w:hAnsi="Avenir Next" w:cs="Arial"/>
          <w:color w:val="7B7B7B" w:themeColor="accent3" w:themeShade="BF"/>
          <w:sz w:val="22"/>
          <w:szCs w:val="22"/>
          <w:lang w:val="en-GB"/>
        </w:rPr>
        <w:t xml:space="preserve"> by the liquidator before filing/applying for injunction or stay applications in the main insolvency proceedings in Utopia</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2F82EDF3" w14:textId="77777777" w:rsidR="007B4479" w:rsidRDefault="007B4479" w:rsidP="007B4479">
      <w:pPr>
        <w:pStyle w:val="ListParagraph"/>
        <w:numPr>
          <w:ilvl w:val="0"/>
          <w:numId w:val="26"/>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No</w:t>
      </w:r>
    </w:p>
    <w:p w14:paraId="4CEF53E6" w14:textId="77777777" w:rsidR="007B4479" w:rsidRPr="00C045ED" w:rsidRDefault="007B4479" w:rsidP="007B4479">
      <w:pPr>
        <w:pStyle w:val="ListParagraph"/>
        <w:numPr>
          <w:ilvl w:val="0"/>
          <w:numId w:val="26"/>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No</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679AFA9E" w14:textId="77777777" w:rsidR="007B4479" w:rsidRDefault="007B4479" w:rsidP="007B447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country of the corporate debtor’s incorporation has been chosen as India. The country has adopted a unified legislative code governing the corporate insolvency resolution process and liquidation process of corporates, partnerships, fresh start process, insolvency and bankruptcy individuals etc. in the Insolvency &amp; Bankruptcy Code, 2016 (“IBC”). Though only certain parts of the IBC have come into force on date, it nevertheless has had a seismic shift and improvement in the insolvency law landscape in the country.</w:t>
      </w:r>
    </w:p>
    <w:p w14:paraId="3F8D5C76" w14:textId="2A06F0BA" w:rsidR="007B4479" w:rsidRDefault="007B4479" w:rsidP="007B4479">
      <w:pPr>
        <w:autoSpaceDE w:val="0"/>
        <w:autoSpaceDN w:val="0"/>
        <w:adjustRightInd w:val="0"/>
        <w:jc w:val="both"/>
        <w:rPr>
          <w:rFonts w:ascii="Avenir Next" w:hAnsi="Avenir Next" w:cs="Arial"/>
          <w:color w:val="7B7B7B" w:themeColor="accent3" w:themeShade="BF"/>
          <w:sz w:val="22"/>
          <w:szCs w:val="22"/>
          <w:lang w:val="en-GB"/>
        </w:rPr>
      </w:pPr>
      <w:r w:rsidRPr="005A1389">
        <w:rPr>
          <w:rFonts w:ascii="Avenir Next" w:hAnsi="Avenir Next" w:cs="Arial"/>
          <w:color w:val="7B7B7B" w:themeColor="accent3" w:themeShade="BF"/>
          <w:sz w:val="22"/>
          <w:szCs w:val="22"/>
          <w:lang w:val="en-GB"/>
        </w:rPr>
        <w:t xml:space="preserve">Cross-border insolvency law under the IBC is currently dealt with under Sections 234 and 235. </w:t>
      </w:r>
      <w:r>
        <w:rPr>
          <w:rFonts w:ascii="Avenir Next" w:hAnsi="Avenir Next" w:cs="Arial"/>
          <w:color w:val="7B7B7B" w:themeColor="accent3" w:themeShade="BF"/>
          <w:sz w:val="22"/>
          <w:szCs w:val="22"/>
          <w:lang w:val="en-GB"/>
        </w:rPr>
        <w:t>S</w:t>
      </w:r>
      <w:r w:rsidRPr="005A1389">
        <w:rPr>
          <w:rFonts w:ascii="Avenir Next" w:hAnsi="Avenir Next" w:cs="Arial"/>
          <w:color w:val="7B7B7B" w:themeColor="accent3" w:themeShade="BF"/>
          <w:sz w:val="22"/>
          <w:szCs w:val="22"/>
          <w:lang w:val="en-GB"/>
        </w:rPr>
        <w:t xml:space="preserve">ection 234 empowers the central government to enter into bilateral agreements with other </w:t>
      </w:r>
      <w:r>
        <w:rPr>
          <w:rFonts w:ascii="Avenir Next" w:hAnsi="Avenir Next" w:cs="Arial"/>
          <w:color w:val="7B7B7B" w:themeColor="accent3" w:themeShade="BF"/>
          <w:sz w:val="22"/>
          <w:szCs w:val="22"/>
          <w:lang w:val="en-GB"/>
        </w:rPr>
        <w:t>c</w:t>
      </w:r>
      <w:r w:rsidRPr="005A1389">
        <w:rPr>
          <w:rFonts w:ascii="Avenir Next" w:hAnsi="Avenir Next" w:cs="Arial"/>
          <w:color w:val="7B7B7B" w:themeColor="accent3" w:themeShade="BF"/>
          <w:sz w:val="22"/>
          <w:szCs w:val="22"/>
          <w:lang w:val="en-GB"/>
        </w:rPr>
        <w:t>ountries to resolves issues in international insolvency situations</w:t>
      </w:r>
      <w:r w:rsidR="00096F36">
        <w:rPr>
          <w:rFonts w:ascii="Avenir Next" w:hAnsi="Avenir Next" w:cs="Arial"/>
          <w:color w:val="7B7B7B" w:themeColor="accent3" w:themeShade="BF"/>
          <w:sz w:val="22"/>
          <w:szCs w:val="22"/>
          <w:lang w:val="en-GB"/>
        </w:rPr>
        <w:t xml:space="preserve">. </w:t>
      </w:r>
      <w:r w:rsidRPr="005A1389">
        <w:rPr>
          <w:rFonts w:ascii="Avenir Next" w:hAnsi="Avenir Next" w:cs="Arial"/>
          <w:color w:val="7B7B7B" w:themeColor="accent3" w:themeShade="BF"/>
          <w:sz w:val="22"/>
          <w:szCs w:val="22"/>
          <w:lang w:val="en-GB"/>
        </w:rPr>
        <w:t>Section 235, on application and proofs empowers the local adjudicating authority</w:t>
      </w:r>
      <w:r w:rsidR="00096F36">
        <w:rPr>
          <w:rStyle w:val="FootnoteReference"/>
          <w:rFonts w:ascii="Avenir Next" w:hAnsi="Avenir Next" w:cs="Arial"/>
          <w:color w:val="7B7B7B" w:themeColor="accent3" w:themeShade="BF"/>
          <w:sz w:val="22"/>
          <w:szCs w:val="22"/>
          <w:lang w:val="en-GB"/>
        </w:rPr>
        <w:footnoteReference w:id="16"/>
      </w:r>
      <w:r w:rsidRPr="005A1389">
        <w:rPr>
          <w:rFonts w:ascii="Avenir Next" w:hAnsi="Avenir Next" w:cs="Arial"/>
          <w:color w:val="7B7B7B" w:themeColor="accent3" w:themeShade="BF"/>
          <w:sz w:val="22"/>
          <w:szCs w:val="22"/>
          <w:lang w:val="en-GB"/>
        </w:rPr>
        <w:t xml:space="preserve"> to issue requests letter to any competent authority or court located in a foreign jurisdiction</w:t>
      </w:r>
      <w:r w:rsidR="00096F36">
        <w:rPr>
          <w:rFonts w:ascii="Avenir Next" w:hAnsi="Avenir Next" w:cs="Arial"/>
          <w:color w:val="7B7B7B" w:themeColor="accent3" w:themeShade="BF"/>
          <w:sz w:val="22"/>
          <w:szCs w:val="22"/>
          <w:lang w:val="en-GB"/>
        </w:rPr>
        <w:t xml:space="preserve"> in relation to the</w:t>
      </w:r>
      <w:r w:rsidRPr="005A1389">
        <w:rPr>
          <w:rFonts w:ascii="Avenir Next" w:hAnsi="Avenir Next" w:cs="Arial"/>
          <w:color w:val="7B7B7B" w:themeColor="accent3" w:themeShade="BF"/>
          <w:sz w:val="22"/>
          <w:szCs w:val="22"/>
          <w:lang w:val="en-GB"/>
        </w:rPr>
        <w:t xml:space="preserve"> asset of the corporate debtor with which reciprocal arrangements have been made under section 234</w:t>
      </w:r>
      <w:r>
        <w:rPr>
          <w:rFonts w:ascii="Avenir Next" w:hAnsi="Avenir Next" w:cs="Arial"/>
          <w:color w:val="7B7B7B" w:themeColor="accent3" w:themeShade="BF"/>
          <w:sz w:val="22"/>
          <w:szCs w:val="22"/>
          <w:lang w:val="en-GB"/>
        </w:rPr>
        <w:t>.</w:t>
      </w:r>
    </w:p>
    <w:p w14:paraId="2D20E546" w14:textId="77777777" w:rsidR="007B4479" w:rsidRDefault="007B4479" w:rsidP="007B4479">
      <w:pPr>
        <w:autoSpaceDE w:val="0"/>
        <w:autoSpaceDN w:val="0"/>
        <w:adjustRightInd w:val="0"/>
        <w:jc w:val="both"/>
        <w:rPr>
          <w:rFonts w:ascii="Avenir Next" w:hAnsi="Avenir Next" w:cs="Arial"/>
          <w:color w:val="7B7B7B" w:themeColor="accent3" w:themeShade="BF"/>
          <w:sz w:val="22"/>
          <w:szCs w:val="22"/>
          <w:lang w:val="en-GB"/>
        </w:rPr>
      </w:pPr>
    </w:p>
    <w:p w14:paraId="62087011" w14:textId="36D015E1" w:rsidR="007B4479" w:rsidRDefault="007B4479" w:rsidP="007B4479">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addition to the above, for Indian proceedings to be recognised abroad, the law of that country will apply. If the country has adopted the UNCITRAL Model Law, they would typically recognise the proceedings without having India adopt the Model Law, for example Singapore, the United States of America, the United Kingdom. However, countries that have not adopted the Model Law or the ones that have adopted the Model Law with modifications, may have requirement </w:t>
      </w:r>
      <w:r w:rsidR="00096F36">
        <w:rPr>
          <w:rFonts w:ascii="Avenir Next" w:hAnsi="Avenir Next" w:cs="Arial"/>
          <w:color w:val="7B7B7B" w:themeColor="accent3" w:themeShade="BF"/>
          <w:sz w:val="22"/>
          <w:szCs w:val="22"/>
          <w:lang w:val="en-GB"/>
        </w:rPr>
        <w:t>o</w:t>
      </w:r>
      <w:r>
        <w:rPr>
          <w:rFonts w:ascii="Avenir Next" w:hAnsi="Avenir Next" w:cs="Arial"/>
          <w:color w:val="7B7B7B" w:themeColor="accent3" w:themeShade="BF"/>
          <w:sz w:val="22"/>
          <w:szCs w:val="22"/>
          <w:lang w:val="en-GB"/>
        </w:rPr>
        <w:t>f reciprocity</w:t>
      </w:r>
      <w:r>
        <w:rPr>
          <w:rStyle w:val="FootnoteReference"/>
          <w:rFonts w:ascii="Avenir Next" w:hAnsi="Avenir Next" w:cs="Arial"/>
          <w:color w:val="7B7B7B" w:themeColor="accent3" w:themeShade="BF"/>
          <w:sz w:val="22"/>
          <w:szCs w:val="22"/>
          <w:lang w:val="en-GB"/>
        </w:rPr>
        <w:footnoteReference w:id="17"/>
      </w:r>
      <w:r>
        <w:rPr>
          <w:rFonts w:ascii="Avenir Next" w:hAnsi="Avenir Next" w:cs="Arial"/>
          <w:color w:val="7B7B7B" w:themeColor="accent3" w:themeShade="BF"/>
          <w:sz w:val="22"/>
          <w:szCs w:val="22"/>
          <w:lang w:val="en-GB"/>
        </w:rPr>
        <w:t>. This would mean that such other country would provide recognition, cooperation and appropriate reliefs in relation to any Indian insolvency proceedings only if certain requirements are met by the Indian domestic Law</w:t>
      </w:r>
      <w:r>
        <w:rPr>
          <w:rStyle w:val="FootnoteReference"/>
          <w:rFonts w:ascii="Avenir Next" w:hAnsi="Avenir Next" w:cs="Arial"/>
          <w:color w:val="7B7B7B" w:themeColor="accent3" w:themeShade="BF"/>
          <w:sz w:val="22"/>
          <w:szCs w:val="22"/>
          <w:lang w:val="en-GB"/>
        </w:rPr>
        <w:footnoteReference w:id="18"/>
      </w:r>
      <w:r>
        <w:rPr>
          <w:rFonts w:ascii="Avenir Next" w:hAnsi="Avenir Next" w:cs="Arial"/>
          <w:color w:val="7B7B7B" w:themeColor="accent3" w:themeShade="BF"/>
          <w:sz w:val="22"/>
          <w:szCs w:val="22"/>
          <w:lang w:val="en-GB"/>
        </w:rPr>
        <w:t>.</w:t>
      </w:r>
    </w:p>
    <w:p w14:paraId="78C01A82" w14:textId="77777777" w:rsidR="007B4479" w:rsidRDefault="007B4479" w:rsidP="007B4479">
      <w:pPr>
        <w:autoSpaceDE w:val="0"/>
        <w:autoSpaceDN w:val="0"/>
        <w:adjustRightInd w:val="0"/>
        <w:jc w:val="both"/>
        <w:rPr>
          <w:rFonts w:ascii="Avenir Next" w:hAnsi="Avenir Next" w:cs="Arial"/>
          <w:color w:val="7B7B7B" w:themeColor="accent3" w:themeShade="BF"/>
          <w:sz w:val="22"/>
          <w:szCs w:val="22"/>
          <w:lang w:val="en-GB"/>
        </w:rPr>
      </w:pPr>
    </w:p>
    <w:p w14:paraId="7CC5E15D" w14:textId="77777777" w:rsidR="007B4479" w:rsidRDefault="007B4479" w:rsidP="007B4479">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further drawbacks of the current position in relation to the aforementioned fact position are as follows</w:t>
      </w:r>
      <w:r>
        <w:rPr>
          <w:rStyle w:val="FootnoteReference"/>
          <w:rFonts w:ascii="Avenir Next" w:hAnsi="Avenir Next" w:cs="Arial"/>
          <w:color w:val="7B7B7B" w:themeColor="accent3" w:themeShade="BF"/>
          <w:sz w:val="22"/>
          <w:szCs w:val="22"/>
          <w:lang w:val="en-GB"/>
        </w:rPr>
        <w:footnoteReference w:id="19"/>
      </w:r>
      <w:r>
        <w:rPr>
          <w:rFonts w:ascii="Avenir Next" w:hAnsi="Avenir Next" w:cs="Arial"/>
          <w:color w:val="7B7B7B" w:themeColor="accent3" w:themeShade="BF"/>
          <w:sz w:val="22"/>
          <w:szCs w:val="22"/>
          <w:lang w:val="en-GB"/>
        </w:rPr>
        <w:t>:</w:t>
      </w:r>
    </w:p>
    <w:p w14:paraId="4E639B9B" w14:textId="5BACC632" w:rsidR="007B4479" w:rsidRDefault="007B4479" w:rsidP="007B4479">
      <w:pPr>
        <w:pStyle w:val="ListParagraph"/>
        <w:numPr>
          <w:ilvl w:val="0"/>
          <w:numId w:val="27"/>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Requirement of entering to bilateral agreements, which can be a very long and tedious negotiation process</w:t>
      </w:r>
      <w:r w:rsidR="00096F36">
        <w:rPr>
          <w:rFonts w:ascii="Avenir Next" w:hAnsi="Avenir Next" w:cs="Arial"/>
          <w:color w:val="7B7B7B" w:themeColor="accent3" w:themeShade="BF"/>
          <w:sz w:val="22"/>
          <w:szCs w:val="22"/>
          <w:lang w:val="en-GB"/>
        </w:rPr>
        <w:t>;</w:t>
      </w:r>
    </w:p>
    <w:p w14:paraId="5E5555A9" w14:textId="620A43B2" w:rsidR="007B4479" w:rsidRDefault="007B4479" w:rsidP="007B4479">
      <w:pPr>
        <w:pStyle w:val="ListParagraph"/>
        <w:numPr>
          <w:ilvl w:val="0"/>
          <w:numId w:val="27"/>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current fact </w:t>
      </w:r>
      <w:r w:rsidR="00096F36">
        <w:rPr>
          <w:rFonts w:ascii="Avenir Next" w:hAnsi="Avenir Next" w:cs="Arial"/>
          <w:color w:val="7B7B7B" w:themeColor="accent3" w:themeShade="BF"/>
          <w:sz w:val="22"/>
          <w:szCs w:val="22"/>
          <w:lang w:val="en-GB"/>
        </w:rPr>
        <w:t>position</w:t>
      </w:r>
      <w:r>
        <w:rPr>
          <w:rFonts w:ascii="Avenir Next" w:hAnsi="Avenir Next" w:cs="Arial"/>
          <w:color w:val="7B7B7B" w:themeColor="accent3" w:themeShade="BF"/>
          <w:sz w:val="22"/>
          <w:szCs w:val="22"/>
          <w:lang w:val="en-GB"/>
        </w:rPr>
        <w:t xml:space="preserve">, there will be procedural complexities </w:t>
      </w:r>
      <w:r w:rsidR="00096F36">
        <w:rPr>
          <w:rFonts w:ascii="Avenir Next" w:hAnsi="Avenir Next" w:cs="Arial"/>
          <w:color w:val="7B7B7B" w:themeColor="accent3" w:themeShade="BF"/>
          <w:sz w:val="22"/>
          <w:szCs w:val="22"/>
          <w:lang w:val="en-GB"/>
        </w:rPr>
        <w:t xml:space="preserve">as </w:t>
      </w:r>
      <w:r>
        <w:rPr>
          <w:rFonts w:ascii="Avenir Next" w:hAnsi="Avenir Next" w:cs="Arial"/>
          <w:color w:val="7B7B7B" w:themeColor="accent3" w:themeShade="BF"/>
          <w:sz w:val="22"/>
          <w:szCs w:val="22"/>
          <w:lang w:val="en-GB"/>
        </w:rPr>
        <w:t xml:space="preserve">multiple </w:t>
      </w:r>
      <w:r w:rsidR="00096F36">
        <w:rPr>
          <w:rFonts w:ascii="Avenir Next" w:hAnsi="Avenir Next" w:cs="Arial"/>
          <w:color w:val="7B7B7B" w:themeColor="accent3" w:themeShade="BF"/>
          <w:sz w:val="22"/>
          <w:szCs w:val="22"/>
          <w:lang w:val="en-GB"/>
        </w:rPr>
        <w:t>jurisdictions</w:t>
      </w:r>
      <w:r>
        <w:rPr>
          <w:rFonts w:ascii="Avenir Next" w:hAnsi="Avenir Next" w:cs="Arial"/>
          <w:color w:val="7B7B7B" w:themeColor="accent3" w:themeShade="BF"/>
          <w:sz w:val="22"/>
          <w:szCs w:val="22"/>
          <w:lang w:val="en-GB"/>
        </w:rPr>
        <w:t xml:space="preserve"> are involved, and bilateral agreements </w:t>
      </w:r>
      <w:r w:rsidR="00096F36">
        <w:rPr>
          <w:rFonts w:ascii="Avenir Next" w:hAnsi="Avenir Next" w:cs="Arial"/>
          <w:color w:val="7B7B7B" w:themeColor="accent3" w:themeShade="BF"/>
          <w:sz w:val="22"/>
          <w:szCs w:val="22"/>
          <w:lang w:val="en-GB"/>
        </w:rPr>
        <w:t xml:space="preserve">will </w:t>
      </w:r>
      <w:r>
        <w:rPr>
          <w:rFonts w:ascii="Avenir Next" w:hAnsi="Avenir Next" w:cs="Arial"/>
          <w:color w:val="7B7B7B" w:themeColor="accent3" w:themeShade="BF"/>
          <w:sz w:val="22"/>
          <w:szCs w:val="22"/>
          <w:lang w:val="en-GB"/>
        </w:rPr>
        <w:t>have to be invoked with each</w:t>
      </w:r>
      <w:r w:rsidR="00096F36">
        <w:rPr>
          <w:rFonts w:ascii="Avenir Next" w:hAnsi="Avenir Next" w:cs="Arial"/>
          <w:color w:val="7B7B7B" w:themeColor="accent3" w:themeShade="BF"/>
          <w:sz w:val="22"/>
          <w:szCs w:val="22"/>
          <w:lang w:val="en-GB"/>
        </w:rPr>
        <w:t>;</w:t>
      </w:r>
    </w:p>
    <w:p w14:paraId="0AC411C2" w14:textId="67A181E9" w:rsidR="007B4479" w:rsidRDefault="007B4479" w:rsidP="007B4479">
      <w:pPr>
        <w:pStyle w:val="ListParagraph"/>
        <w:numPr>
          <w:ilvl w:val="0"/>
          <w:numId w:val="27"/>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current scenario, where the assets of an Indian debtor </w:t>
      </w:r>
      <w:r w:rsidR="00096F36">
        <w:rPr>
          <w:rFonts w:ascii="Avenir Next" w:hAnsi="Avenir Next" w:cs="Arial"/>
          <w:color w:val="7B7B7B" w:themeColor="accent3" w:themeShade="BF"/>
          <w:sz w:val="22"/>
          <w:szCs w:val="22"/>
          <w:lang w:val="en-GB"/>
        </w:rPr>
        <w:t>are in</w:t>
      </w:r>
      <w:r>
        <w:rPr>
          <w:rFonts w:ascii="Avenir Next" w:hAnsi="Avenir Next" w:cs="Arial"/>
          <w:color w:val="7B7B7B" w:themeColor="accent3" w:themeShade="BF"/>
          <w:sz w:val="22"/>
          <w:szCs w:val="22"/>
          <w:lang w:val="en-GB"/>
        </w:rPr>
        <w:t xml:space="preserve"> a foreign</w:t>
      </w:r>
      <w:r w:rsidR="00096F36">
        <w:rPr>
          <w:rFonts w:ascii="Avenir Next" w:hAnsi="Avenir Next" w:cs="Arial"/>
          <w:color w:val="7B7B7B" w:themeColor="accent3" w:themeShade="BF"/>
          <w:sz w:val="22"/>
          <w:szCs w:val="22"/>
          <w:lang w:val="en-GB"/>
        </w:rPr>
        <w:t xml:space="preserve"> jurisdiction</w:t>
      </w:r>
      <w:r>
        <w:rPr>
          <w:rFonts w:ascii="Avenir Next" w:hAnsi="Avenir Next" w:cs="Arial"/>
          <w:color w:val="7B7B7B" w:themeColor="accent3" w:themeShade="BF"/>
          <w:sz w:val="22"/>
          <w:szCs w:val="22"/>
          <w:lang w:val="en-GB"/>
        </w:rPr>
        <w:t>, with which if</w:t>
      </w:r>
      <w:r w:rsidR="00096F3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for example there are no bilateral agreements, there would be no guidance on remedies available to the Indian insolvency professional/representative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avail evidence to take an</w:t>
      </w:r>
      <w:r w:rsidR="00096F36">
        <w:rPr>
          <w:rFonts w:ascii="Avenir Next" w:hAnsi="Avenir Next" w:cs="Arial"/>
          <w:color w:val="7B7B7B" w:themeColor="accent3" w:themeShade="BF"/>
          <w:sz w:val="22"/>
          <w:szCs w:val="22"/>
          <w:lang w:val="en-GB"/>
        </w:rPr>
        <w:t xml:space="preserve">y </w:t>
      </w:r>
      <w:r>
        <w:rPr>
          <w:rFonts w:ascii="Avenir Next" w:hAnsi="Avenir Next" w:cs="Arial"/>
          <w:color w:val="7B7B7B" w:themeColor="accent3" w:themeShade="BF"/>
          <w:sz w:val="22"/>
          <w:szCs w:val="22"/>
          <w:lang w:val="en-GB"/>
        </w:rPr>
        <w:t>action in relation to such assets of the debtor</w:t>
      </w:r>
      <w:r w:rsidR="00096F36">
        <w:rPr>
          <w:rFonts w:ascii="Avenir Next" w:hAnsi="Avenir Next" w:cs="Arial"/>
          <w:color w:val="7B7B7B" w:themeColor="accent3" w:themeShade="BF"/>
          <w:sz w:val="22"/>
          <w:szCs w:val="22"/>
          <w:lang w:val="en-GB"/>
        </w:rPr>
        <w:t>;</w:t>
      </w:r>
    </w:p>
    <w:p w14:paraId="1EE9FF65" w14:textId="6F379A34" w:rsidR="007B4479" w:rsidRDefault="007B4479" w:rsidP="007B4479">
      <w:pPr>
        <w:pStyle w:val="ListParagraph"/>
        <w:numPr>
          <w:ilvl w:val="0"/>
          <w:numId w:val="27"/>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Due to the lack of the required structural support, it may disincentivise a foreign creditor, who may prefer assistance and recognition of Indian proceedings in their home country</w:t>
      </w:r>
      <w:r w:rsidR="00096F36">
        <w:rPr>
          <w:rFonts w:ascii="Avenir Next" w:hAnsi="Avenir Next" w:cs="Arial"/>
          <w:color w:val="7B7B7B" w:themeColor="accent3" w:themeShade="BF"/>
          <w:sz w:val="22"/>
          <w:szCs w:val="22"/>
          <w:lang w:val="en-GB"/>
        </w:rPr>
        <w:t>;</w:t>
      </w:r>
    </w:p>
    <w:p w14:paraId="11F776D9" w14:textId="77777777" w:rsidR="007B4479" w:rsidRPr="00114C0E" w:rsidRDefault="007B4479" w:rsidP="007B4479">
      <w:pPr>
        <w:pStyle w:val="ListParagraph"/>
        <w:numPr>
          <w:ilvl w:val="0"/>
          <w:numId w:val="27"/>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current domestic laws such as the Civil Procedure Code, 1908, is not broad enough to include all orders in the realm of international insolvency laws which may make foreign orders unenforceable in India.</w:t>
      </w:r>
    </w:p>
    <w:p w14:paraId="5D971C4D" w14:textId="77777777" w:rsidR="007B4479" w:rsidRDefault="007B4479" w:rsidP="007B4479">
      <w:pPr>
        <w:autoSpaceDE w:val="0"/>
        <w:autoSpaceDN w:val="0"/>
        <w:adjustRightInd w:val="0"/>
        <w:jc w:val="both"/>
        <w:rPr>
          <w:rFonts w:ascii="Avenir Next Demi Bold" w:hAnsi="Avenir Next Demi Bold" w:cs="Arial"/>
          <w:b/>
          <w:bCs/>
          <w:sz w:val="22"/>
          <w:szCs w:val="22"/>
          <w:lang w:val="en-GB"/>
        </w:rPr>
      </w:pPr>
    </w:p>
    <w:p w14:paraId="09259C07" w14:textId="77777777" w:rsidR="007B4479" w:rsidRPr="007B4479" w:rsidRDefault="007B4479" w:rsidP="007B4479">
      <w:pPr>
        <w:autoSpaceDE w:val="0"/>
        <w:autoSpaceDN w:val="0"/>
        <w:adjustRightInd w:val="0"/>
        <w:jc w:val="both"/>
        <w:rPr>
          <w:rFonts w:ascii="Avenir Next" w:hAnsi="Avenir Next" w:cs="Arial"/>
          <w:color w:val="7B7B7B" w:themeColor="accent3" w:themeShade="BF"/>
          <w:sz w:val="22"/>
          <w:szCs w:val="22"/>
          <w:lang w:val="en-GB"/>
        </w:rPr>
      </w:pPr>
      <w:r w:rsidRPr="007B4479">
        <w:rPr>
          <w:rFonts w:ascii="Avenir Next" w:hAnsi="Avenir Next" w:cs="Arial"/>
          <w:color w:val="7B7B7B" w:themeColor="accent3" w:themeShade="BF"/>
          <w:sz w:val="22"/>
          <w:szCs w:val="22"/>
          <w:lang w:val="en-GB"/>
        </w:rPr>
        <w:t>While there are very limited domestic laws to assist the insolvency professional in relation to the assets of the debtor located abroad, other than the limited scope of Section 234 and Section 235 of the IBC, which have their own set of drawback, India can most definitely benefit from the adoption of the UNCITRAL Model Law, which will have massive positives and benefits for the Indian Insolvency laws such as ease of doing business, flexibility, protection of domestic interest, priority of domestic proceedings, empowerment of insolvency representatives, mechanism for cooperation, protection of Indian creditors, remedies in jurisdictions with reciprocity and so and so forth.</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bookmarkStart w:id="1" w:name="_GoBack"/>
      <w:bookmarkEnd w:id="1"/>
    </w:p>
    <w:sectPr w:rsidR="009B0723" w:rsidRPr="00955AF1" w:rsidSect="00DC0391">
      <w:footerReference w:type="even" r:id="rId14"/>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CDE7" w14:textId="77777777" w:rsidR="003962D0" w:rsidRDefault="003962D0" w:rsidP="00241B44">
      <w:r>
        <w:separator/>
      </w:r>
    </w:p>
  </w:endnote>
  <w:endnote w:type="continuationSeparator" w:id="0">
    <w:p w14:paraId="1532B4BE" w14:textId="77777777" w:rsidR="003962D0" w:rsidRDefault="003962D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31119" w:rsidRPr="00FC7B47" w:rsidRDefault="00D31119"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D31119" w:rsidRPr="00FC7B47" w:rsidRDefault="00D31119"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7543" w14:textId="5C9E07D0" w:rsidR="00D31119" w:rsidRDefault="00D31119">
    <w:pPr>
      <w:pStyle w:val="Footer"/>
    </w:pPr>
    <w:r>
      <w:t>202223-909.assessment1formative</w:t>
    </w:r>
  </w:p>
  <w:p w14:paraId="120BA9A5" w14:textId="28D4B207" w:rsidR="00D31119" w:rsidRPr="009634F4" w:rsidRDefault="00D31119" w:rsidP="00AD6A7D">
    <w:pPr>
      <w:pStyle w:val="Footer"/>
      <w:ind w:right="360"/>
      <w:rPr>
        <w:rFonts w:ascii="Avenir Next" w:hAnsi="Avenir Nex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FDA84" w14:textId="77777777" w:rsidR="003962D0" w:rsidRDefault="003962D0" w:rsidP="00241B44">
      <w:r>
        <w:separator/>
      </w:r>
    </w:p>
  </w:footnote>
  <w:footnote w:type="continuationSeparator" w:id="0">
    <w:p w14:paraId="681E7B95" w14:textId="77777777" w:rsidR="003962D0" w:rsidRDefault="003962D0" w:rsidP="00241B44">
      <w:r>
        <w:continuationSeparator/>
      </w:r>
    </w:p>
  </w:footnote>
  <w:footnote w:id="1">
    <w:p w14:paraId="6E4D771D" w14:textId="77777777" w:rsidR="00D31119" w:rsidRPr="007B4479" w:rsidRDefault="00D31119" w:rsidP="009724F7">
      <w:pPr>
        <w:autoSpaceDE w:val="0"/>
        <w:autoSpaceDN w:val="0"/>
        <w:adjustRightInd w:val="0"/>
        <w:jc w:val="both"/>
        <w:rPr>
          <w:szCs w:val="20"/>
        </w:rPr>
      </w:pPr>
      <w:r>
        <w:rPr>
          <w:rStyle w:val="FootnoteReference"/>
        </w:rPr>
        <w:footnoteRef/>
      </w:r>
      <w:r>
        <w:t xml:space="preserve"> </w:t>
      </w:r>
      <w:r w:rsidRPr="007B4479">
        <w:rPr>
          <w:szCs w:val="20"/>
        </w:rPr>
        <w:t xml:space="preserve">Sahoo, M.S, “Individual Insolvency: The Next Big Thing”, </w:t>
      </w:r>
    </w:p>
    <w:p w14:paraId="42CB2551" w14:textId="2CDF9191" w:rsidR="00D31119" w:rsidRPr="009724F7" w:rsidRDefault="00D31119" w:rsidP="009724F7">
      <w:pPr>
        <w:pStyle w:val="FootnoteText"/>
        <w:rPr>
          <w:lang w:val="en-IN"/>
        </w:rPr>
      </w:pPr>
      <w:r w:rsidRPr="007B4479">
        <w:t>&lt;&lt;https://www.ibbi.gov.in/uploads/resources/NewsLeter_Jan-March_2019-R.pdf &gt;&gt;, accessed 13 October 2022.</w:t>
      </w:r>
    </w:p>
  </w:footnote>
  <w:footnote w:id="2">
    <w:p w14:paraId="2B2D6118" w14:textId="77777777" w:rsidR="00D31119" w:rsidRPr="007B4479" w:rsidRDefault="00D31119" w:rsidP="009724F7">
      <w:pPr>
        <w:autoSpaceDE w:val="0"/>
        <w:autoSpaceDN w:val="0"/>
        <w:adjustRightInd w:val="0"/>
        <w:jc w:val="both"/>
        <w:rPr>
          <w:szCs w:val="20"/>
        </w:rPr>
      </w:pPr>
      <w:r>
        <w:rPr>
          <w:rStyle w:val="FootnoteReference"/>
        </w:rPr>
        <w:footnoteRef/>
      </w:r>
      <w:r>
        <w:t xml:space="preserve"> </w:t>
      </w:r>
      <w:r w:rsidRPr="007B4479">
        <w:rPr>
          <w:szCs w:val="20"/>
        </w:rPr>
        <w:t>White J, Michelle, “Corporate and Personal Bankruptcy Law:</w:t>
      </w:r>
    </w:p>
    <w:p w14:paraId="6B3DA07A" w14:textId="06F29423" w:rsidR="00D31119" w:rsidRPr="009724F7" w:rsidRDefault="00D31119" w:rsidP="009724F7">
      <w:pPr>
        <w:pStyle w:val="FootnoteText"/>
        <w:rPr>
          <w:lang w:val="en-IN"/>
        </w:rPr>
      </w:pPr>
      <w:r w:rsidRPr="007B4479">
        <w:t>Chapter II, Personal Bankruptcy”, Working Paper 17237 National Bureau of Economic Research</w:t>
      </w:r>
    </w:p>
  </w:footnote>
  <w:footnote w:id="3">
    <w:p w14:paraId="399BBA31" w14:textId="77777777" w:rsidR="00D31119" w:rsidRPr="007B4479" w:rsidRDefault="00D31119" w:rsidP="009724F7">
      <w:pPr>
        <w:autoSpaceDE w:val="0"/>
        <w:autoSpaceDN w:val="0"/>
        <w:adjustRightInd w:val="0"/>
        <w:jc w:val="both"/>
        <w:rPr>
          <w:szCs w:val="20"/>
        </w:rPr>
      </w:pPr>
      <w:r>
        <w:rPr>
          <w:rStyle w:val="FootnoteReference"/>
        </w:rPr>
        <w:footnoteRef/>
      </w:r>
      <w:r>
        <w:t xml:space="preserve"> </w:t>
      </w:r>
      <w:r w:rsidRPr="007B4479">
        <w:rPr>
          <w:szCs w:val="20"/>
        </w:rPr>
        <w:t xml:space="preserve">Mackay &amp; Goodwin, “Understanding the Difference Between Liquidation and Bankruptcy”, </w:t>
      </w:r>
    </w:p>
    <w:p w14:paraId="2642B063" w14:textId="77777777" w:rsidR="00D31119" w:rsidRPr="007B4479" w:rsidRDefault="00D31119" w:rsidP="009724F7">
      <w:pPr>
        <w:pStyle w:val="FootnoteText"/>
        <w:jc w:val="both"/>
      </w:pPr>
      <w:r w:rsidRPr="007B4479">
        <w:t xml:space="preserve">&lt;&lt;https://www.mackaygoodwin.com.au/insights/understanding-difference-liquidation-bankruptcy/&gt;&gt;, accessed 13 October 2022. </w:t>
      </w:r>
    </w:p>
    <w:p w14:paraId="74019F7F" w14:textId="1F451DFA" w:rsidR="00D31119" w:rsidRPr="009724F7" w:rsidRDefault="00D31119">
      <w:pPr>
        <w:pStyle w:val="FootnoteText"/>
        <w:rPr>
          <w:lang w:val="en-IN"/>
        </w:rPr>
      </w:pPr>
    </w:p>
  </w:footnote>
  <w:footnote w:id="4">
    <w:p w14:paraId="4A54A54B" w14:textId="77777777" w:rsidR="00D31119" w:rsidRPr="00C03CF1" w:rsidRDefault="00D31119" w:rsidP="007B4479">
      <w:pPr>
        <w:pStyle w:val="FootnoteText"/>
        <w:jc w:val="both"/>
      </w:pPr>
      <w:r>
        <w:rPr>
          <w:rStyle w:val="FootnoteReference"/>
        </w:rPr>
        <w:footnoteRef/>
      </w:r>
      <w:r>
        <w:t xml:space="preserve"> </w:t>
      </w:r>
      <w:r w:rsidRPr="00C03CF1">
        <w:t xml:space="preserve">Ian F. Fletcher, The Law of Insolvency (4th </w:t>
      </w:r>
      <w:proofErr w:type="spellStart"/>
      <w:r w:rsidRPr="00C03CF1">
        <w:t>edn</w:t>
      </w:r>
      <w:proofErr w:type="spellEnd"/>
      <w:r w:rsidRPr="00C03CF1">
        <w:t>., Sweet &amp; Maxwell 2009)</w:t>
      </w:r>
    </w:p>
  </w:footnote>
  <w:footnote w:id="5">
    <w:p w14:paraId="185E7D0C" w14:textId="77777777" w:rsidR="00D31119" w:rsidRPr="00C03CF1" w:rsidRDefault="00D31119" w:rsidP="007B4479">
      <w:pPr>
        <w:pStyle w:val="FootnoteText"/>
        <w:jc w:val="both"/>
      </w:pPr>
      <w:r w:rsidRPr="00C03CF1">
        <w:footnoteRef/>
      </w:r>
      <w:r>
        <w:t xml:space="preserve"> United Nations Commission on International Trade Law “ UNCITRAL Legislative Guide on Insolvency Law” , &lt;&lt;</w:t>
      </w:r>
      <w:r w:rsidRPr="00E73878">
        <w:t xml:space="preserve"> </w:t>
      </w:r>
      <w:hyperlink r:id="rId1" w:history="1">
        <w:r w:rsidRPr="00C03CF1">
          <w:t>https://uncitral.un.org/en/texts/insolvency/legislativeguides/insolvency_law</w:t>
        </w:r>
      </w:hyperlink>
      <w:r>
        <w:t xml:space="preserve">&gt;&gt;, </w:t>
      </w:r>
      <w:r w:rsidRPr="00E73878">
        <w:t>accessed 13 October 2022.</w:t>
      </w:r>
      <w:r w:rsidRPr="00C03CF1">
        <w:t xml:space="preserve"> </w:t>
      </w:r>
    </w:p>
    <w:p w14:paraId="7BEFFEB6" w14:textId="77777777" w:rsidR="00D31119" w:rsidRPr="004B7302" w:rsidRDefault="00D31119" w:rsidP="007B4479">
      <w:pPr>
        <w:pStyle w:val="FootnoteText"/>
        <w:rPr>
          <w:lang w:val="en-IN"/>
        </w:rPr>
      </w:pPr>
    </w:p>
  </w:footnote>
  <w:footnote w:id="6">
    <w:p w14:paraId="410B85A7" w14:textId="77777777" w:rsidR="00D31119" w:rsidRPr="00092E42" w:rsidRDefault="00D31119" w:rsidP="007B4479">
      <w:pPr>
        <w:pStyle w:val="FootnoteText"/>
        <w:jc w:val="both"/>
        <w:rPr>
          <w:lang w:val="en-IN"/>
        </w:rPr>
      </w:pPr>
      <w:r>
        <w:rPr>
          <w:rStyle w:val="FootnoteReference"/>
        </w:rPr>
        <w:footnoteRef/>
      </w:r>
      <w:r>
        <w:t xml:space="preserve"> The World Bank “Principles for Effective Insolvency and Creditor and Debtor Regimes”, &lt;&lt;</w:t>
      </w:r>
      <w:r w:rsidRPr="00E73878">
        <w:t xml:space="preserve"> </w:t>
      </w:r>
      <w:r w:rsidRPr="00092E42">
        <w:t>https://documents.worldbank.org/en/publication/documents-reports/documentdetail/518861467086038847/principles-for-effective-insolvency-and-creditor-and-debtor-regimes</w:t>
      </w:r>
      <w:r>
        <w:t xml:space="preserve">&gt;&gt;, </w:t>
      </w:r>
      <w:r w:rsidRPr="00E73878">
        <w:t>accessed 13 October 2022.</w:t>
      </w:r>
      <w:r>
        <w:rPr>
          <w:lang w:val="en-IN"/>
        </w:rPr>
        <w:t xml:space="preserve"> </w:t>
      </w:r>
    </w:p>
  </w:footnote>
  <w:footnote w:id="7">
    <w:p w14:paraId="7213231E" w14:textId="77777777" w:rsidR="00D31119" w:rsidRPr="000F671D" w:rsidRDefault="00D31119" w:rsidP="007B4479">
      <w:pPr>
        <w:pStyle w:val="FootnoteText"/>
        <w:jc w:val="both"/>
        <w:rPr>
          <w:lang w:val="en-IN"/>
        </w:rPr>
      </w:pPr>
      <w:r>
        <w:rPr>
          <w:rStyle w:val="FootnoteReference"/>
        </w:rPr>
        <w:footnoteRef/>
      </w:r>
      <w:r>
        <w:t xml:space="preserve"> Directorate General for Internal Policies, Policy Department, European Parliament </w:t>
      </w:r>
      <w:r>
        <w:rPr>
          <w:rFonts w:ascii="Avenir Next" w:hAnsi="Avenir Next" w:cs="Arial"/>
          <w:sz w:val="22"/>
          <w:szCs w:val="22"/>
          <w:lang w:val="en-GB"/>
        </w:rPr>
        <w:t>Harmonisation of Insolvency Law at EU Level</w:t>
      </w:r>
      <w:r>
        <w:t>”, &lt;&lt;</w:t>
      </w:r>
      <w:r w:rsidRPr="00E73878">
        <w:t xml:space="preserve"> </w:t>
      </w:r>
      <w:r w:rsidRPr="000F671D">
        <w:t xml:space="preserve">https://www.eesc.europa.eu/sites/default/files/resources/docs/ipol-juri_nt2010419633_en.pdf </w:t>
      </w:r>
      <w:r>
        <w:t xml:space="preserve">&gt;&gt;, </w:t>
      </w:r>
      <w:r w:rsidRPr="00E73878">
        <w:t>accessed 13 October 2022.</w:t>
      </w:r>
    </w:p>
  </w:footnote>
  <w:footnote w:id="8">
    <w:p w14:paraId="633732BA" w14:textId="77777777" w:rsidR="00D31119" w:rsidRPr="00A51244" w:rsidRDefault="00D31119" w:rsidP="007B4479">
      <w:pPr>
        <w:pStyle w:val="FootnoteText"/>
        <w:jc w:val="both"/>
        <w:rPr>
          <w:lang w:val="en-IN"/>
        </w:rPr>
      </w:pPr>
      <w:r>
        <w:rPr>
          <w:rStyle w:val="FootnoteReference"/>
        </w:rPr>
        <w:footnoteRef/>
      </w:r>
      <w:r>
        <w:t xml:space="preserve"> World Bank &lt;&lt;</w:t>
      </w:r>
      <w:r w:rsidRPr="00A51244">
        <w:t xml:space="preserve"> </w:t>
      </w:r>
      <w:hyperlink r:id="rId2" w:history="1">
        <w:r w:rsidRPr="00B36439">
          <w:rPr>
            <w:rStyle w:val="Hyperlink"/>
          </w:rPr>
          <w:t>https://pubdocs.worldbank.org/en/538701606927038819/ICRStandard-Jan2011-withC1617.pdf</w:t>
        </w:r>
      </w:hyperlink>
      <w:r>
        <w:t>&gt;&gt;, accessed 13 October, 2022</w:t>
      </w:r>
    </w:p>
  </w:footnote>
  <w:footnote w:id="9">
    <w:p w14:paraId="7032C5CB" w14:textId="77777777" w:rsidR="00D31119" w:rsidRPr="001F1355" w:rsidRDefault="00D31119" w:rsidP="007B4479">
      <w:pPr>
        <w:pStyle w:val="FootnoteText"/>
        <w:jc w:val="both"/>
        <w:rPr>
          <w:lang w:val="en-IN"/>
        </w:rPr>
      </w:pPr>
      <w:r>
        <w:rPr>
          <w:rStyle w:val="FootnoteReference"/>
        </w:rPr>
        <w:footnoteRef/>
      </w:r>
      <w:r>
        <w:t xml:space="preserve"> </w:t>
      </w:r>
      <w:r w:rsidRPr="001F1355">
        <w:t>UNCITRAL Model Law of Cross-border Insolvency</w:t>
      </w:r>
      <w:r>
        <w:t>, Article 3</w:t>
      </w:r>
    </w:p>
  </w:footnote>
  <w:footnote w:id="10">
    <w:p w14:paraId="66DADF0D" w14:textId="77777777" w:rsidR="00D31119" w:rsidRPr="001F1355" w:rsidRDefault="00D31119" w:rsidP="007B4479">
      <w:pPr>
        <w:pStyle w:val="FootnoteText"/>
        <w:jc w:val="both"/>
        <w:rPr>
          <w:lang w:val="en-IN"/>
        </w:rPr>
      </w:pPr>
      <w:r>
        <w:rPr>
          <w:rStyle w:val="FootnoteReference"/>
        </w:rPr>
        <w:footnoteRef/>
      </w:r>
      <w:r>
        <w:t xml:space="preserve"> </w:t>
      </w:r>
      <w:r w:rsidRPr="003931B8">
        <w:rPr>
          <w:i/>
          <w:lang w:val="en-IN"/>
        </w:rPr>
        <w:t>Ibid</w:t>
      </w:r>
    </w:p>
  </w:footnote>
  <w:footnote w:id="11">
    <w:p w14:paraId="75ABDB8C" w14:textId="77777777" w:rsidR="00D31119" w:rsidRPr="001F1355" w:rsidRDefault="00D31119" w:rsidP="007B4479">
      <w:pPr>
        <w:pStyle w:val="FootnoteText"/>
        <w:jc w:val="both"/>
        <w:rPr>
          <w:lang w:val="en-IN"/>
        </w:rPr>
      </w:pPr>
      <w:r>
        <w:rPr>
          <w:rStyle w:val="FootnoteReference"/>
        </w:rPr>
        <w:footnoteRef/>
      </w:r>
      <w:r>
        <w:t xml:space="preserve"> </w:t>
      </w:r>
      <w:r w:rsidRPr="003931B8">
        <w:rPr>
          <w:i/>
          <w:lang w:val="en-IN"/>
        </w:rPr>
        <w:t>Idem</w:t>
      </w:r>
      <w:r>
        <w:rPr>
          <w:lang w:val="en-IN"/>
        </w:rPr>
        <w:t>, Article 2(f)</w:t>
      </w:r>
    </w:p>
  </w:footnote>
  <w:footnote w:id="12">
    <w:p w14:paraId="5D12844A" w14:textId="77777777" w:rsidR="00D31119" w:rsidRPr="001F1355" w:rsidRDefault="00D31119" w:rsidP="007B4479">
      <w:pPr>
        <w:pStyle w:val="FootnoteText"/>
        <w:jc w:val="both"/>
        <w:rPr>
          <w:lang w:val="en-IN"/>
        </w:rPr>
      </w:pPr>
      <w:r>
        <w:rPr>
          <w:rStyle w:val="FootnoteReference"/>
        </w:rPr>
        <w:footnoteRef/>
      </w:r>
      <w:r>
        <w:t xml:space="preserve"> </w:t>
      </w:r>
      <w:r w:rsidRPr="003931B8">
        <w:rPr>
          <w:i/>
          <w:lang w:val="en-IN"/>
        </w:rPr>
        <w:t>Idem</w:t>
      </w:r>
      <w:r>
        <w:rPr>
          <w:lang w:val="en-IN"/>
        </w:rPr>
        <w:t>, Article 2(c)</w:t>
      </w:r>
    </w:p>
  </w:footnote>
  <w:footnote w:id="13">
    <w:p w14:paraId="2A6A0398" w14:textId="77777777" w:rsidR="00D31119" w:rsidRPr="001F1355" w:rsidRDefault="00D31119" w:rsidP="007B4479">
      <w:pPr>
        <w:pStyle w:val="FootnoteText"/>
        <w:jc w:val="both"/>
        <w:rPr>
          <w:lang w:val="en-IN"/>
        </w:rPr>
      </w:pPr>
      <w:r>
        <w:rPr>
          <w:rStyle w:val="FootnoteReference"/>
        </w:rPr>
        <w:footnoteRef/>
      </w:r>
      <w:r>
        <w:t xml:space="preserve"> </w:t>
      </w:r>
      <w:r>
        <w:rPr>
          <w:lang w:val="en-IN"/>
        </w:rPr>
        <w:t>W</w:t>
      </w:r>
      <w:r w:rsidRPr="001F1355">
        <w:rPr>
          <w:lang w:val="en-IN"/>
        </w:rPr>
        <w:t>hich is available in the cases of ‘foreign main proceedings’</w:t>
      </w:r>
    </w:p>
  </w:footnote>
  <w:footnote w:id="14">
    <w:p w14:paraId="4018A999" w14:textId="77777777" w:rsidR="00D31119" w:rsidRPr="003931B8" w:rsidRDefault="00D31119" w:rsidP="007B4479">
      <w:pPr>
        <w:pStyle w:val="FootnoteText"/>
        <w:jc w:val="both"/>
        <w:rPr>
          <w:lang w:val="en-IN"/>
        </w:rPr>
      </w:pPr>
      <w:r>
        <w:rPr>
          <w:rStyle w:val="FootnoteReference"/>
        </w:rPr>
        <w:footnoteRef/>
      </w:r>
      <w:r>
        <w:t xml:space="preserve"> </w:t>
      </w:r>
      <w:r w:rsidRPr="00C045ED">
        <w:t>UNCITRAL Model Law on Cross-Border Insolvency with Guide to Enactment and Interpretation, Paragraph 193, p. 88</w:t>
      </w:r>
    </w:p>
  </w:footnote>
  <w:footnote w:id="15">
    <w:p w14:paraId="0D2F2216" w14:textId="77777777" w:rsidR="00D31119" w:rsidRPr="00813549" w:rsidRDefault="00D31119" w:rsidP="007B4479">
      <w:pPr>
        <w:pStyle w:val="FootnoteText"/>
        <w:jc w:val="both"/>
        <w:rPr>
          <w:lang w:val="en-IN"/>
        </w:rPr>
      </w:pPr>
      <w:r>
        <w:rPr>
          <w:rStyle w:val="FootnoteReference"/>
        </w:rPr>
        <w:footnoteRef/>
      </w:r>
      <w:r>
        <w:t xml:space="preserve"> </w:t>
      </w:r>
      <w:r>
        <w:rPr>
          <w:i/>
        </w:rPr>
        <w:t>Ibid</w:t>
      </w:r>
    </w:p>
  </w:footnote>
  <w:footnote w:id="16">
    <w:p w14:paraId="3CB2BE83" w14:textId="332C3E38" w:rsidR="00096F36" w:rsidRPr="00096F36" w:rsidRDefault="00096F36">
      <w:pPr>
        <w:pStyle w:val="FootnoteText"/>
        <w:rPr>
          <w:lang w:val="en-IN"/>
        </w:rPr>
      </w:pPr>
      <w:r>
        <w:rPr>
          <w:rStyle w:val="FootnoteReference"/>
        </w:rPr>
        <w:footnoteRef/>
      </w:r>
      <w:r>
        <w:t xml:space="preserve"> </w:t>
      </w:r>
      <w:r>
        <w:rPr>
          <w:lang w:val="en-IN"/>
        </w:rPr>
        <w:t>Special company and insolvency law courts being the National Company Law Tribunals.</w:t>
      </w:r>
    </w:p>
  </w:footnote>
  <w:footnote w:id="17">
    <w:p w14:paraId="5284735D" w14:textId="77777777" w:rsidR="00D31119" w:rsidRPr="00114C0E" w:rsidRDefault="00D31119" w:rsidP="007B4479">
      <w:pPr>
        <w:pStyle w:val="FootnoteText"/>
        <w:jc w:val="both"/>
        <w:rPr>
          <w:lang w:val="en-IN"/>
        </w:rPr>
      </w:pPr>
      <w:r>
        <w:rPr>
          <w:rStyle w:val="FootnoteReference"/>
        </w:rPr>
        <w:footnoteRef/>
      </w:r>
      <w:r>
        <w:t xml:space="preserve"> </w:t>
      </w:r>
      <w:r>
        <w:rPr>
          <w:lang w:val="en-IN"/>
        </w:rPr>
        <w:t>They may require that India also have a cross-border insolvency law formulated on the Model Law.</w:t>
      </w:r>
    </w:p>
  </w:footnote>
  <w:footnote w:id="18">
    <w:p w14:paraId="3E4A9BB7" w14:textId="77777777" w:rsidR="00D31119" w:rsidRPr="00114C0E" w:rsidRDefault="00D31119" w:rsidP="007B4479">
      <w:pPr>
        <w:pStyle w:val="FootnoteText"/>
        <w:jc w:val="both"/>
        <w:rPr>
          <w:lang w:val="en-IN"/>
        </w:rPr>
      </w:pPr>
      <w:r>
        <w:rPr>
          <w:rStyle w:val="FootnoteReference"/>
        </w:rPr>
        <w:footnoteRef/>
      </w:r>
      <w:r>
        <w:t xml:space="preserve"> Government of India, Ministry of Corporate Affairs, Insolvency Section File 30/27/2018 dated 20.06.2018, “Overview of Cross-Border Insolvency Framework for Corporate Debtors under the Insolvency &amp; Bankruptcy Code, 2016”, &lt;&lt;</w:t>
      </w:r>
      <w:r w:rsidRPr="00E73878">
        <w:t xml:space="preserve"> </w:t>
      </w:r>
      <w:r w:rsidRPr="00114C0E">
        <w:t>https://www.mca.gov.in/Ministry/pdf/PublicNoiceCrossBorder_20062018.pdf</w:t>
      </w:r>
      <w:r>
        <w:t xml:space="preserve">&gt;&gt;, </w:t>
      </w:r>
      <w:r w:rsidRPr="00E73878">
        <w:t>accessed 1</w:t>
      </w:r>
      <w:r>
        <w:t>4</w:t>
      </w:r>
      <w:r w:rsidRPr="00E73878">
        <w:t xml:space="preserve"> October 2022.</w:t>
      </w:r>
    </w:p>
  </w:footnote>
  <w:footnote w:id="19">
    <w:p w14:paraId="4F449FA9" w14:textId="77777777" w:rsidR="00D31119" w:rsidRPr="00114C0E" w:rsidRDefault="00D31119" w:rsidP="007B4479">
      <w:pPr>
        <w:pStyle w:val="FootnoteText"/>
        <w:rPr>
          <w:lang w:val="en-IN"/>
        </w:rPr>
      </w:pPr>
      <w:r>
        <w:rPr>
          <w:rStyle w:val="FootnoteReference"/>
        </w:rPr>
        <w:footnoteRef/>
      </w:r>
      <w:r>
        <w:t xml:space="preserve"> </w:t>
      </w:r>
      <w:r w:rsidRPr="00114C0E">
        <w:rPr>
          <w:i/>
          <w:lang w:val="en-IN"/>
        </w:rPr>
        <w:t>Idem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653F5"/>
    <w:multiLevelType w:val="hybridMultilevel"/>
    <w:tmpl w:val="3ADEE5E0"/>
    <w:lvl w:ilvl="0" w:tplc="E182CD36">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E35D5A"/>
    <w:multiLevelType w:val="hybridMultilevel"/>
    <w:tmpl w:val="2DC41D2A"/>
    <w:lvl w:ilvl="0" w:tplc="CF22F964">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D3032C"/>
    <w:multiLevelType w:val="hybridMultilevel"/>
    <w:tmpl w:val="E3A0EE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2AF6C2D"/>
    <w:multiLevelType w:val="hybridMultilevel"/>
    <w:tmpl w:val="A54CEC9A"/>
    <w:lvl w:ilvl="0" w:tplc="30707E10">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D76EBE"/>
    <w:multiLevelType w:val="hybridMultilevel"/>
    <w:tmpl w:val="0340FA44"/>
    <w:lvl w:ilvl="0" w:tplc="D922A936">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3"/>
  </w:num>
  <w:num w:numId="3">
    <w:abstractNumId w:val="5"/>
  </w:num>
  <w:num w:numId="4">
    <w:abstractNumId w:val="2"/>
  </w:num>
  <w:num w:numId="5">
    <w:abstractNumId w:val="9"/>
  </w:num>
  <w:num w:numId="6">
    <w:abstractNumId w:val="17"/>
  </w:num>
  <w:num w:numId="7">
    <w:abstractNumId w:val="25"/>
  </w:num>
  <w:num w:numId="8">
    <w:abstractNumId w:val="16"/>
  </w:num>
  <w:num w:numId="9">
    <w:abstractNumId w:val="4"/>
  </w:num>
  <w:num w:numId="10">
    <w:abstractNumId w:val="8"/>
  </w:num>
  <w:num w:numId="11">
    <w:abstractNumId w:val="6"/>
  </w:num>
  <w:num w:numId="12">
    <w:abstractNumId w:val="3"/>
  </w:num>
  <w:num w:numId="13">
    <w:abstractNumId w:val="14"/>
  </w:num>
  <w:num w:numId="14">
    <w:abstractNumId w:val="0"/>
  </w:num>
  <w:num w:numId="15">
    <w:abstractNumId w:val="1"/>
  </w:num>
  <w:num w:numId="16">
    <w:abstractNumId w:val="15"/>
  </w:num>
  <w:num w:numId="17">
    <w:abstractNumId w:val="13"/>
  </w:num>
  <w:num w:numId="18">
    <w:abstractNumId w:val="21"/>
  </w:num>
  <w:num w:numId="19">
    <w:abstractNumId w:val="18"/>
  </w:num>
  <w:num w:numId="20">
    <w:abstractNumId w:val="26"/>
  </w:num>
  <w:num w:numId="21">
    <w:abstractNumId w:val="19"/>
  </w:num>
  <w:num w:numId="22">
    <w:abstractNumId w:val="11"/>
  </w:num>
  <w:num w:numId="23">
    <w:abstractNumId w:val="24"/>
  </w:num>
  <w:num w:numId="24">
    <w:abstractNumId w:val="22"/>
  </w:num>
  <w:num w:numId="25">
    <w:abstractNumId w:val="7"/>
  </w:num>
  <w:num w:numId="26">
    <w:abstractNumId w:val="10"/>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96F36"/>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2D0"/>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03310"/>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8773E"/>
    <w:rsid w:val="00793173"/>
    <w:rsid w:val="007B4479"/>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724F7"/>
    <w:rsid w:val="00991428"/>
    <w:rsid w:val="00992676"/>
    <w:rsid w:val="009A5332"/>
    <w:rsid w:val="009A753D"/>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74851"/>
    <w:rsid w:val="00A81029"/>
    <w:rsid w:val="00A83A2F"/>
    <w:rsid w:val="00A96489"/>
    <w:rsid w:val="00A97725"/>
    <w:rsid w:val="00AB685C"/>
    <w:rsid w:val="00AB6C2D"/>
    <w:rsid w:val="00AC3839"/>
    <w:rsid w:val="00AC7082"/>
    <w:rsid w:val="00AD6A7D"/>
    <w:rsid w:val="00AF228E"/>
    <w:rsid w:val="00B001A5"/>
    <w:rsid w:val="00B14819"/>
    <w:rsid w:val="00B17AA9"/>
    <w:rsid w:val="00B26F6D"/>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31119"/>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citral.org/uncitral/en/uncitral_texts/insolvency/2004Gui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worldbank.org/curated/en/2016/06/26489547/principles-effective-insolvency-creditor-debtor-regi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docs.worldbank.org/en/538701606927038819/ICRStandard-Jan2011-withC1617.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mf.org/" TargetMode="External"/><Relationship Id="rId4" Type="http://schemas.openxmlformats.org/officeDocument/2006/relationships/settings" Target="settings.xml"/><Relationship Id="rId9" Type="http://schemas.openxmlformats.org/officeDocument/2006/relationships/hyperlink" Target="https://www.uncitral.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ubdocs.worldbank.org/en/538701606927038819/ICRStandard-Jan2011-withC1617.pdf" TargetMode="External"/><Relationship Id="rId1" Type="http://schemas.openxmlformats.org/officeDocument/2006/relationships/hyperlink" Target="https://uncitral.un.org/en/texts/insolvency/legislativeguides/insolvency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2750B-E98A-4938-9C64-B7C2585E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4836</Words>
  <Characters>27568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Rashika Sharma</cp:lastModifiedBy>
  <cp:revision>8</cp:revision>
  <cp:lastPrinted>2019-09-04T15:45:00Z</cp:lastPrinted>
  <dcterms:created xsi:type="dcterms:W3CDTF">2022-10-14T08:07:00Z</dcterms:created>
  <dcterms:modified xsi:type="dcterms:W3CDTF">2022-10-14T10:31:00Z</dcterms:modified>
</cp:coreProperties>
</file>