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7A4FCF" w:rsidRDefault="00B736DF" w:rsidP="009E1027">
      <w:pPr>
        <w:pStyle w:val="ListParagraph"/>
        <w:numPr>
          <w:ilvl w:val="0"/>
          <w:numId w:val="12"/>
        </w:numPr>
        <w:ind w:left="426"/>
        <w:jc w:val="both"/>
        <w:rPr>
          <w:rFonts w:ascii="Avenir Next" w:hAnsi="Avenir Next" w:cs="Arial"/>
          <w:sz w:val="22"/>
          <w:szCs w:val="22"/>
          <w:highlight w:val="yellow"/>
          <w:lang w:val="en-GB"/>
        </w:rPr>
      </w:pPr>
      <w:r w:rsidRPr="007A4FC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2775CC" w:rsidRDefault="00161F1B" w:rsidP="009E1027">
      <w:pPr>
        <w:pStyle w:val="ListParagraph"/>
        <w:numPr>
          <w:ilvl w:val="0"/>
          <w:numId w:val="13"/>
        </w:numPr>
        <w:ind w:left="426"/>
        <w:jc w:val="both"/>
        <w:rPr>
          <w:rFonts w:ascii="Avenir Next" w:hAnsi="Avenir Next" w:cs="Arial"/>
          <w:sz w:val="22"/>
          <w:szCs w:val="22"/>
          <w:highlight w:val="yellow"/>
          <w:lang w:val="en-GB"/>
        </w:rPr>
      </w:pPr>
      <w:r w:rsidRPr="002775CC">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1007BC" w:rsidRDefault="009E2E27" w:rsidP="008031A7">
      <w:pPr>
        <w:pStyle w:val="ListParagraph"/>
        <w:numPr>
          <w:ilvl w:val="0"/>
          <w:numId w:val="14"/>
        </w:numPr>
        <w:ind w:left="426"/>
        <w:jc w:val="both"/>
        <w:rPr>
          <w:rFonts w:ascii="Avenir Next" w:hAnsi="Avenir Next" w:cs="Arial"/>
          <w:sz w:val="22"/>
          <w:szCs w:val="22"/>
          <w:highlight w:val="yellow"/>
          <w:lang w:val="en-GB"/>
        </w:rPr>
      </w:pPr>
      <w:r w:rsidRPr="001007BC">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B04F19" w:rsidRDefault="009E2E27" w:rsidP="008031A7">
      <w:pPr>
        <w:pStyle w:val="ListParagraph"/>
        <w:numPr>
          <w:ilvl w:val="0"/>
          <w:numId w:val="15"/>
        </w:numPr>
        <w:ind w:left="426"/>
        <w:jc w:val="both"/>
        <w:rPr>
          <w:rFonts w:ascii="Avenir Next" w:hAnsi="Avenir Next" w:cs="Arial"/>
          <w:sz w:val="22"/>
          <w:szCs w:val="22"/>
          <w:highlight w:val="yellow"/>
          <w:lang w:val="en-GB"/>
        </w:rPr>
      </w:pPr>
      <w:r w:rsidRPr="00B04F19">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B04F19" w:rsidRDefault="00A235B7" w:rsidP="006D01C2">
      <w:pPr>
        <w:pStyle w:val="ListParagraph"/>
        <w:numPr>
          <w:ilvl w:val="0"/>
          <w:numId w:val="16"/>
        </w:numPr>
        <w:ind w:left="426"/>
        <w:jc w:val="both"/>
        <w:rPr>
          <w:rFonts w:ascii="Avenir Next" w:hAnsi="Avenir Next" w:cs="Arial"/>
          <w:sz w:val="22"/>
          <w:szCs w:val="22"/>
          <w:highlight w:val="yellow"/>
          <w:lang w:val="en-GB"/>
        </w:rPr>
      </w:pPr>
      <w:r w:rsidRPr="00B04F19">
        <w:rPr>
          <w:rFonts w:ascii="Avenir Next" w:hAnsi="Avenir Next" w:cs="Arial"/>
          <w:sz w:val="22"/>
          <w:szCs w:val="22"/>
          <w:highlight w:val="yellow"/>
          <w:lang w:val="en-GB"/>
        </w:rPr>
        <w:t>The statement</w:t>
      </w:r>
      <w:r w:rsidR="0037465A" w:rsidRPr="00B04F19">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B95F5F"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B95F5F">
        <w:rPr>
          <w:rFonts w:ascii="Avenir Next" w:eastAsiaTheme="minorHAnsi" w:hAnsi="Avenir Next" w:cs="Arial"/>
          <w:sz w:val="22"/>
          <w:szCs w:val="22"/>
          <w:highlight w:val="yellow"/>
          <w:lang w:val="en-GB"/>
        </w:rPr>
        <w:t>Private International Law</w:t>
      </w:r>
      <w:r w:rsidR="00991428" w:rsidRPr="00B95F5F">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026275" w:rsidRDefault="004D1A5A" w:rsidP="006D01C2">
      <w:pPr>
        <w:pStyle w:val="ListParagraph"/>
        <w:numPr>
          <w:ilvl w:val="0"/>
          <w:numId w:val="18"/>
        </w:numPr>
        <w:ind w:left="426"/>
        <w:jc w:val="both"/>
        <w:rPr>
          <w:rFonts w:ascii="Avenir Next" w:hAnsi="Avenir Next" w:cs="Arial"/>
          <w:sz w:val="22"/>
          <w:szCs w:val="22"/>
          <w:highlight w:val="yellow"/>
          <w:lang w:val="en-GB"/>
        </w:rPr>
      </w:pPr>
      <w:r w:rsidRPr="00026275">
        <w:rPr>
          <w:rFonts w:ascii="Avenir Next" w:hAnsi="Avenir Next" w:cs="Arial"/>
          <w:sz w:val="22"/>
          <w:szCs w:val="22"/>
          <w:highlight w:val="yellow"/>
          <w:lang w:val="en-GB"/>
        </w:rPr>
        <w:t>UNCITRAL Model Law on Cross-border Insolvency (1997)</w:t>
      </w:r>
      <w:r w:rsidR="00912C79" w:rsidRPr="00026275">
        <w:rPr>
          <w:rFonts w:ascii="Avenir Next" w:hAnsi="Avenir Next" w:cs="Arial"/>
          <w:sz w:val="22"/>
          <w:szCs w:val="22"/>
          <w:highlight w:val="yellow"/>
          <w:lang w:val="en-GB"/>
        </w:rPr>
        <w:t>.</w:t>
      </w:r>
      <w:r w:rsidRPr="00026275">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B15011"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B15011">
        <w:rPr>
          <w:rFonts w:ascii="Avenir Next" w:hAnsi="Avenir Next" w:cs="Arial"/>
          <w:sz w:val="22"/>
          <w:szCs w:val="22"/>
          <w:highlight w:val="yellow"/>
          <w:lang w:val="en-GB"/>
        </w:rPr>
        <w:t>Havana Convention on Private International Law (1928)</w:t>
      </w:r>
      <w:r w:rsidRPr="00B15011">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C13876" w:rsidRDefault="0082483F" w:rsidP="006D01C2">
      <w:pPr>
        <w:pStyle w:val="ListParagraph"/>
        <w:numPr>
          <w:ilvl w:val="0"/>
          <w:numId w:val="20"/>
        </w:numPr>
        <w:ind w:left="426"/>
        <w:jc w:val="both"/>
        <w:rPr>
          <w:rFonts w:ascii="Avenir Next" w:hAnsi="Avenir Next" w:cs="Arial"/>
          <w:sz w:val="22"/>
          <w:szCs w:val="22"/>
          <w:highlight w:val="yellow"/>
          <w:lang w:val="en-GB"/>
        </w:rPr>
      </w:pPr>
      <w:r w:rsidRPr="00C13876">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1D5BEDE0" w14:textId="771768C2" w:rsidR="000E27DA" w:rsidRPr="000E27DA" w:rsidRDefault="000E27DA" w:rsidP="000E27DA">
      <w:pPr>
        <w:jc w:val="both"/>
        <w:rPr>
          <w:rFonts w:ascii="Avenir Next" w:hAnsi="Avenir Next" w:cs="Arial"/>
          <w:sz w:val="22"/>
          <w:szCs w:val="22"/>
          <w:lang w:val="en-GB"/>
        </w:rPr>
      </w:pP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w:t>
      </w:r>
      <w:r w:rsidRPr="00827D56">
        <w:rPr>
          <w:rFonts w:ascii="Avenir Next" w:hAnsi="Avenir Next" w:cs="Arial"/>
          <w:sz w:val="22"/>
          <w:szCs w:val="22"/>
          <w:lang w:val="en-GB"/>
        </w:rPr>
        <w:lastRenderedPageBreak/>
        <w:t>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177984"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177984">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57BCFC30" w14:textId="42BCA366" w:rsidR="009B07AD" w:rsidRDefault="00DE03AF" w:rsidP="00D66B44">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67B8A571" w14:textId="77777777" w:rsidR="00D66B44" w:rsidRDefault="00D66B44" w:rsidP="00D66B44">
      <w:pPr>
        <w:ind w:left="720" w:hanging="720"/>
        <w:jc w:val="both"/>
        <w:rPr>
          <w:rFonts w:ascii="Avenir Next" w:hAnsi="Avenir Next" w:cs="Arial"/>
          <w:sz w:val="22"/>
          <w:szCs w:val="22"/>
          <w:lang w:val="en-GB"/>
        </w:rPr>
      </w:pPr>
    </w:p>
    <w:p w14:paraId="4249FF04" w14:textId="7E271D35" w:rsidR="002F34C7" w:rsidRDefault="002F34C7" w:rsidP="00D66B44">
      <w:pPr>
        <w:ind w:left="720" w:hanging="720"/>
        <w:jc w:val="both"/>
        <w:rPr>
          <w:rFonts w:ascii="Avenir Next" w:hAnsi="Avenir Next" w:cs="Arial"/>
          <w:sz w:val="22"/>
          <w:szCs w:val="22"/>
          <w:u w:val="single"/>
          <w:lang w:val="en-GB"/>
        </w:rPr>
      </w:pPr>
      <w:r>
        <w:rPr>
          <w:rFonts w:ascii="Avenir Next" w:hAnsi="Avenir Next" w:cs="Arial"/>
          <w:sz w:val="22"/>
          <w:szCs w:val="22"/>
          <w:u w:val="single"/>
          <w:lang w:val="en-GB"/>
        </w:rPr>
        <w:t xml:space="preserve">There are various points of view regarding the idea of “international insolvency law”. </w:t>
      </w:r>
    </w:p>
    <w:p w14:paraId="5AB42093" w14:textId="77777777" w:rsidR="002F34C7" w:rsidRDefault="002F34C7" w:rsidP="00D66B44">
      <w:pPr>
        <w:ind w:left="720" w:hanging="720"/>
        <w:jc w:val="both"/>
        <w:rPr>
          <w:rFonts w:ascii="Avenir Next" w:hAnsi="Avenir Next" w:cs="Arial"/>
          <w:sz w:val="22"/>
          <w:szCs w:val="22"/>
          <w:u w:val="single"/>
          <w:lang w:val="en-GB"/>
        </w:rPr>
      </w:pPr>
    </w:p>
    <w:p w14:paraId="28F1F48C" w14:textId="5E313A6D" w:rsidR="00D66B44" w:rsidRDefault="00D66B44" w:rsidP="004E4B95">
      <w:pPr>
        <w:jc w:val="both"/>
        <w:rPr>
          <w:rFonts w:ascii="Avenir Next" w:hAnsi="Avenir Next" w:cs="Arial"/>
          <w:sz w:val="22"/>
          <w:szCs w:val="22"/>
          <w:u w:val="single"/>
          <w:lang w:val="en-GB"/>
        </w:rPr>
      </w:pPr>
      <w:r w:rsidRPr="004E4B95">
        <w:rPr>
          <w:rFonts w:ascii="Avenir Next" w:hAnsi="Avenir Next" w:cs="Arial"/>
          <w:sz w:val="22"/>
          <w:szCs w:val="22"/>
          <w:u w:val="single"/>
          <w:lang w:val="en-GB"/>
        </w:rPr>
        <w:t xml:space="preserve">There is no one fixed definition of “international insolvency law”. </w:t>
      </w:r>
      <w:r w:rsidR="00925E7C">
        <w:rPr>
          <w:rFonts w:ascii="Avenir Next" w:hAnsi="Avenir Next" w:cs="Arial"/>
          <w:sz w:val="22"/>
          <w:szCs w:val="22"/>
          <w:u w:val="single"/>
          <w:lang w:val="en-GB"/>
        </w:rPr>
        <w:t xml:space="preserve">Rather, several </w:t>
      </w:r>
      <w:r w:rsidR="00F24E55">
        <w:rPr>
          <w:rFonts w:ascii="Avenir Next" w:hAnsi="Avenir Next" w:cs="Arial"/>
          <w:sz w:val="22"/>
          <w:szCs w:val="22"/>
          <w:u w:val="single"/>
          <w:lang w:val="en-GB"/>
        </w:rPr>
        <w:t xml:space="preserve">notable academics have sought to propose a definition for this term. </w:t>
      </w:r>
      <w:r w:rsidR="00C776D6">
        <w:rPr>
          <w:rFonts w:ascii="Avenir Next" w:hAnsi="Avenir Next" w:cs="Arial"/>
          <w:sz w:val="22"/>
          <w:szCs w:val="22"/>
          <w:u w:val="single"/>
          <w:lang w:val="en-GB"/>
        </w:rPr>
        <w:t>Ian Fletcher defines “international insolvency law” as referring to situation in which an insolvency occurs in circumstances which in</w:t>
      </w:r>
      <w:r w:rsidR="00E4200C">
        <w:rPr>
          <w:rFonts w:ascii="Avenir Next" w:hAnsi="Avenir Next" w:cs="Arial"/>
          <w:sz w:val="22"/>
          <w:szCs w:val="22"/>
          <w:u w:val="single"/>
          <w:lang w:val="en-GB"/>
        </w:rPr>
        <w:t xml:space="preserve"> </w:t>
      </w:r>
      <w:r w:rsidR="00C776D6">
        <w:rPr>
          <w:rFonts w:ascii="Avenir Next" w:hAnsi="Avenir Next" w:cs="Arial"/>
          <w:sz w:val="22"/>
          <w:szCs w:val="22"/>
          <w:u w:val="single"/>
          <w:lang w:val="en-GB"/>
        </w:rPr>
        <w:t>some way transcend the confines of a single legal system, so that a single set of domestic insolvency law provisions cannot be immediately and exclusively applied without regard to the issues raised by the foreign elements of the case</w:t>
      </w:r>
      <w:r w:rsidR="00E46B68">
        <w:rPr>
          <w:rFonts w:ascii="Avenir Next" w:hAnsi="Avenir Next" w:cs="Arial"/>
          <w:sz w:val="22"/>
          <w:szCs w:val="22"/>
          <w:u w:val="single"/>
          <w:lang w:val="en-GB"/>
        </w:rPr>
        <w:t>.</w:t>
      </w:r>
      <w:r w:rsidR="00F24E55">
        <w:rPr>
          <w:rFonts w:ascii="Avenir Next" w:hAnsi="Avenir Next" w:cs="Arial"/>
          <w:sz w:val="22"/>
          <w:szCs w:val="22"/>
          <w:u w:val="single"/>
          <w:lang w:val="en-GB"/>
        </w:rPr>
        <w:t xml:space="preserve"> </w:t>
      </w:r>
      <w:r w:rsidRPr="004E4B95">
        <w:rPr>
          <w:rFonts w:ascii="Avenir Next" w:hAnsi="Avenir Next" w:cs="Arial"/>
          <w:sz w:val="22"/>
          <w:szCs w:val="22"/>
          <w:u w:val="single"/>
          <w:lang w:val="en-GB"/>
        </w:rPr>
        <w:t xml:space="preserve">Wessel </w:t>
      </w:r>
      <w:r w:rsidR="004E4B95" w:rsidRPr="004E4B95">
        <w:rPr>
          <w:rFonts w:ascii="Avenir Next" w:hAnsi="Avenir Next" w:cs="Arial"/>
          <w:sz w:val="22"/>
          <w:szCs w:val="22"/>
          <w:u w:val="single"/>
          <w:lang w:val="en-GB"/>
        </w:rPr>
        <w:t>observed that</w:t>
      </w:r>
      <w:r w:rsidRPr="004E4B95">
        <w:rPr>
          <w:rFonts w:ascii="Avenir Next" w:hAnsi="Avenir Next" w:cs="Arial"/>
          <w:sz w:val="22"/>
          <w:szCs w:val="22"/>
          <w:u w:val="single"/>
          <w:lang w:val="en-GB"/>
        </w:rPr>
        <w:t xml:space="preserve"> the term “international insolvency law” </w:t>
      </w:r>
      <w:r w:rsidR="004E4B95" w:rsidRPr="004E4B95">
        <w:rPr>
          <w:rFonts w:ascii="Avenir Next" w:hAnsi="Avenir Next" w:cs="Arial"/>
          <w:sz w:val="22"/>
          <w:szCs w:val="22"/>
          <w:u w:val="single"/>
          <w:lang w:val="en-GB"/>
        </w:rPr>
        <w:t>has been “defined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 case”</w:t>
      </w:r>
      <w:r w:rsidR="00DE1FAA">
        <w:rPr>
          <w:rFonts w:ascii="Avenir Next" w:hAnsi="Avenir Next" w:cs="Arial"/>
          <w:sz w:val="22"/>
          <w:szCs w:val="22"/>
          <w:u w:val="single"/>
          <w:lang w:val="en-GB"/>
        </w:rPr>
        <w:t>.</w:t>
      </w:r>
    </w:p>
    <w:p w14:paraId="2B929E5C" w14:textId="77777777" w:rsidR="00E4200C" w:rsidRDefault="00E4200C" w:rsidP="004E4B95">
      <w:pPr>
        <w:jc w:val="both"/>
        <w:rPr>
          <w:rFonts w:ascii="Avenir Next" w:hAnsi="Avenir Next" w:cs="Arial"/>
          <w:sz w:val="22"/>
          <w:szCs w:val="22"/>
          <w:u w:val="single"/>
          <w:lang w:val="en-GB"/>
        </w:rPr>
      </w:pPr>
    </w:p>
    <w:p w14:paraId="3C7B3AE1" w14:textId="1821EAA3" w:rsidR="00E4200C" w:rsidRPr="004E4B95" w:rsidRDefault="00E4200C" w:rsidP="004E4B95">
      <w:pPr>
        <w:jc w:val="both"/>
        <w:rPr>
          <w:rFonts w:ascii="Avenir Next" w:hAnsi="Avenir Next" w:cs="Arial"/>
          <w:sz w:val="22"/>
          <w:szCs w:val="22"/>
          <w:u w:val="single"/>
          <w:lang w:val="en-GB"/>
        </w:rPr>
      </w:pPr>
      <w:r>
        <w:rPr>
          <w:rFonts w:ascii="Avenir Next" w:hAnsi="Avenir Next" w:cs="Arial"/>
          <w:sz w:val="22"/>
          <w:szCs w:val="22"/>
          <w:u w:val="single"/>
          <w:lang w:val="en-GB"/>
        </w:rPr>
        <w:t xml:space="preserve">At its most general, therefore, the definition of “international insolvency law” is defined as a situation where insolvency proceedings have </w:t>
      </w:r>
      <w:r w:rsidR="002D0304">
        <w:rPr>
          <w:rFonts w:ascii="Avenir Next" w:hAnsi="Avenir Next" w:cs="Arial"/>
          <w:sz w:val="22"/>
          <w:szCs w:val="22"/>
          <w:u w:val="single"/>
          <w:lang w:val="en-GB"/>
        </w:rPr>
        <w:t>a foreign or international element in its resolution.</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155B776A" w14:textId="77777777" w:rsidR="008C08C8" w:rsidRPr="00F52397" w:rsidRDefault="008C08C8" w:rsidP="00E03FDE">
      <w:pPr>
        <w:jc w:val="both"/>
        <w:rPr>
          <w:rFonts w:ascii="Avenir Next" w:hAnsi="Avenir Next" w:cs="Arial"/>
          <w:sz w:val="22"/>
          <w:szCs w:val="22"/>
          <w:lang w:val="en-GB"/>
        </w:rPr>
      </w:pPr>
    </w:p>
    <w:p w14:paraId="6053D3DB" w14:textId="40193D02" w:rsidR="00A3469C" w:rsidRPr="00F52397" w:rsidRDefault="001529F7" w:rsidP="00E03FDE">
      <w:pPr>
        <w:jc w:val="both"/>
        <w:rPr>
          <w:rFonts w:ascii="Avenir Next" w:hAnsi="Avenir Next" w:cs="Arial"/>
          <w:sz w:val="22"/>
          <w:szCs w:val="22"/>
          <w:lang w:val="en-GB"/>
        </w:rPr>
      </w:pPr>
      <w:r w:rsidRPr="00F52397">
        <w:rPr>
          <w:rFonts w:ascii="Avenir Next" w:hAnsi="Avenir Next" w:cs="Arial"/>
          <w:sz w:val="22"/>
          <w:szCs w:val="22"/>
          <w:lang w:val="en-GB"/>
        </w:rPr>
        <w:t>There are four</w:t>
      </w:r>
      <w:r w:rsidR="008C08C8" w:rsidRPr="00F52397">
        <w:rPr>
          <w:rFonts w:ascii="Avenir Next" w:hAnsi="Avenir Next" w:cs="Arial"/>
          <w:sz w:val="22"/>
          <w:szCs w:val="22"/>
          <w:lang w:val="en-GB"/>
        </w:rPr>
        <w:t xml:space="preserve"> </w:t>
      </w:r>
      <w:r w:rsidR="00A3469C" w:rsidRPr="00F52397">
        <w:rPr>
          <w:rFonts w:ascii="Avenir Next" w:hAnsi="Avenir Next" w:cs="Arial"/>
          <w:sz w:val="22"/>
          <w:szCs w:val="22"/>
          <w:lang w:val="en-GB"/>
        </w:rPr>
        <w:t xml:space="preserve">key differences </w:t>
      </w:r>
      <w:r w:rsidRPr="00F52397">
        <w:rPr>
          <w:rFonts w:ascii="Avenir Next" w:hAnsi="Avenir Next" w:cs="Arial"/>
          <w:sz w:val="22"/>
          <w:szCs w:val="22"/>
          <w:lang w:val="en-GB"/>
        </w:rPr>
        <w:t>between the concepts of universality and territoriality</w:t>
      </w:r>
      <w:r w:rsidR="00A3469C" w:rsidRPr="00F52397">
        <w:rPr>
          <w:rFonts w:ascii="Avenir Next" w:hAnsi="Avenir Next" w:cs="Arial"/>
          <w:sz w:val="22"/>
          <w:szCs w:val="22"/>
          <w:lang w:val="en-GB"/>
        </w:rPr>
        <w:t>:</w:t>
      </w:r>
    </w:p>
    <w:p w14:paraId="2D3010C1" w14:textId="7CC47B25" w:rsidR="00A3469C" w:rsidRPr="0017698C" w:rsidRDefault="00A3469C" w:rsidP="00F52397">
      <w:pPr>
        <w:pStyle w:val="ListParagraph"/>
        <w:numPr>
          <w:ilvl w:val="0"/>
          <w:numId w:val="23"/>
        </w:numPr>
        <w:ind w:left="567" w:hanging="567"/>
        <w:jc w:val="both"/>
        <w:rPr>
          <w:rFonts w:ascii="Avenir Next" w:hAnsi="Avenir Next" w:cs="Arial"/>
          <w:sz w:val="22"/>
          <w:szCs w:val="22"/>
          <w:u w:val="single"/>
          <w:lang w:val="en-GB"/>
        </w:rPr>
      </w:pPr>
      <w:r w:rsidRPr="0017698C">
        <w:rPr>
          <w:rFonts w:ascii="Avenir Next" w:hAnsi="Avenir Next" w:cs="Arial"/>
          <w:b/>
          <w:bCs/>
          <w:sz w:val="22"/>
          <w:szCs w:val="22"/>
          <w:u w:val="single"/>
          <w:lang w:val="en-GB"/>
        </w:rPr>
        <w:lastRenderedPageBreak/>
        <w:t>The number of proceedings</w:t>
      </w:r>
      <w:r w:rsidRPr="0017698C">
        <w:rPr>
          <w:rFonts w:ascii="Avenir Next" w:hAnsi="Avenir Next" w:cs="Arial"/>
          <w:sz w:val="22"/>
          <w:szCs w:val="22"/>
          <w:u w:val="single"/>
          <w:lang w:val="en-GB"/>
        </w:rPr>
        <w:t>. Whereas Universality posits that only a single insolvency proceeding may take place in respect of one debtor</w:t>
      </w:r>
      <w:r w:rsidR="002C3E91" w:rsidRPr="0017698C">
        <w:rPr>
          <w:rFonts w:ascii="Avenir Next" w:hAnsi="Avenir Next" w:cs="Arial"/>
          <w:sz w:val="22"/>
          <w:szCs w:val="22"/>
          <w:u w:val="single"/>
          <w:lang w:val="en-GB"/>
        </w:rPr>
        <w:t xml:space="preserve"> in one state</w:t>
      </w:r>
      <w:r w:rsidRPr="0017698C">
        <w:rPr>
          <w:rFonts w:ascii="Avenir Next" w:hAnsi="Avenir Next" w:cs="Arial"/>
          <w:sz w:val="22"/>
          <w:szCs w:val="22"/>
          <w:u w:val="single"/>
          <w:lang w:val="en-GB"/>
        </w:rPr>
        <w:t xml:space="preserve">, Territoriality states that </w:t>
      </w:r>
      <w:r w:rsidR="002C3E91" w:rsidRPr="0017698C">
        <w:rPr>
          <w:rFonts w:ascii="Avenir Next" w:hAnsi="Avenir Next" w:cs="Arial"/>
          <w:sz w:val="22"/>
          <w:szCs w:val="22"/>
          <w:u w:val="single"/>
          <w:lang w:val="en-GB"/>
        </w:rPr>
        <w:t xml:space="preserve">multiple </w:t>
      </w:r>
      <w:r w:rsidRPr="0017698C">
        <w:rPr>
          <w:rFonts w:ascii="Avenir Next" w:hAnsi="Avenir Next" w:cs="Arial"/>
          <w:sz w:val="22"/>
          <w:szCs w:val="22"/>
          <w:u w:val="single"/>
          <w:lang w:val="en-GB"/>
        </w:rPr>
        <w:t xml:space="preserve">concurrent </w:t>
      </w:r>
      <w:r w:rsidR="002C3E91" w:rsidRPr="0017698C">
        <w:rPr>
          <w:rFonts w:ascii="Avenir Next" w:hAnsi="Avenir Next" w:cs="Arial"/>
          <w:sz w:val="22"/>
          <w:szCs w:val="22"/>
          <w:u w:val="single"/>
          <w:lang w:val="en-GB"/>
        </w:rPr>
        <w:t>insolvency proceeding may take place in respect of one debtor across the respective states.</w:t>
      </w:r>
    </w:p>
    <w:p w14:paraId="5B95E9BF" w14:textId="577BF64A" w:rsidR="002418EE" w:rsidRPr="0017698C" w:rsidRDefault="002418EE" w:rsidP="00F52397">
      <w:pPr>
        <w:pStyle w:val="ListParagraph"/>
        <w:numPr>
          <w:ilvl w:val="0"/>
          <w:numId w:val="23"/>
        </w:numPr>
        <w:ind w:left="567" w:hanging="567"/>
        <w:jc w:val="both"/>
        <w:rPr>
          <w:rFonts w:ascii="Avenir Next" w:hAnsi="Avenir Next" w:cs="Arial"/>
          <w:sz w:val="22"/>
          <w:szCs w:val="22"/>
          <w:u w:val="single"/>
          <w:lang w:val="en-GB"/>
        </w:rPr>
      </w:pPr>
      <w:r w:rsidRPr="0017698C">
        <w:rPr>
          <w:rFonts w:ascii="Avenir Next" w:hAnsi="Avenir Next" w:cs="Arial"/>
          <w:b/>
          <w:bCs/>
          <w:sz w:val="22"/>
          <w:szCs w:val="22"/>
          <w:u w:val="single"/>
          <w:lang w:val="en-GB"/>
        </w:rPr>
        <w:t>The courts that can oversee the proceedings</w:t>
      </w:r>
      <w:r w:rsidRPr="0017698C">
        <w:rPr>
          <w:rFonts w:ascii="Avenir Next" w:hAnsi="Avenir Next" w:cs="Arial"/>
          <w:sz w:val="22"/>
          <w:szCs w:val="22"/>
          <w:u w:val="single"/>
          <w:lang w:val="en-GB"/>
        </w:rPr>
        <w:t xml:space="preserve">. Whereas Universality posits that there be one court in one chosen state to administer and oversee the insolvency </w:t>
      </w:r>
      <w:proofErr w:type="gramStart"/>
      <w:r w:rsidRPr="0017698C">
        <w:rPr>
          <w:rFonts w:ascii="Avenir Next" w:hAnsi="Avenir Next" w:cs="Arial"/>
          <w:sz w:val="22"/>
          <w:szCs w:val="22"/>
          <w:u w:val="single"/>
          <w:lang w:val="en-GB"/>
        </w:rPr>
        <w:t>proceeding,,</w:t>
      </w:r>
      <w:proofErr w:type="gramEnd"/>
      <w:r w:rsidRPr="0017698C">
        <w:rPr>
          <w:rFonts w:ascii="Avenir Next" w:hAnsi="Avenir Next" w:cs="Arial"/>
          <w:sz w:val="22"/>
          <w:szCs w:val="22"/>
          <w:u w:val="single"/>
          <w:lang w:val="en-GB"/>
        </w:rPr>
        <w:t xml:space="preserve"> Territoriality states that there can be multiple courts overseeing the insolvency processes in each jurisdiction in respect of the same debtor.</w:t>
      </w:r>
    </w:p>
    <w:p w14:paraId="7A1C2EC2" w14:textId="11802146" w:rsidR="002C3E91" w:rsidRPr="0017698C" w:rsidRDefault="002C3E91" w:rsidP="00F52397">
      <w:pPr>
        <w:pStyle w:val="ListParagraph"/>
        <w:numPr>
          <w:ilvl w:val="0"/>
          <w:numId w:val="23"/>
        </w:numPr>
        <w:ind w:left="567" w:hanging="567"/>
        <w:jc w:val="both"/>
        <w:rPr>
          <w:rFonts w:ascii="Avenir Next" w:hAnsi="Avenir Next" w:cs="Arial"/>
          <w:sz w:val="22"/>
          <w:szCs w:val="22"/>
          <w:u w:val="single"/>
          <w:lang w:val="en-GB"/>
        </w:rPr>
      </w:pPr>
      <w:r w:rsidRPr="0017698C">
        <w:rPr>
          <w:rFonts w:ascii="Avenir Next" w:hAnsi="Avenir Next" w:cs="Arial"/>
          <w:b/>
          <w:bCs/>
          <w:sz w:val="22"/>
          <w:szCs w:val="22"/>
          <w:u w:val="single"/>
          <w:lang w:val="en-GB"/>
        </w:rPr>
        <w:t xml:space="preserve">The </w:t>
      </w:r>
      <w:r w:rsidR="00A50FD0" w:rsidRPr="0017698C">
        <w:rPr>
          <w:rFonts w:ascii="Avenir Next" w:hAnsi="Avenir Next" w:cs="Arial"/>
          <w:b/>
          <w:bCs/>
          <w:sz w:val="22"/>
          <w:szCs w:val="22"/>
          <w:u w:val="single"/>
          <w:lang w:val="en-GB"/>
        </w:rPr>
        <w:t>debtor’s assets in the insolvency proceeding</w:t>
      </w:r>
      <w:r w:rsidR="00A50FD0" w:rsidRPr="0017698C">
        <w:rPr>
          <w:rFonts w:ascii="Avenir Next" w:hAnsi="Avenir Next" w:cs="Arial"/>
          <w:sz w:val="22"/>
          <w:szCs w:val="22"/>
          <w:u w:val="single"/>
          <w:lang w:val="en-GB"/>
        </w:rPr>
        <w:t xml:space="preserve">. Whereas Universality states that all of the debtor’s assets, regardless of where it is located, should be included in that single proceeding, </w:t>
      </w:r>
      <w:r w:rsidR="00EB49E6" w:rsidRPr="0017698C">
        <w:rPr>
          <w:rFonts w:ascii="Avenir Next" w:hAnsi="Avenir Next" w:cs="Arial"/>
          <w:sz w:val="22"/>
          <w:szCs w:val="22"/>
          <w:u w:val="single"/>
          <w:lang w:val="en-GB"/>
        </w:rPr>
        <w:t>Territorialism states that</w:t>
      </w:r>
      <w:r w:rsidR="008B3CB7" w:rsidRPr="0017698C">
        <w:rPr>
          <w:rFonts w:ascii="Avenir Next" w:hAnsi="Avenir Next" w:cs="Arial"/>
          <w:sz w:val="22"/>
          <w:szCs w:val="22"/>
          <w:u w:val="single"/>
          <w:lang w:val="en-GB"/>
        </w:rPr>
        <w:t xml:space="preserve"> the pool of assets available to creditors should be</w:t>
      </w:r>
      <w:r w:rsidR="00EB49E6" w:rsidRPr="0017698C">
        <w:rPr>
          <w:rFonts w:ascii="Avenir Next" w:hAnsi="Avenir Next" w:cs="Arial"/>
          <w:sz w:val="22"/>
          <w:szCs w:val="22"/>
          <w:u w:val="single"/>
          <w:lang w:val="en-GB"/>
        </w:rPr>
        <w:t xml:space="preserve"> </w:t>
      </w:r>
      <w:r w:rsidR="008B3CB7" w:rsidRPr="0017698C">
        <w:rPr>
          <w:rFonts w:ascii="Avenir Next" w:hAnsi="Avenir Next" w:cs="Arial"/>
          <w:sz w:val="22"/>
          <w:szCs w:val="22"/>
          <w:u w:val="single"/>
          <w:lang w:val="en-GB"/>
        </w:rPr>
        <w:t>territorially limited and restricted to property within the State where the proceedings are opened</w:t>
      </w:r>
      <w:r w:rsidR="00EB49E6" w:rsidRPr="0017698C">
        <w:rPr>
          <w:rFonts w:ascii="Avenir Next" w:hAnsi="Avenir Next" w:cs="Arial"/>
          <w:sz w:val="22"/>
          <w:szCs w:val="22"/>
          <w:u w:val="single"/>
          <w:lang w:val="en-GB"/>
        </w:rPr>
        <w:t xml:space="preserve">. </w:t>
      </w:r>
    </w:p>
    <w:p w14:paraId="26EDEF3D" w14:textId="77777777" w:rsidR="008B3CB7" w:rsidRPr="0017698C" w:rsidRDefault="00EB49E6" w:rsidP="00F52397">
      <w:pPr>
        <w:pStyle w:val="ListParagraph"/>
        <w:numPr>
          <w:ilvl w:val="0"/>
          <w:numId w:val="23"/>
        </w:numPr>
        <w:ind w:left="567" w:hanging="567"/>
        <w:jc w:val="both"/>
        <w:rPr>
          <w:rFonts w:ascii="Avenir Next" w:hAnsi="Avenir Next" w:cs="Arial"/>
          <w:sz w:val="22"/>
          <w:szCs w:val="22"/>
          <w:u w:val="single"/>
          <w:lang w:val="en-GB"/>
        </w:rPr>
      </w:pPr>
      <w:r w:rsidRPr="0017698C">
        <w:rPr>
          <w:rFonts w:ascii="Avenir Next" w:hAnsi="Avenir Next" w:cs="Arial"/>
          <w:b/>
          <w:bCs/>
          <w:sz w:val="22"/>
          <w:szCs w:val="22"/>
          <w:u w:val="single"/>
          <w:lang w:val="en-GB"/>
        </w:rPr>
        <w:t xml:space="preserve">The </w:t>
      </w:r>
      <w:r w:rsidR="008B3CB7" w:rsidRPr="0017698C">
        <w:rPr>
          <w:rFonts w:ascii="Avenir Next" w:hAnsi="Avenir Next" w:cs="Arial"/>
          <w:b/>
          <w:bCs/>
          <w:sz w:val="22"/>
          <w:szCs w:val="22"/>
          <w:u w:val="single"/>
          <w:lang w:val="en-GB"/>
        </w:rPr>
        <w:t>extent of the insolvency officeholder’s powers</w:t>
      </w:r>
      <w:r w:rsidR="008B3CB7" w:rsidRPr="0017698C">
        <w:rPr>
          <w:rFonts w:ascii="Avenir Next" w:hAnsi="Avenir Next" w:cs="Arial"/>
          <w:sz w:val="22"/>
          <w:szCs w:val="22"/>
          <w:u w:val="single"/>
          <w:lang w:val="en-GB"/>
        </w:rPr>
        <w:t>. Whereas Universality states that the insolvency officeholder being granted the powers and abilities to control and obtain all the debtor’s assets, wherever they are located, Territorialism does not prescribe the insolvency officeholder such far reaching powers. Rather, the officeholder would have a mandate which would be confined to the national borders of the State where the insolvency proceedings are taking place.</w:t>
      </w:r>
    </w:p>
    <w:p w14:paraId="7320B37F" w14:textId="75A87093" w:rsidR="002D25C5" w:rsidRPr="0017698C" w:rsidRDefault="008B3CB7" w:rsidP="00F52397">
      <w:pPr>
        <w:pStyle w:val="ListParagraph"/>
        <w:numPr>
          <w:ilvl w:val="0"/>
          <w:numId w:val="23"/>
        </w:numPr>
        <w:ind w:left="567" w:hanging="567"/>
        <w:jc w:val="both"/>
        <w:rPr>
          <w:rFonts w:ascii="Avenir Next" w:hAnsi="Avenir Next" w:cs="Arial"/>
          <w:sz w:val="22"/>
          <w:szCs w:val="22"/>
          <w:u w:val="single"/>
          <w:lang w:val="en-GB"/>
        </w:rPr>
      </w:pPr>
      <w:r w:rsidRPr="0017698C">
        <w:rPr>
          <w:rFonts w:ascii="Avenir Next" w:hAnsi="Avenir Next" w:cs="Arial"/>
          <w:b/>
          <w:bCs/>
          <w:sz w:val="22"/>
          <w:szCs w:val="22"/>
          <w:u w:val="single"/>
          <w:lang w:val="en-GB"/>
        </w:rPr>
        <w:t>The extent of creditor participation</w:t>
      </w:r>
      <w:r w:rsidRPr="0017698C">
        <w:rPr>
          <w:rFonts w:ascii="Avenir Next" w:hAnsi="Avenir Next" w:cs="Arial"/>
          <w:sz w:val="22"/>
          <w:szCs w:val="22"/>
          <w:u w:val="single"/>
          <w:lang w:val="en-GB"/>
        </w:rPr>
        <w:t>. Whereas Universality permits all creditors globally having an opportunity to participate in that single proceeding, with all of their claims treated on an equal basis, Territorialism states that proceedings would be restricted in so far as only domestic creditors may file their claims.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572227E7" w14:textId="10041403" w:rsidR="0045683E" w:rsidRDefault="0045683E" w:rsidP="00C053F7">
      <w:pPr>
        <w:jc w:val="both"/>
        <w:rPr>
          <w:rFonts w:ascii="Avenir Next" w:hAnsi="Avenir Next" w:cs="Arial"/>
          <w:sz w:val="22"/>
          <w:szCs w:val="22"/>
          <w:lang w:val="en-GB"/>
        </w:rPr>
      </w:pPr>
    </w:p>
    <w:p w14:paraId="3ABC422B" w14:textId="49A715D7" w:rsidR="00F52397" w:rsidRDefault="00F52397" w:rsidP="00C053F7">
      <w:pPr>
        <w:jc w:val="both"/>
        <w:rPr>
          <w:rFonts w:ascii="Avenir Next" w:hAnsi="Avenir Next" w:cs="Arial"/>
          <w:sz w:val="22"/>
          <w:szCs w:val="22"/>
          <w:lang w:val="en-GB"/>
        </w:rPr>
      </w:pPr>
      <w:r>
        <w:rPr>
          <w:rFonts w:ascii="Avenir Next" w:hAnsi="Avenir Next" w:cs="Arial"/>
          <w:sz w:val="22"/>
          <w:szCs w:val="22"/>
          <w:lang w:val="en-GB"/>
        </w:rPr>
        <w:t>The three examples of developments are as follows:</w:t>
      </w:r>
    </w:p>
    <w:p w14:paraId="03EC496B" w14:textId="17C4B355" w:rsidR="00F52397" w:rsidRPr="0017698C" w:rsidRDefault="001B645A" w:rsidP="00F52397">
      <w:pPr>
        <w:pStyle w:val="ListParagraph"/>
        <w:numPr>
          <w:ilvl w:val="0"/>
          <w:numId w:val="24"/>
        </w:numPr>
        <w:ind w:left="567" w:hanging="567"/>
        <w:jc w:val="both"/>
        <w:rPr>
          <w:rFonts w:ascii="Avenir Next" w:hAnsi="Avenir Next" w:cs="Arial"/>
          <w:sz w:val="22"/>
          <w:szCs w:val="22"/>
          <w:u w:val="single"/>
          <w:lang w:val="en-GB"/>
        </w:rPr>
      </w:pPr>
      <w:r w:rsidRPr="0017698C">
        <w:rPr>
          <w:rFonts w:ascii="Avenir Next" w:hAnsi="Avenir Next" w:cs="Arial"/>
          <w:sz w:val="22"/>
          <w:szCs w:val="22"/>
          <w:u w:val="single"/>
          <w:lang w:val="en-GB"/>
        </w:rPr>
        <w:t>In 2016, the UAE introduced widespread reforms to its restructuring procedures, through the introduction of the UAE Bankruptcy Law, Law No. 9 of 2016, which came into force on 29 December 2016 (the 2016 Law).</w:t>
      </w:r>
    </w:p>
    <w:p w14:paraId="4668E522" w14:textId="77777777" w:rsidR="001E0558" w:rsidRDefault="00D14DF5" w:rsidP="001E0558">
      <w:pPr>
        <w:pStyle w:val="ListParagraph"/>
        <w:numPr>
          <w:ilvl w:val="0"/>
          <w:numId w:val="24"/>
        </w:numPr>
        <w:ind w:left="567" w:hanging="567"/>
        <w:jc w:val="both"/>
        <w:rPr>
          <w:rFonts w:ascii="Avenir Next" w:hAnsi="Avenir Next" w:cs="Arial"/>
          <w:sz w:val="22"/>
          <w:szCs w:val="22"/>
          <w:u w:val="single"/>
          <w:lang w:val="en-GB"/>
        </w:rPr>
      </w:pPr>
      <w:r w:rsidRPr="0017698C">
        <w:rPr>
          <w:rFonts w:ascii="Avenir Next" w:hAnsi="Avenir Next" w:cs="Arial"/>
          <w:sz w:val="22"/>
          <w:szCs w:val="22"/>
          <w:u w:val="single"/>
          <w:lang w:val="en-GB"/>
        </w:rPr>
        <w:t xml:space="preserve">In 2019, </w:t>
      </w:r>
      <w:r w:rsidR="00BC719F" w:rsidRPr="0017698C">
        <w:rPr>
          <w:rFonts w:ascii="Avenir Next" w:hAnsi="Avenir Next" w:cs="Arial"/>
          <w:sz w:val="22"/>
          <w:szCs w:val="22"/>
          <w:u w:val="single"/>
          <w:lang w:val="en-GB"/>
        </w:rPr>
        <w:t>the Dubai International Financial Centre</w:t>
      </w:r>
      <w:r w:rsidR="007C764A" w:rsidRPr="0017698C">
        <w:rPr>
          <w:rFonts w:ascii="Avenir Next" w:hAnsi="Avenir Next" w:cs="Arial"/>
          <w:sz w:val="22"/>
          <w:szCs w:val="22"/>
          <w:u w:val="single"/>
          <w:lang w:val="en-GB"/>
        </w:rPr>
        <w:t xml:space="preserve"> (“DIFC”) enacted the DIFC</w:t>
      </w:r>
      <w:r w:rsidR="00BC719F" w:rsidRPr="0017698C">
        <w:rPr>
          <w:rFonts w:ascii="Avenir Next" w:hAnsi="Avenir Next" w:cs="Arial"/>
          <w:sz w:val="22"/>
          <w:szCs w:val="22"/>
          <w:u w:val="single"/>
          <w:lang w:val="en-GB"/>
        </w:rPr>
        <w:t xml:space="preserve"> Insolvency Law, Law No. 1 of 2019 (and its supporting regulations), </w:t>
      </w:r>
      <w:r w:rsidR="007C764A" w:rsidRPr="0017698C">
        <w:rPr>
          <w:rFonts w:ascii="Avenir Next" w:hAnsi="Avenir Next" w:cs="Arial"/>
          <w:sz w:val="22"/>
          <w:szCs w:val="22"/>
          <w:u w:val="single"/>
          <w:lang w:val="en-GB"/>
        </w:rPr>
        <w:t>introducing the following features</w:t>
      </w:r>
      <w:r w:rsidR="00BC719F" w:rsidRPr="0017698C">
        <w:rPr>
          <w:rFonts w:ascii="Avenir Next" w:hAnsi="Avenir Next" w:cs="Arial"/>
          <w:sz w:val="22"/>
          <w:szCs w:val="22"/>
          <w:u w:val="single"/>
          <w:lang w:val="en-GB"/>
        </w:rPr>
        <w:t>: (</w:t>
      </w:r>
      <w:proofErr w:type="spellStart"/>
      <w:r w:rsidR="00BC719F" w:rsidRPr="0017698C">
        <w:rPr>
          <w:rFonts w:ascii="Avenir Next" w:hAnsi="Avenir Next" w:cs="Arial"/>
          <w:sz w:val="22"/>
          <w:szCs w:val="22"/>
          <w:u w:val="single"/>
          <w:lang w:val="en-GB"/>
        </w:rPr>
        <w:t>i</w:t>
      </w:r>
      <w:proofErr w:type="spellEnd"/>
      <w:r w:rsidR="00BC719F" w:rsidRPr="0017698C">
        <w:rPr>
          <w:rFonts w:ascii="Avenir Next" w:hAnsi="Avenir Next" w:cs="Arial"/>
          <w:sz w:val="22"/>
          <w:szCs w:val="22"/>
          <w:u w:val="single"/>
          <w:lang w:val="en-GB"/>
        </w:rPr>
        <w:t>) English-style voluntary arrangements; (ii) a process for rehabilitation of debtors; and (iii) a comprehensive framework for the recognition of foreign insolvency proceedings by the DIFC courts</w:t>
      </w:r>
      <w:r w:rsidR="00056E6C" w:rsidRPr="0017698C">
        <w:rPr>
          <w:rFonts w:ascii="Avenir Next" w:hAnsi="Avenir Next" w:cs="Arial"/>
          <w:sz w:val="22"/>
          <w:szCs w:val="22"/>
          <w:u w:val="single"/>
          <w:lang w:val="en-GB"/>
        </w:rPr>
        <w:t xml:space="preserve"> premised on the adoption of the Model Law on Cross-Border Insolvency.</w:t>
      </w:r>
    </w:p>
    <w:p w14:paraId="383B5930" w14:textId="6DE00691" w:rsidR="00C550C8" w:rsidRPr="001E0558" w:rsidRDefault="007D168F" w:rsidP="001E0558">
      <w:pPr>
        <w:pStyle w:val="ListParagraph"/>
        <w:numPr>
          <w:ilvl w:val="0"/>
          <w:numId w:val="24"/>
        </w:numPr>
        <w:ind w:left="567" w:hanging="567"/>
        <w:jc w:val="both"/>
        <w:rPr>
          <w:rFonts w:ascii="Avenir Next" w:hAnsi="Avenir Next" w:cs="Arial"/>
          <w:sz w:val="22"/>
          <w:szCs w:val="22"/>
          <w:u w:val="single"/>
          <w:lang w:val="en-GB"/>
        </w:rPr>
      </w:pPr>
      <w:r w:rsidRPr="001E0558">
        <w:rPr>
          <w:rFonts w:ascii="Avenir Next" w:hAnsi="Avenir Next" w:cs="Arial"/>
          <w:sz w:val="22"/>
          <w:szCs w:val="22"/>
          <w:u w:val="single"/>
          <w:lang w:val="en-GB"/>
        </w:rPr>
        <w:t xml:space="preserve">In 2018, the Saudi Arabian Ministry of Commerce and Investment (MOCI) published and enacted the Bankruptcy Law (New Law), which </w:t>
      </w:r>
      <w:r w:rsidR="00367493" w:rsidRPr="001E0558">
        <w:rPr>
          <w:rFonts w:ascii="Avenir Next" w:hAnsi="Avenir Next" w:cs="Arial"/>
          <w:sz w:val="22"/>
          <w:szCs w:val="22"/>
          <w:u w:val="single"/>
          <w:lang w:val="en-GB"/>
        </w:rPr>
        <w:t xml:space="preserve">seeks to deliver a law which is modern in its approach, comprehensive in its scope, and transparent, predictable, and efficient in its intended operation. The reforms focus on ensuring an efficient management of a debtor's estate, including the preservation of enterprise value </w:t>
      </w:r>
      <w:r w:rsidR="00367493" w:rsidRPr="001E0558">
        <w:rPr>
          <w:rFonts w:ascii="Avenir Next" w:hAnsi="Avenir Next" w:cs="Arial"/>
          <w:sz w:val="22"/>
          <w:szCs w:val="22"/>
          <w:u w:val="single"/>
          <w:lang w:val="en-GB"/>
        </w:rPr>
        <w:lastRenderedPageBreak/>
        <w:t>where possible, and the maximisation of realisable value and redeployment of capital where necessary.</w:t>
      </w:r>
    </w:p>
    <w:p w14:paraId="608DD0BD" w14:textId="77777777" w:rsidR="00286AE6" w:rsidRPr="0017698C" w:rsidRDefault="00286AE6">
      <w:pPr>
        <w:rPr>
          <w:rFonts w:ascii="Avenir Next" w:hAnsi="Avenir Next" w:cs="Arial"/>
          <w:b/>
          <w:sz w:val="22"/>
          <w:szCs w:val="22"/>
          <w:u w:val="single"/>
          <w:lang w:val="en-GB"/>
        </w:rPr>
      </w:pPr>
      <w:r w:rsidRPr="0017698C">
        <w:rPr>
          <w:rFonts w:ascii="Avenir Next" w:hAnsi="Avenir Next" w:cs="Arial"/>
          <w:b/>
          <w:sz w:val="22"/>
          <w:szCs w:val="22"/>
          <w:u w:val="single"/>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17698C" w:rsidRDefault="00C550C8" w:rsidP="00C053F7">
      <w:pPr>
        <w:jc w:val="both"/>
        <w:rPr>
          <w:rFonts w:ascii="Avenir Next" w:hAnsi="Avenir Next" w:cs="Arial"/>
          <w:sz w:val="22"/>
          <w:szCs w:val="22"/>
          <w:lang w:val="en-GB"/>
        </w:rPr>
      </w:pPr>
    </w:p>
    <w:p w14:paraId="4024A332" w14:textId="5112197A" w:rsidR="00544127" w:rsidRPr="0017698C" w:rsidRDefault="00106B48" w:rsidP="00C053F7">
      <w:pPr>
        <w:jc w:val="both"/>
        <w:rPr>
          <w:rFonts w:ascii="Avenir Next" w:hAnsi="Avenir Next" w:cs="Arial"/>
          <w:sz w:val="22"/>
          <w:szCs w:val="22"/>
          <w:u w:val="single"/>
          <w:lang w:val="en-GB"/>
        </w:rPr>
      </w:pPr>
      <w:r w:rsidRPr="0017698C">
        <w:rPr>
          <w:rFonts w:ascii="Avenir Next" w:hAnsi="Avenir Next" w:cs="Arial"/>
          <w:sz w:val="22"/>
          <w:szCs w:val="22"/>
          <w:u w:val="single"/>
          <w:lang w:val="en-GB"/>
        </w:rPr>
        <w:t xml:space="preserve">For individual insolvency, the focus is to protect the debtor from harassment by his creditors, to enable the debtor to make a fresh start, to reduce indebtness by making contributions from present and future income to the estate while at the same time taking his personal circumstances into consideration. </w:t>
      </w:r>
    </w:p>
    <w:p w14:paraId="41075B53" w14:textId="77777777" w:rsidR="00970E46" w:rsidRPr="0017698C" w:rsidRDefault="00970E46" w:rsidP="00C053F7">
      <w:pPr>
        <w:jc w:val="both"/>
        <w:rPr>
          <w:rFonts w:ascii="Avenir Next" w:hAnsi="Avenir Next" w:cs="Arial"/>
          <w:sz w:val="22"/>
          <w:szCs w:val="22"/>
          <w:u w:val="single"/>
          <w:lang w:val="en-GB"/>
        </w:rPr>
      </w:pPr>
    </w:p>
    <w:p w14:paraId="135F3A48" w14:textId="1669F228" w:rsidR="00970E46" w:rsidRPr="0017698C" w:rsidRDefault="00970E46" w:rsidP="00C053F7">
      <w:pPr>
        <w:jc w:val="both"/>
        <w:rPr>
          <w:rFonts w:ascii="Avenir Next" w:hAnsi="Avenir Next" w:cs="Arial"/>
          <w:sz w:val="22"/>
          <w:szCs w:val="22"/>
          <w:u w:val="single"/>
          <w:lang w:val="en-GB"/>
        </w:rPr>
      </w:pPr>
      <w:r w:rsidRPr="0017698C">
        <w:rPr>
          <w:rFonts w:ascii="Avenir Next" w:hAnsi="Avenir Next" w:cs="Arial"/>
          <w:sz w:val="22"/>
          <w:szCs w:val="22"/>
          <w:u w:val="single"/>
          <w:lang w:val="en-GB"/>
        </w:rPr>
        <w:t xml:space="preserve">For corporate insolvency on the other hand, the focus is to preserve the business or the viable parts thereof, and not the company. </w:t>
      </w:r>
      <w:r w:rsidR="00B3110F" w:rsidRPr="0017698C">
        <w:rPr>
          <w:rFonts w:ascii="Avenir Next" w:hAnsi="Avenir Next" w:cs="Arial"/>
          <w:sz w:val="22"/>
          <w:szCs w:val="22"/>
          <w:u w:val="single"/>
          <w:lang w:val="en-GB"/>
        </w:rPr>
        <w:t>Such laws also seek to impose personal liability on persons responsible where personal liability has been abused.</w:t>
      </w:r>
    </w:p>
    <w:p w14:paraId="3C7571AF" w14:textId="77777777" w:rsidR="00441D79" w:rsidRPr="0017698C" w:rsidRDefault="00441D79" w:rsidP="00C053F7">
      <w:pPr>
        <w:jc w:val="both"/>
        <w:rPr>
          <w:rFonts w:ascii="Avenir Next" w:hAnsi="Avenir Next" w:cs="Arial"/>
          <w:sz w:val="22"/>
          <w:szCs w:val="22"/>
          <w:u w:val="single"/>
          <w:lang w:val="en-GB"/>
        </w:rPr>
      </w:pPr>
    </w:p>
    <w:p w14:paraId="405EB8B5" w14:textId="6B550AC6" w:rsidR="00441D79" w:rsidRPr="0017698C" w:rsidRDefault="00441D79" w:rsidP="00C053F7">
      <w:pPr>
        <w:jc w:val="both"/>
        <w:rPr>
          <w:rFonts w:ascii="Avenir Next" w:hAnsi="Avenir Next" w:cs="Arial"/>
          <w:sz w:val="22"/>
          <w:szCs w:val="22"/>
          <w:u w:val="single"/>
          <w:lang w:val="en-GB"/>
        </w:rPr>
      </w:pPr>
      <w:r w:rsidRPr="0017698C">
        <w:rPr>
          <w:rFonts w:ascii="Avenir Next" w:hAnsi="Avenir Next" w:cs="Arial"/>
          <w:sz w:val="22"/>
          <w:szCs w:val="22"/>
          <w:u w:val="single"/>
          <w:lang w:val="en-GB"/>
        </w:rPr>
        <w:t>Further, whereas there are some systems of law</w:t>
      </w:r>
      <w:r w:rsidR="000E6B0A" w:rsidRPr="0017698C">
        <w:rPr>
          <w:rFonts w:ascii="Avenir Next" w:hAnsi="Avenir Next" w:cs="Arial"/>
          <w:sz w:val="22"/>
          <w:szCs w:val="22"/>
          <w:u w:val="single"/>
          <w:lang w:val="en-GB"/>
        </w:rPr>
        <w:t xml:space="preserve"> that permits the individual debtor to have some of his assets exempted from the insolvency process, this is not the case for corporate insolvency, where the corporate debtor must surrender all of its assets to the insolvency officeholder for distribution to the creditors.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384BDE3" w14:textId="745090C6" w:rsidR="00B85FFD" w:rsidRDefault="00EC327F" w:rsidP="00540112">
      <w:pPr>
        <w:jc w:val="both"/>
        <w:rPr>
          <w:rFonts w:ascii="Avenir Next" w:hAnsi="Avenir Next" w:cs="Arial"/>
          <w:sz w:val="22"/>
          <w:szCs w:val="22"/>
          <w:u w:val="single"/>
          <w:shd w:val="clear" w:color="auto" w:fill="FFFFFF"/>
          <w:lang w:val="en-GB"/>
        </w:rPr>
      </w:pPr>
      <w:r w:rsidRPr="00350208">
        <w:rPr>
          <w:rFonts w:ascii="Avenir Next" w:hAnsi="Avenir Next" w:cs="Arial"/>
          <w:sz w:val="22"/>
          <w:szCs w:val="22"/>
          <w:u w:val="single"/>
          <w:shd w:val="clear" w:color="auto" w:fill="FFFFFF"/>
          <w:lang w:val="en-GB"/>
        </w:rPr>
        <w:t>The difficulties which i</w:t>
      </w:r>
      <w:r w:rsidR="00ED0134" w:rsidRPr="00350208">
        <w:rPr>
          <w:rFonts w:ascii="Avenir Next" w:hAnsi="Avenir Next" w:cs="Arial"/>
          <w:sz w:val="22"/>
          <w:szCs w:val="22"/>
          <w:u w:val="single"/>
          <w:shd w:val="clear" w:color="auto" w:fill="FFFFFF"/>
          <w:lang w:val="en-GB"/>
        </w:rPr>
        <w:t xml:space="preserve">nsolvency laws in the cross-border context gives rise to </w:t>
      </w:r>
      <w:r w:rsidRPr="00350208">
        <w:rPr>
          <w:rFonts w:ascii="Avenir Next" w:hAnsi="Avenir Next" w:cs="Arial"/>
          <w:sz w:val="22"/>
          <w:szCs w:val="22"/>
          <w:u w:val="single"/>
          <w:shd w:val="clear" w:color="auto" w:fill="FFFFFF"/>
          <w:lang w:val="en-GB"/>
        </w:rPr>
        <w:t>stems from the</w:t>
      </w:r>
      <w:r w:rsidR="00ED0134" w:rsidRPr="00350208">
        <w:rPr>
          <w:rFonts w:ascii="Avenir Next" w:hAnsi="Avenir Next" w:cs="Arial"/>
          <w:sz w:val="22"/>
          <w:szCs w:val="22"/>
          <w:u w:val="single"/>
          <w:shd w:val="clear" w:color="auto" w:fill="FFFFFF"/>
          <w:lang w:val="en-GB"/>
        </w:rPr>
        <w:t xml:space="preserve"> non-uniform</w:t>
      </w:r>
      <w:r w:rsidRPr="00350208">
        <w:rPr>
          <w:rFonts w:ascii="Avenir Next" w:hAnsi="Avenir Next" w:cs="Arial"/>
          <w:sz w:val="22"/>
          <w:szCs w:val="22"/>
          <w:u w:val="single"/>
          <w:shd w:val="clear" w:color="auto" w:fill="FFFFFF"/>
          <w:lang w:val="en-GB"/>
        </w:rPr>
        <w:t xml:space="preserve"> domestic insolvency laws and regulations governing each jurisdiction.</w:t>
      </w:r>
      <w:r w:rsidR="006B1B9C" w:rsidRPr="00350208">
        <w:rPr>
          <w:rFonts w:ascii="Avenir Next" w:hAnsi="Avenir Next" w:cs="Arial"/>
          <w:sz w:val="22"/>
          <w:szCs w:val="22"/>
          <w:u w:val="single"/>
          <w:shd w:val="clear" w:color="auto" w:fill="FFFFFF"/>
          <w:lang w:val="en-GB"/>
        </w:rPr>
        <w:t xml:space="preserve"> Generally speaking, independent and</w:t>
      </w:r>
      <w:r w:rsidRPr="00350208">
        <w:rPr>
          <w:rFonts w:ascii="Avenir Next" w:hAnsi="Avenir Next" w:cs="Arial"/>
          <w:sz w:val="22"/>
          <w:szCs w:val="22"/>
          <w:u w:val="single"/>
          <w:shd w:val="clear" w:color="auto" w:fill="FFFFFF"/>
          <w:lang w:val="en-GB"/>
        </w:rPr>
        <w:t xml:space="preserve"> </w:t>
      </w:r>
      <w:r w:rsidR="006B1B9C" w:rsidRPr="00350208">
        <w:rPr>
          <w:rFonts w:ascii="Avenir Next" w:hAnsi="Avenir Next" w:cs="Arial"/>
          <w:sz w:val="22"/>
          <w:szCs w:val="22"/>
          <w:u w:val="single"/>
          <w:shd w:val="clear" w:color="auto" w:fill="FFFFFF"/>
          <w:lang w:val="en-GB"/>
        </w:rPr>
        <w:t xml:space="preserve">sovereign </w:t>
      </w:r>
      <w:r w:rsidRPr="00350208">
        <w:rPr>
          <w:rFonts w:ascii="Avenir Next" w:hAnsi="Avenir Next" w:cs="Arial"/>
          <w:sz w:val="22"/>
          <w:szCs w:val="22"/>
          <w:u w:val="single"/>
          <w:shd w:val="clear" w:color="auto" w:fill="FFFFFF"/>
          <w:lang w:val="en-GB"/>
        </w:rPr>
        <w:t>states</w:t>
      </w:r>
      <w:r w:rsidR="006B1B9C" w:rsidRPr="00350208">
        <w:rPr>
          <w:rFonts w:ascii="Avenir Next" w:hAnsi="Avenir Next" w:cs="Arial"/>
          <w:sz w:val="22"/>
          <w:szCs w:val="22"/>
          <w:u w:val="single"/>
          <w:shd w:val="clear" w:color="auto" w:fill="FFFFFF"/>
          <w:lang w:val="en-GB"/>
        </w:rPr>
        <w:t xml:space="preserve"> govern their own legislation</w:t>
      </w:r>
      <w:r w:rsidRPr="00350208">
        <w:rPr>
          <w:rFonts w:ascii="Avenir Next" w:hAnsi="Avenir Next" w:cs="Arial"/>
          <w:sz w:val="22"/>
          <w:szCs w:val="22"/>
          <w:u w:val="single"/>
          <w:shd w:val="clear" w:color="auto" w:fill="FFFFFF"/>
          <w:lang w:val="en-GB"/>
        </w:rPr>
        <w:t>. These states are</w:t>
      </w:r>
      <w:r w:rsidR="006B1B9C" w:rsidRPr="00350208">
        <w:rPr>
          <w:rFonts w:ascii="Avenir Next" w:hAnsi="Avenir Next" w:cs="Arial"/>
          <w:sz w:val="22"/>
          <w:szCs w:val="22"/>
          <w:u w:val="single"/>
          <w:shd w:val="clear" w:color="auto" w:fill="FFFFFF"/>
          <w:lang w:val="en-GB"/>
        </w:rPr>
        <w:t xml:space="preserve"> therefore involved in </w:t>
      </w:r>
      <w:r w:rsidR="00A45BCE">
        <w:rPr>
          <w:rFonts w:ascii="Avenir Next" w:hAnsi="Avenir Next" w:cs="Arial"/>
          <w:sz w:val="22"/>
          <w:szCs w:val="22"/>
          <w:u w:val="single"/>
          <w:shd w:val="clear" w:color="auto" w:fill="FFFFFF"/>
          <w:lang w:val="en-GB"/>
        </w:rPr>
        <w:t>enacting and amending</w:t>
      </w:r>
      <w:r w:rsidR="006B1B9C" w:rsidRPr="00350208">
        <w:rPr>
          <w:rFonts w:ascii="Avenir Next" w:hAnsi="Avenir Next" w:cs="Arial"/>
          <w:sz w:val="22"/>
          <w:szCs w:val="22"/>
          <w:u w:val="single"/>
          <w:shd w:val="clear" w:color="auto" w:fill="FFFFFF"/>
          <w:lang w:val="en-GB"/>
        </w:rPr>
        <w:t xml:space="preserve"> their</w:t>
      </w:r>
      <w:r w:rsidRPr="00350208">
        <w:rPr>
          <w:rFonts w:ascii="Avenir Next" w:hAnsi="Avenir Next" w:cs="Arial"/>
          <w:sz w:val="22"/>
          <w:szCs w:val="22"/>
          <w:u w:val="single"/>
          <w:shd w:val="clear" w:color="auto" w:fill="FFFFFF"/>
          <w:lang w:val="en-GB"/>
        </w:rPr>
        <w:t xml:space="preserve"> </w:t>
      </w:r>
      <w:r w:rsidR="006B1B9C" w:rsidRPr="00350208">
        <w:rPr>
          <w:rFonts w:ascii="Avenir Next" w:hAnsi="Avenir Next" w:cs="Arial"/>
          <w:sz w:val="22"/>
          <w:szCs w:val="22"/>
          <w:u w:val="single"/>
          <w:shd w:val="clear" w:color="auto" w:fill="FFFFFF"/>
          <w:lang w:val="en-GB"/>
        </w:rPr>
        <w:t xml:space="preserve">legislation in order to meet </w:t>
      </w:r>
      <w:r w:rsidR="00A45BCE">
        <w:rPr>
          <w:rFonts w:ascii="Avenir Next" w:hAnsi="Avenir Next" w:cs="Arial"/>
          <w:sz w:val="22"/>
          <w:szCs w:val="22"/>
          <w:u w:val="single"/>
          <w:shd w:val="clear" w:color="auto" w:fill="FFFFFF"/>
          <w:lang w:val="en-GB"/>
        </w:rPr>
        <w:t>domestic interests and</w:t>
      </w:r>
      <w:r w:rsidR="006B1B9C" w:rsidRPr="00350208">
        <w:rPr>
          <w:rFonts w:ascii="Avenir Next" w:hAnsi="Avenir Next" w:cs="Arial"/>
          <w:sz w:val="22"/>
          <w:szCs w:val="22"/>
          <w:u w:val="single"/>
          <w:shd w:val="clear" w:color="auto" w:fill="FFFFFF"/>
          <w:lang w:val="en-GB"/>
        </w:rPr>
        <w:t xml:space="preserve"> challenges.</w:t>
      </w:r>
      <w:r w:rsidR="00AA4830">
        <w:rPr>
          <w:rFonts w:ascii="Avenir Next" w:hAnsi="Avenir Next" w:cs="Arial"/>
          <w:sz w:val="22"/>
          <w:szCs w:val="22"/>
          <w:u w:val="single"/>
          <w:shd w:val="clear" w:color="auto" w:fill="FFFFFF"/>
          <w:lang w:val="en-GB"/>
        </w:rPr>
        <w:t xml:space="preserve"> The</w:t>
      </w:r>
      <w:r w:rsidR="00B85FFD">
        <w:rPr>
          <w:rFonts w:ascii="Avenir Next" w:hAnsi="Avenir Next" w:cs="Arial"/>
          <w:sz w:val="22"/>
          <w:szCs w:val="22"/>
          <w:u w:val="single"/>
          <w:shd w:val="clear" w:color="auto" w:fill="FFFFFF"/>
          <w:lang w:val="en-GB"/>
        </w:rPr>
        <w:t xml:space="preserve"> principles</w:t>
      </w:r>
      <w:r w:rsidR="00AA4830">
        <w:rPr>
          <w:rFonts w:ascii="Avenir Next" w:hAnsi="Avenir Next" w:cs="Arial"/>
          <w:sz w:val="22"/>
          <w:szCs w:val="22"/>
          <w:u w:val="single"/>
          <w:shd w:val="clear" w:color="auto" w:fill="FFFFFF"/>
          <w:lang w:val="en-GB"/>
        </w:rPr>
        <w:t xml:space="preserve"> </w:t>
      </w:r>
      <w:r w:rsidR="00EE3973">
        <w:rPr>
          <w:rFonts w:ascii="Avenir Next" w:hAnsi="Avenir Next" w:cs="Arial"/>
          <w:sz w:val="22"/>
          <w:szCs w:val="22"/>
          <w:u w:val="single"/>
          <w:shd w:val="clear" w:color="auto" w:fill="FFFFFF"/>
          <w:lang w:val="en-GB"/>
        </w:rPr>
        <w:t xml:space="preserve">and </w:t>
      </w:r>
      <w:r w:rsidR="00AA4830">
        <w:rPr>
          <w:rFonts w:ascii="Avenir Next" w:hAnsi="Avenir Next" w:cs="Arial"/>
          <w:sz w:val="22"/>
          <w:szCs w:val="22"/>
          <w:u w:val="single"/>
          <w:shd w:val="clear" w:color="auto" w:fill="FFFFFF"/>
          <w:lang w:val="en-GB"/>
        </w:rPr>
        <w:t>polic</w:t>
      </w:r>
      <w:r w:rsidR="00EE3973">
        <w:rPr>
          <w:rFonts w:ascii="Avenir Next" w:hAnsi="Avenir Next" w:cs="Arial"/>
          <w:sz w:val="22"/>
          <w:szCs w:val="22"/>
          <w:u w:val="single"/>
          <w:shd w:val="clear" w:color="auto" w:fill="FFFFFF"/>
          <w:lang w:val="en-GB"/>
        </w:rPr>
        <w:t xml:space="preserve">ies </w:t>
      </w:r>
      <w:r w:rsidR="00AA4830">
        <w:rPr>
          <w:rFonts w:ascii="Avenir Next" w:hAnsi="Avenir Next" w:cs="Arial"/>
          <w:sz w:val="22"/>
          <w:szCs w:val="22"/>
          <w:u w:val="single"/>
          <w:shd w:val="clear" w:color="auto" w:fill="FFFFFF"/>
          <w:lang w:val="en-GB"/>
        </w:rPr>
        <w:t xml:space="preserve">undergirding each insolvency law is thus likely to vary. </w:t>
      </w:r>
    </w:p>
    <w:p w14:paraId="5FE814D4" w14:textId="2BE0C591" w:rsidR="00B85FFD" w:rsidRDefault="00B85FFD" w:rsidP="00540112">
      <w:pPr>
        <w:jc w:val="both"/>
        <w:rPr>
          <w:rFonts w:ascii="Avenir Next" w:hAnsi="Avenir Next" w:cs="Arial"/>
          <w:sz w:val="22"/>
          <w:szCs w:val="22"/>
          <w:u w:val="single"/>
          <w:shd w:val="clear" w:color="auto" w:fill="FFFFFF"/>
          <w:lang w:val="en-GB"/>
        </w:rPr>
      </w:pPr>
    </w:p>
    <w:p w14:paraId="68097F38" w14:textId="230710EC" w:rsidR="00633D24" w:rsidRDefault="00B85FFD" w:rsidP="00633D24">
      <w:pPr>
        <w:jc w:val="both"/>
        <w:rPr>
          <w:rFonts w:ascii="Avenir Next" w:hAnsi="Avenir Next" w:cs="Arial"/>
          <w:sz w:val="22"/>
          <w:szCs w:val="22"/>
          <w:u w:val="single"/>
          <w:shd w:val="clear" w:color="auto" w:fill="FFFFFF"/>
          <w:lang w:val="en-GB"/>
        </w:rPr>
      </w:pPr>
      <w:r>
        <w:rPr>
          <w:rFonts w:ascii="Avenir Next" w:hAnsi="Avenir Next" w:cs="Arial"/>
          <w:sz w:val="22"/>
          <w:szCs w:val="22"/>
          <w:u w:val="single"/>
          <w:shd w:val="clear" w:color="auto" w:fill="FFFFFF"/>
          <w:lang w:val="en-GB"/>
        </w:rPr>
        <w:t xml:space="preserve">In respect of principle, </w:t>
      </w:r>
      <w:r w:rsidR="003F205E">
        <w:rPr>
          <w:rFonts w:ascii="Avenir Next" w:hAnsi="Avenir Next" w:cs="Arial"/>
          <w:sz w:val="22"/>
          <w:szCs w:val="22"/>
          <w:u w:val="single"/>
          <w:shd w:val="clear" w:color="auto" w:fill="FFFFFF"/>
          <w:lang w:val="en-GB"/>
        </w:rPr>
        <w:t xml:space="preserve">the most fundamental of differences </w:t>
      </w:r>
      <w:r w:rsidR="00EE3973">
        <w:rPr>
          <w:rFonts w:ascii="Avenir Next" w:hAnsi="Avenir Next" w:cs="Arial"/>
          <w:sz w:val="22"/>
          <w:szCs w:val="22"/>
          <w:u w:val="single"/>
          <w:shd w:val="clear" w:color="auto" w:fill="FFFFFF"/>
          <w:lang w:val="en-GB"/>
        </w:rPr>
        <w:t xml:space="preserve">may lie in the term “insolvency”. </w:t>
      </w:r>
      <w:r w:rsidR="00F24E55">
        <w:rPr>
          <w:rFonts w:ascii="Avenir Next" w:hAnsi="Avenir Next" w:cs="Arial"/>
          <w:sz w:val="22"/>
          <w:szCs w:val="22"/>
          <w:u w:val="single"/>
          <w:shd w:val="clear" w:color="auto" w:fill="FFFFFF"/>
          <w:lang w:val="en-GB"/>
        </w:rPr>
        <w:t>While the traditional definition refers to a situation where</w:t>
      </w:r>
      <w:r w:rsidR="00291963" w:rsidRPr="00291963">
        <w:rPr>
          <w:rFonts w:ascii="Avenir Next" w:hAnsi="Avenir Next" w:cs="Arial"/>
          <w:sz w:val="22"/>
          <w:szCs w:val="22"/>
          <w:u w:val="single"/>
          <w:shd w:val="clear" w:color="auto" w:fill="FFFFFF"/>
          <w:lang w:val="en-GB"/>
        </w:rPr>
        <w:t xml:space="preserve"> total liabilities exceeds the debtor’s</w:t>
      </w:r>
      <w:r w:rsidR="00F24E55">
        <w:rPr>
          <w:rFonts w:ascii="Avenir Next" w:hAnsi="Avenir Next" w:cs="Arial"/>
          <w:sz w:val="22"/>
          <w:szCs w:val="22"/>
          <w:u w:val="single"/>
          <w:shd w:val="clear" w:color="auto" w:fill="FFFFFF"/>
          <w:lang w:val="en-GB"/>
        </w:rPr>
        <w:t xml:space="preserve"> total</w:t>
      </w:r>
      <w:r w:rsidR="00291963" w:rsidRPr="00291963">
        <w:rPr>
          <w:rFonts w:ascii="Avenir Next" w:hAnsi="Avenir Next" w:cs="Arial"/>
          <w:sz w:val="22"/>
          <w:szCs w:val="22"/>
          <w:u w:val="single"/>
          <w:shd w:val="clear" w:color="auto" w:fill="FFFFFF"/>
          <w:lang w:val="en-GB"/>
        </w:rPr>
        <w:t xml:space="preserve"> assets</w:t>
      </w:r>
      <w:r w:rsidR="00F24E55">
        <w:rPr>
          <w:rFonts w:ascii="Avenir Next" w:hAnsi="Avenir Next" w:cs="Arial"/>
          <w:sz w:val="22"/>
          <w:szCs w:val="22"/>
          <w:u w:val="single"/>
          <w:shd w:val="clear" w:color="auto" w:fill="FFFFFF"/>
          <w:lang w:val="en-GB"/>
        </w:rPr>
        <w:t xml:space="preserve">, and this occurs for a sustained period. </w:t>
      </w:r>
      <w:r w:rsidR="00291963" w:rsidRPr="00291963">
        <w:rPr>
          <w:rFonts w:ascii="Avenir Next" w:hAnsi="Avenir Next" w:cs="Arial"/>
          <w:sz w:val="22"/>
          <w:szCs w:val="22"/>
          <w:u w:val="single"/>
          <w:shd w:val="clear" w:color="auto" w:fill="FFFFFF"/>
          <w:lang w:val="en-GB"/>
        </w:rPr>
        <w:t xml:space="preserve"> </w:t>
      </w:r>
      <w:r w:rsidR="00F24E55">
        <w:rPr>
          <w:rFonts w:ascii="Avenir Next" w:hAnsi="Avenir Next" w:cs="Arial"/>
          <w:sz w:val="22"/>
          <w:szCs w:val="22"/>
          <w:u w:val="single"/>
          <w:shd w:val="clear" w:color="auto" w:fill="FFFFFF"/>
          <w:lang w:val="en-GB"/>
        </w:rPr>
        <w:t>In some cases, however, a liquidity crisis and other situations where there is an inability to pay debts may also be considered su</w:t>
      </w:r>
      <w:r w:rsidR="00291963" w:rsidRPr="00291963">
        <w:rPr>
          <w:rFonts w:ascii="Avenir Next" w:hAnsi="Avenir Next" w:cs="Arial"/>
          <w:sz w:val="22"/>
          <w:szCs w:val="22"/>
          <w:u w:val="single"/>
          <w:shd w:val="clear" w:color="auto" w:fill="FFFFFF"/>
          <w:lang w:val="en-GB"/>
        </w:rPr>
        <w:t>fficient for the commencement of</w:t>
      </w:r>
      <w:r w:rsidR="00291963">
        <w:rPr>
          <w:rFonts w:ascii="Avenir Next" w:hAnsi="Avenir Next" w:cs="Arial"/>
          <w:sz w:val="22"/>
          <w:szCs w:val="22"/>
          <w:u w:val="single"/>
          <w:shd w:val="clear" w:color="auto" w:fill="FFFFFF"/>
          <w:lang w:val="en-GB"/>
        </w:rPr>
        <w:t xml:space="preserve"> </w:t>
      </w:r>
      <w:r w:rsidR="00291963" w:rsidRPr="00291963">
        <w:rPr>
          <w:rFonts w:ascii="Avenir Next" w:hAnsi="Avenir Next" w:cs="Arial"/>
          <w:sz w:val="22"/>
          <w:szCs w:val="22"/>
          <w:u w:val="single"/>
          <w:shd w:val="clear" w:color="auto" w:fill="FFFFFF"/>
          <w:lang w:val="en-GB"/>
        </w:rPr>
        <w:t>“insolvency proceedings”. As a result, at an international level it may be quite difficult to define</w:t>
      </w:r>
      <w:r w:rsidR="00291963">
        <w:rPr>
          <w:rFonts w:ascii="Avenir Next" w:hAnsi="Avenir Next" w:cs="Arial"/>
          <w:sz w:val="22"/>
          <w:szCs w:val="22"/>
          <w:u w:val="single"/>
          <w:shd w:val="clear" w:color="auto" w:fill="FFFFFF"/>
          <w:lang w:val="en-GB"/>
        </w:rPr>
        <w:t xml:space="preserve"> </w:t>
      </w:r>
      <w:r w:rsidR="00291963" w:rsidRPr="00291963">
        <w:rPr>
          <w:rFonts w:ascii="Avenir Next" w:hAnsi="Avenir Next" w:cs="Arial"/>
          <w:sz w:val="22"/>
          <w:szCs w:val="22"/>
          <w:u w:val="single"/>
          <w:shd w:val="clear" w:color="auto" w:fill="FFFFFF"/>
          <w:lang w:val="en-GB"/>
        </w:rPr>
        <w:t xml:space="preserve">the term “insolvency”. </w:t>
      </w:r>
      <w:r w:rsidR="00DB5562">
        <w:rPr>
          <w:rFonts w:ascii="Avenir Next" w:hAnsi="Avenir Next" w:cs="Arial"/>
          <w:sz w:val="22"/>
          <w:szCs w:val="22"/>
          <w:u w:val="single"/>
          <w:shd w:val="clear" w:color="auto" w:fill="FFFFFF"/>
          <w:lang w:val="en-GB"/>
        </w:rPr>
        <w:t xml:space="preserve">Even where international conventions and instruments seek to define the term “insolvency proceedings”, </w:t>
      </w:r>
      <w:r w:rsidR="00633D24">
        <w:rPr>
          <w:rFonts w:ascii="Avenir Next" w:hAnsi="Avenir Next" w:cs="Arial"/>
          <w:sz w:val="22"/>
          <w:szCs w:val="22"/>
          <w:u w:val="single"/>
          <w:shd w:val="clear" w:color="auto" w:fill="FFFFFF"/>
          <w:lang w:val="en-GB"/>
        </w:rPr>
        <w:t xml:space="preserve">it is necessary to sufficiently identify when a proceeding is considered an insolvency proceeding in the traditional sense, since </w:t>
      </w:r>
      <w:r w:rsidR="00633D24" w:rsidRPr="00291963">
        <w:rPr>
          <w:rFonts w:ascii="Avenir Next" w:hAnsi="Avenir Next" w:cs="Arial"/>
          <w:sz w:val="22"/>
          <w:szCs w:val="22"/>
          <w:u w:val="single"/>
          <w:shd w:val="clear" w:color="auto" w:fill="FFFFFF"/>
          <w:lang w:val="en-GB"/>
        </w:rPr>
        <w:t>systems the world over apply a variety of procedures</w:t>
      </w:r>
      <w:r w:rsidR="00633D24">
        <w:rPr>
          <w:rFonts w:ascii="Avenir Next" w:hAnsi="Avenir Next" w:cs="Arial"/>
          <w:sz w:val="22"/>
          <w:szCs w:val="22"/>
          <w:u w:val="single"/>
          <w:shd w:val="clear" w:color="auto" w:fill="FFFFFF"/>
          <w:lang w:val="en-GB"/>
        </w:rPr>
        <w:t xml:space="preserve"> </w:t>
      </w:r>
      <w:r w:rsidR="00633D24" w:rsidRPr="00291963">
        <w:rPr>
          <w:rFonts w:ascii="Avenir Next" w:hAnsi="Avenir Next" w:cs="Arial"/>
          <w:sz w:val="22"/>
          <w:szCs w:val="22"/>
          <w:u w:val="single"/>
          <w:shd w:val="clear" w:color="auto" w:fill="FFFFFF"/>
          <w:lang w:val="en-GB"/>
        </w:rPr>
        <w:t>to deal with non-payment of debt.</w:t>
      </w:r>
    </w:p>
    <w:p w14:paraId="2AEAB26D" w14:textId="77777777" w:rsidR="00B85FFD" w:rsidRDefault="00B85FFD" w:rsidP="00540112">
      <w:pPr>
        <w:jc w:val="both"/>
        <w:rPr>
          <w:rFonts w:ascii="Avenir Next" w:hAnsi="Avenir Next" w:cs="Arial"/>
          <w:sz w:val="22"/>
          <w:szCs w:val="22"/>
          <w:u w:val="single"/>
          <w:shd w:val="clear" w:color="auto" w:fill="FFFFFF"/>
          <w:lang w:val="en-GB"/>
        </w:rPr>
      </w:pPr>
    </w:p>
    <w:p w14:paraId="391CF2E3" w14:textId="4353D361" w:rsidR="00540112" w:rsidRDefault="00B85FFD" w:rsidP="00BC7BB5">
      <w:pPr>
        <w:jc w:val="both"/>
        <w:rPr>
          <w:rFonts w:ascii="Avenir Next" w:hAnsi="Avenir Next" w:cs="Arial"/>
          <w:sz w:val="22"/>
          <w:szCs w:val="22"/>
          <w:u w:val="single"/>
          <w:shd w:val="clear" w:color="auto" w:fill="FFFFFF"/>
          <w:lang w:val="en-GB"/>
        </w:rPr>
      </w:pPr>
      <w:r>
        <w:rPr>
          <w:rFonts w:ascii="Avenir Next" w:hAnsi="Avenir Next" w:cs="Arial"/>
          <w:sz w:val="22"/>
          <w:szCs w:val="22"/>
          <w:u w:val="single"/>
          <w:shd w:val="clear" w:color="auto" w:fill="FFFFFF"/>
          <w:lang w:val="en-GB"/>
        </w:rPr>
        <w:lastRenderedPageBreak/>
        <w:t xml:space="preserve">In respect of policy, </w:t>
      </w:r>
      <w:r w:rsidR="00F752DE" w:rsidRPr="00F752DE">
        <w:rPr>
          <w:rFonts w:ascii="Avenir Next" w:hAnsi="Avenir Next" w:cs="Arial"/>
          <w:sz w:val="22"/>
          <w:szCs w:val="22"/>
          <w:u w:val="single"/>
          <w:shd w:val="clear" w:color="auto" w:fill="FFFFFF"/>
          <w:lang w:val="en-GB"/>
        </w:rPr>
        <w:t xml:space="preserve">the </w:t>
      </w:r>
      <w:r w:rsidR="00F86E63">
        <w:rPr>
          <w:rFonts w:ascii="Avenir Next" w:hAnsi="Avenir Next" w:cs="Arial"/>
          <w:sz w:val="22"/>
          <w:szCs w:val="22"/>
          <w:u w:val="single"/>
          <w:shd w:val="clear" w:color="auto" w:fill="FFFFFF"/>
          <w:lang w:val="en-GB"/>
        </w:rPr>
        <w:t xml:space="preserve">key question relates to the kinds of </w:t>
      </w:r>
      <w:r w:rsidR="00F752DE" w:rsidRPr="00F752DE">
        <w:rPr>
          <w:rFonts w:ascii="Avenir Next" w:hAnsi="Avenir Next" w:cs="Arial"/>
          <w:sz w:val="22"/>
          <w:szCs w:val="22"/>
          <w:u w:val="single"/>
          <w:shd w:val="clear" w:color="auto" w:fill="FFFFFF"/>
          <w:lang w:val="en-GB"/>
        </w:rPr>
        <w:t xml:space="preserve">interests that insolvency proceedings should </w:t>
      </w:r>
      <w:r w:rsidR="00F86E63">
        <w:rPr>
          <w:rFonts w:ascii="Avenir Next" w:hAnsi="Avenir Next" w:cs="Arial"/>
          <w:sz w:val="22"/>
          <w:szCs w:val="22"/>
          <w:u w:val="single"/>
          <w:shd w:val="clear" w:color="auto" w:fill="FFFFFF"/>
          <w:lang w:val="en-GB"/>
        </w:rPr>
        <w:t>serve</w:t>
      </w:r>
      <w:r w:rsidR="00F752DE" w:rsidRPr="00F752DE">
        <w:rPr>
          <w:rFonts w:ascii="Avenir Next" w:hAnsi="Avenir Next" w:cs="Arial"/>
          <w:sz w:val="22"/>
          <w:szCs w:val="22"/>
          <w:u w:val="single"/>
          <w:shd w:val="clear" w:color="auto" w:fill="FFFFFF"/>
          <w:lang w:val="en-GB"/>
        </w:rPr>
        <w:t xml:space="preserve">. </w:t>
      </w:r>
      <w:r w:rsidR="00F86E63">
        <w:rPr>
          <w:rFonts w:ascii="Avenir Next" w:hAnsi="Avenir Next" w:cs="Arial"/>
          <w:sz w:val="22"/>
          <w:szCs w:val="22"/>
          <w:u w:val="single"/>
          <w:shd w:val="clear" w:color="auto" w:fill="FFFFFF"/>
          <w:lang w:val="en-GB"/>
        </w:rPr>
        <w:t>The most common policy concern relates to a</w:t>
      </w:r>
      <w:r w:rsidR="00F752DE" w:rsidRPr="00F752DE">
        <w:rPr>
          <w:rFonts w:ascii="Avenir Next" w:hAnsi="Avenir Next" w:cs="Arial"/>
          <w:sz w:val="22"/>
          <w:szCs w:val="22"/>
          <w:u w:val="single"/>
          <w:shd w:val="clear" w:color="auto" w:fill="FFFFFF"/>
          <w:lang w:val="en-GB"/>
        </w:rPr>
        <w:t xml:space="preserve"> pro-creditor and pro-debtor </w:t>
      </w:r>
      <w:r w:rsidR="00F86E63">
        <w:rPr>
          <w:rFonts w:ascii="Avenir Next" w:hAnsi="Avenir Next" w:cs="Arial"/>
          <w:sz w:val="22"/>
          <w:szCs w:val="22"/>
          <w:u w:val="single"/>
          <w:shd w:val="clear" w:color="auto" w:fill="FFFFFF"/>
          <w:lang w:val="en-GB"/>
        </w:rPr>
        <w:t>perspective</w:t>
      </w:r>
      <w:r w:rsidR="00F752DE">
        <w:rPr>
          <w:rFonts w:ascii="Avenir Next" w:hAnsi="Avenir Next" w:cs="Arial"/>
          <w:sz w:val="22"/>
          <w:szCs w:val="22"/>
          <w:u w:val="single"/>
          <w:shd w:val="clear" w:color="auto" w:fill="FFFFFF"/>
          <w:lang w:val="en-GB"/>
        </w:rPr>
        <w:t>. A pro-creditor system</w:t>
      </w:r>
      <w:r w:rsidR="00F752DE" w:rsidRPr="00F752DE">
        <w:rPr>
          <w:rFonts w:ascii="Avenir Next" w:hAnsi="Avenir Next" w:cs="Arial"/>
          <w:sz w:val="22"/>
          <w:szCs w:val="22"/>
          <w:u w:val="single"/>
          <w:shd w:val="clear" w:color="auto" w:fill="FFFFFF"/>
          <w:lang w:val="en-GB"/>
        </w:rPr>
        <w:t xml:space="preserve"> </w:t>
      </w:r>
      <w:r w:rsidR="00F752DE">
        <w:rPr>
          <w:rFonts w:ascii="Avenir Next" w:hAnsi="Avenir Next" w:cs="Arial"/>
          <w:sz w:val="22"/>
          <w:szCs w:val="22"/>
          <w:u w:val="single"/>
          <w:shd w:val="clear" w:color="auto" w:fill="FFFFFF"/>
          <w:lang w:val="en-GB"/>
        </w:rPr>
        <w:t>focuses on</w:t>
      </w:r>
      <w:r w:rsidR="00F752DE" w:rsidRPr="00F752DE">
        <w:rPr>
          <w:rFonts w:ascii="Avenir Next" w:hAnsi="Avenir Next" w:cs="Arial"/>
          <w:sz w:val="22"/>
          <w:szCs w:val="22"/>
          <w:u w:val="single"/>
          <w:shd w:val="clear" w:color="auto" w:fill="FFFFFF"/>
          <w:lang w:val="en-GB"/>
        </w:rPr>
        <w:t xml:space="preserve"> the interests of the creditors</w:t>
      </w:r>
      <w:r w:rsidR="00F752DE">
        <w:rPr>
          <w:rFonts w:ascii="Avenir Next" w:hAnsi="Avenir Next" w:cs="Arial"/>
          <w:sz w:val="22"/>
          <w:szCs w:val="22"/>
          <w:u w:val="single"/>
          <w:shd w:val="clear" w:color="auto" w:fill="FFFFFF"/>
          <w:lang w:val="en-GB"/>
        </w:rPr>
        <w:t xml:space="preserve"> </w:t>
      </w:r>
      <w:r w:rsidR="00F752DE" w:rsidRPr="00F752DE">
        <w:rPr>
          <w:rFonts w:ascii="Avenir Next" w:hAnsi="Avenir Next" w:cs="Arial"/>
          <w:sz w:val="22"/>
          <w:szCs w:val="22"/>
          <w:u w:val="single"/>
          <w:shd w:val="clear" w:color="auto" w:fill="FFFFFF"/>
          <w:lang w:val="en-GB"/>
        </w:rPr>
        <w:t xml:space="preserve">in recovering their claims, </w:t>
      </w:r>
      <w:r w:rsidR="00F752DE">
        <w:rPr>
          <w:rFonts w:ascii="Avenir Next" w:hAnsi="Avenir Next" w:cs="Arial"/>
          <w:sz w:val="22"/>
          <w:szCs w:val="22"/>
          <w:u w:val="single"/>
          <w:shd w:val="clear" w:color="auto" w:fill="FFFFFF"/>
          <w:lang w:val="en-GB"/>
        </w:rPr>
        <w:t>while a pro-debtor system</w:t>
      </w:r>
      <w:r w:rsidR="00F752DE" w:rsidRPr="00F752DE">
        <w:rPr>
          <w:rFonts w:ascii="Avenir Next" w:hAnsi="Avenir Next" w:cs="Arial"/>
          <w:sz w:val="22"/>
          <w:szCs w:val="22"/>
          <w:u w:val="single"/>
          <w:shd w:val="clear" w:color="auto" w:fill="FFFFFF"/>
          <w:lang w:val="en-GB"/>
        </w:rPr>
        <w:t xml:space="preserve"> </w:t>
      </w:r>
      <w:r w:rsidR="00F752DE">
        <w:rPr>
          <w:rFonts w:ascii="Avenir Next" w:hAnsi="Avenir Next" w:cs="Arial"/>
          <w:sz w:val="22"/>
          <w:szCs w:val="22"/>
          <w:u w:val="single"/>
          <w:shd w:val="clear" w:color="auto" w:fill="FFFFFF"/>
          <w:lang w:val="en-GB"/>
        </w:rPr>
        <w:t>looks</w:t>
      </w:r>
      <w:r w:rsidR="00F752DE" w:rsidRPr="00F752DE">
        <w:rPr>
          <w:rFonts w:ascii="Avenir Next" w:hAnsi="Avenir Next" w:cs="Arial"/>
          <w:sz w:val="22"/>
          <w:szCs w:val="22"/>
          <w:u w:val="single"/>
          <w:shd w:val="clear" w:color="auto" w:fill="FFFFFF"/>
          <w:lang w:val="en-GB"/>
        </w:rPr>
        <w:t xml:space="preserve"> at the interests of the debtor in continuing to do</w:t>
      </w:r>
      <w:r w:rsidR="00540112">
        <w:rPr>
          <w:rFonts w:ascii="Avenir Next" w:hAnsi="Avenir Next" w:cs="Arial"/>
          <w:sz w:val="22"/>
          <w:szCs w:val="22"/>
          <w:u w:val="single"/>
          <w:shd w:val="clear" w:color="auto" w:fill="FFFFFF"/>
          <w:lang w:val="en-GB"/>
        </w:rPr>
        <w:t xml:space="preserve"> business</w:t>
      </w:r>
      <w:r w:rsidR="00F752DE">
        <w:rPr>
          <w:rFonts w:ascii="Avenir Next" w:hAnsi="Avenir Next" w:cs="Arial"/>
          <w:sz w:val="22"/>
          <w:szCs w:val="22"/>
          <w:u w:val="single"/>
          <w:shd w:val="clear" w:color="auto" w:fill="FFFFFF"/>
          <w:lang w:val="en-GB"/>
        </w:rPr>
        <w:t>.</w:t>
      </w:r>
      <w:r w:rsidR="00540112">
        <w:rPr>
          <w:rFonts w:ascii="Avenir Next" w:hAnsi="Avenir Next" w:cs="Arial"/>
          <w:sz w:val="22"/>
          <w:szCs w:val="22"/>
          <w:u w:val="single"/>
          <w:shd w:val="clear" w:color="auto" w:fill="FFFFFF"/>
          <w:lang w:val="en-GB"/>
        </w:rPr>
        <w:t xml:space="preserve"> Some </w:t>
      </w:r>
      <w:r w:rsidR="00540112" w:rsidRPr="00540112">
        <w:rPr>
          <w:rFonts w:ascii="Avenir Next" w:hAnsi="Avenir Next" w:cs="Arial"/>
          <w:sz w:val="22"/>
          <w:szCs w:val="22"/>
          <w:u w:val="single"/>
          <w:shd w:val="clear" w:color="auto" w:fill="FFFFFF"/>
          <w:lang w:val="en-GB"/>
        </w:rPr>
        <w:t>systems may</w:t>
      </w:r>
      <w:r w:rsidR="00540112">
        <w:rPr>
          <w:rFonts w:ascii="Avenir Next" w:hAnsi="Avenir Next" w:cs="Arial"/>
          <w:sz w:val="22"/>
          <w:szCs w:val="22"/>
          <w:u w:val="single"/>
          <w:shd w:val="clear" w:color="auto" w:fill="FFFFFF"/>
          <w:lang w:val="en-GB"/>
        </w:rPr>
        <w:t xml:space="preserve"> also</w:t>
      </w:r>
      <w:r w:rsidR="00540112" w:rsidRPr="00540112">
        <w:rPr>
          <w:rFonts w:ascii="Avenir Next" w:hAnsi="Avenir Next" w:cs="Arial"/>
          <w:sz w:val="22"/>
          <w:szCs w:val="22"/>
          <w:u w:val="single"/>
          <w:shd w:val="clear" w:color="auto" w:fill="FFFFFF"/>
          <w:lang w:val="en-GB"/>
        </w:rPr>
        <w:t xml:space="preserve"> emphasise other interests that are important in a</w:t>
      </w:r>
      <w:r w:rsidR="00540112">
        <w:rPr>
          <w:rFonts w:ascii="Avenir Next" w:hAnsi="Avenir Next" w:cs="Arial"/>
          <w:sz w:val="22"/>
          <w:szCs w:val="22"/>
          <w:u w:val="single"/>
          <w:shd w:val="clear" w:color="auto" w:fill="FFFFFF"/>
          <w:lang w:val="en-GB"/>
        </w:rPr>
        <w:t xml:space="preserve"> </w:t>
      </w:r>
      <w:r w:rsidR="00540112" w:rsidRPr="00540112">
        <w:rPr>
          <w:rFonts w:ascii="Avenir Next" w:hAnsi="Avenir Next" w:cs="Arial"/>
          <w:sz w:val="22"/>
          <w:szCs w:val="22"/>
          <w:u w:val="single"/>
          <w:shd w:val="clear" w:color="auto" w:fill="FFFFFF"/>
          <w:lang w:val="en-GB"/>
        </w:rPr>
        <w:t>domestic context, for example labour rights</w:t>
      </w:r>
      <w:r w:rsidR="00F86E63">
        <w:rPr>
          <w:rFonts w:ascii="Avenir Next" w:hAnsi="Avenir Next" w:cs="Arial"/>
          <w:sz w:val="22"/>
          <w:szCs w:val="22"/>
          <w:u w:val="single"/>
          <w:shd w:val="clear" w:color="auto" w:fill="FFFFFF"/>
          <w:lang w:val="en-GB"/>
        </w:rPr>
        <w:t xml:space="preserve"> and other rights</w:t>
      </w:r>
      <w:r w:rsidR="00540112" w:rsidRPr="00540112">
        <w:rPr>
          <w:rFonts w:ascii="Avenir Next" w:hAnsi="Avenir Next" w:cs="Arial"/>
          <w:sz w:val="22"/>
          <w:szCs w:val="22"/>
          <w:u w:val="single"/>
          <w:shd w:val="clear" w:color="auto" w:fill="FFFFFF"/>
          <w:lang w:val="en-GB"/>
        </w:rPr>
        <w:t>. There may also be a</w:t>
      </w:r>
      <w:r w:rsidR="00540112">
        <w:rPr>
          <w:rFonts w:ascii="Avenir Next" w:hAnsi="Avenir Next" w:cs="Arial"/>
          <w:sz w:val="22"/>
          <w:szCs w:val="22"/>
          <w:u w:val="single"/>
          <w:shd w:val="clear" w:color="auto" w:fill="FFFFFF"/>
          <w:lang w:val="en-GB"/>
        </w:rPr>
        <w:t xml:space="preserve"> </w:t>
      </w:r>
      <w:r w:rsidR="00540112" w:rsidRPr="00540112">
        <w:rPr>
          <w:rFonts w:ascii="Avenir Next" w:hAnsi="Avenir Next" w:cs="Arial"/>
          <w:sz w:val="22"/>
          <w:szCs w:val="22"/>
          <w:u w:val="single"/>
          <w:shd w:val="clear" w:color="auto" w:fill="FFFFFF"/>
          <w:lang w:val="en-GB"/>
        </w:rPr>
        <w:t>reluctance based on other public policy reasons, such as an unwillingness to recognise foreign</w:t>
      </w:r>
      <w:r w:rsidR="00540112">
        <w:rPr>
          <w:rFonts w:ascii="Avenir Next" w:hAnsi="Avenir Next" w:cs="Arial"/>
          <w:sz w:val="22"/>
          <w:szCs w:val="22"/>
          <w:u w:val="single"/>
          <w:shd w:val="clear" w:color="auto" w:fill="FFFFFF"/>
          <w:lang w:val="en-GB"/>
        </w:rPr>
        <w:t xml:space="preserve"> </w:t>
      </w:r>
      <w:r w:rsidR="00540112" w:rsidRPr="00540112">
        <w:rPr>
          <w:rFonts w:ascii="Avenir Next" w:hAnsi="Avenir Next" w:cs="Arial"/>
          <w:sz w:val="22"/>
          <w:szCs w:val="22"/>
          <w:u w:val="single"/>
          <w:shd w:val="clear" w:color="auto" w:fill="FFFFFF"/>
          <w:lang w:val="en-GB"/>
        </w:rPr>
        <w:t xml:space="preserve">public claims (for taxes, social security, etc) or simply a desire to protect local creditors. </w:t>
      </w:r>
      <w:r w:rsidR="00BC7BB5">
        <w:rPr>
          <w:rFonts w:ascii="Avenir Next" w:hAnsi="Avenir Next" w:cs="Arial"/>
          <w:sz w:val="22"/>
          <w:szCs w:val="22"/>
          <w:u w:val="single"/>
          <w:shd w:val="clear" w:color="auto" w:fill="FFFFFF"/>
          <w:lang w:val="en-GB"/>
        </w:rPr>
        <w:t>That is why commentators have observed that “</w:t>
      </w:r>
      <w:r w:rsidR="00BC7BB5" w:rsidRPr="00BC7BB5">
        <w:rPr>
          <w:rFonts w:ascii="Avenir Next" w:hAnsi="Avenir Next" w:cs="Arial"/>
          <w:sz w:val="22"/>
          <w:szCs w:val="22"/>
          <w:u w:val="single"/>
          <w:shd w:val="clear" w:color="auto" w:fill="FFFFFF"/>
          <w:lang w:val="en-GB"/>
        </w:rPr>
        <w:t>differences in domestic</w:t>
      </w:r>
      <w:r w:rsidR="00BC7BB5">
        <w:rPr>
          <w:rFonts w:ascii="Avenir Next" w:hAnsi="Avenir Next" w:cs="Arial"/>
          <w:sz w:val="22"/>
          <w:szCs w:val="22"/>
          <w:u w:val="single"/>
          <w:shd w:val="clear" w:color="auto" w:fill="FFFFFF"/>
          <w:lang w:val="en-GB"/>
        </w:rPr>
        <w:t xml:space="preserve"> </w:t>
      </w:r>
      <w:r w:rsidR="00BC7BB5" w:rsidRPr="00BC7BB5">
        <w:rPr>
          <w:rFonts w:ascii="Avenir Next" w:hAnsi="Avenir Next" w:cs="Arial"/>
          <w:sz w:val="22"/>
          <w:szCs w:val="22"/>
          <w:u w:val="single"/>
          <w:shd w:val="clear" w:color="auto" w:fill="FFFFFF"/>
          <w:lang w:val="en-GB"/>
        </w:rPr>
        <w:t>norms have a particular impact on the position of creditors and the priorities they assert in</w:t>
      </w:r>
      <w:r w:rsidR="00BC7BB5">
        <w:rPr>
          <w:rFonts w:ascii="Avenir Next" w:hAnsi="Avenir Next" w:cs="Arial"/>
          <w:sz w:val="22"/>
          <w:szCs w:val="22"/>
          <w:u w:val="single"/>
          <w:shd w:val="clear" w:color="auto" w:fill="FFFFFF"/>
          <w:lang w:val="en-GB"/>
        </w:rPr>
        <w:t xml:space="preserve"> </w:t>
      </w:r>
      <w:r w:rsidR="00BC7BB5" w:rsidRPr="00BC7BB5">
        <w:rPr>
          <w:rFonts w:ascii="Avenir Next" w:hAnsi="Avenir Next" w:cs="Arial"/>
          <w:sz w:val="22"/>
          <w:szCs w:val="22"/>
          <w:u w:val="single"/>
          <w:shd w:val="clear" w:color="auto" w:fill="FFFFFF"/>
          <w:lang w:val="en-GB"/>
        </w:rPr>
        <w:t>insolvency</w:t>
      </w:r>
      <w:r w:rsidR="00BC7BB5">
        <w:rPr>
          <w:rFonts w:ascii="Avenir Next" w:hAnsi="Avenir Next" w:cs="Arial"/>
          <w:sz w:val="22"/>
          <w:szCs w:val="22"/>
          <w:u w:val="single"/>
          <w:shd w:val="clear" w:color="auto" w:fill="FFFFFF"/>
          <w:lang w:val="en-GB"/>
        </w:rPr>
        <w:t>” and that these may come in the form of “</w:t>
      </w:r>
      <w:r w:rsidR="00BC7BB5" w:rsidRPr="00BC7BB5">
        <w:rPr>
          <w:rFonts w:ascii="Avenir Next" w:hAnsi="Avenir Next" w:cs="Arial"/>
          <w:sz w:val="22"/>
          <w:szCs w:val="22"/>
          <w:u w:val="single"/>
          <w:shd w:val="clear" w:color="auto" w:fill="FFFFFF"/>
          <w:lang w:val="en-GB"/>
        </w:rPr>
        <w:t>qualifications, including the presence of security, set-off and netting</w:t>
      </w:r>
      <w:r w:rsidR="00BC7BB5">
        <w:rPr>
          <w:rFonts w:ascii="Avenir Next" w:hAnsi="Avenir Next" w:cs="Arial"/>
          <w:sz w:val="22"/>
          <w:szCs w:val="22"/>
          <w:u w:val="single"/>
          <w:shd w:val="clear" w:color="auto" w:fill="FFFFFF"/>
          <w:lang w:val="en-GB"/>
        </w:rPr>
        <w:t xml:space="preserve"> </w:t>
      </w:r>
      <w:r w:rsidR="00BC7BB5" w:rsidRPr="00BC7BB5">
        <w:rPr>
          <w:rFonts w:ascii="Avenir Next" w:hAnsi="Avenir Next" w:cs="Arial"/>
          <w:sz w:val="22"/>
          <w:szCs w:val="22"/>
          <w:u w:val="single"/>
          <w:shd w:val="clear" w:color="auto" w:fill="FFFFFF"/>
          <w:lang w:val="en-GB"/>
        </w:rPr>
        <w:t>arrangements, retention of title clauses and other means of protecting title available to creditors</w:t>
      </w:r>
      <w:r w:rsidR="00BC7BB5">
        <w:rPr>
          <w:rFonts w:ascii="Avenir Next" w:hAnsi="Avenir Next" w:cs="Arial"/>
          <w:sz w:val="22"/>
          <w:szCs w:val="22"/>
          <w:u w:val="single"/>
          <w:shd w:val="clear" w:color="auto" w:fill="FFFFFF"/>
          <w:lang w:val="en-GB"/>
        </w:rPr>
        <w:t xml:space="preserve"> </w:t>
      </w:r>
      <w:r w:rsidR="00BC7BB5" w:rsidRPr="00BC7BB5">
        <w:rPr>
          <w:rFonts w:ascii="Avenir Next" w:hAnsi="Avenir Next" w:cs="Arial"/>
          <w:sz w:val="22"/>
          <w:szCs w:val="22"/>
          <w:u w:val="single"/>
          <w:shd w:val="clear" w:color="auto" w:fill="FFFFFF"/>
          <w:lang w:val="en-GB"/>
        </w:rPr>
        <w:t>in national laws</w:t>
      </w:r>
      <w:r w:rsidR="00BC7BB5">
        <w:rPr>
          <w:rFonts w:ascii="Avenir Next" w:hAnsi="Avenir Next" w:cs="Arial"/>
          <w:sz w:val="22"/>
          <w:szCs w:val="22"/>
          <w:u w:val="single"/>
          <w:shd w:val="clear" w:color="auto" w:fill="FFFFFF"/>
          <w:lang w:val="en-GB"/>
        </w:rPr>
        <w:t>”</w:t>
      </w:r>
      <w:r w:rsidR="001E0558">
        <w:rPr>
          <w:rFonts w:ascii="Avenir Next" w:hAnsi="Avenir Next" w:cs="Arial"/>
          <w:sz w:val="22"/>
          <w:szCs w:val="22"/>
          <w:u w:val="single"/>
          <w:shd w:val="clear" w:color="auto" w:fill="FFFFFF"/>
          <w:lang w:val="en-GB"/>
        </w:rPr>
        <w:t>.</w:t>
      </w:r>
    </w:p>
    <w:p w14:paraId="06FC321D" w14:textId="77777777" w:rsidR="00E6233C" w:rsidRPr="00827D56" w:rsidRDefault="00E6233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4AE7EA78" w14:textId="24C76947" w:rsidR="007D7C92" w:rsidRDefault="007D7C92" w:rsidP="00C372A3">
      <w:pPr>
        <w:jc w:val="both"/>
        <w:rPr>
          <w:rFonts w:ascii="Avenir Next" w:hAnsi="Avenir Next" w:cs="Arial"/>
          <w:sz w:val="22"/>
          <w:szCs w:val="22"/>
          <w:lang w:val="en-GB"/>
        </w:rPr>
      </w:pPr>
    </w:p>
    <w:p w14:paraId="5729C680" w14:textId="77777777" w:rsidR="00223CB2" w:rsidRDefault="0083173C" w:rsidP="00C372A3">
      <w:pPr>
        <w:jc w:val="both"/>
        <w:rPr>
          <w:rFonts w:ascii="Avenir Next" w:hAnsi="Avenir Next" w:cs="Arial"/>
          <w:sz w:val="22"/>
          <w:szCs w:val="22"/>
          <w:u w:val="single"/>
          <w:lang w:val="en-GB"/>
        </w:rPr>
      </w:pPr>
      <w:r w:rsidRPr="00DF7519">
        <w:rPr>
          <w:rFonts w:ascii="Avenir Next" w:hAnsi="Avenir Next" w:cs="Arial"/>
          <w:sz w:val="22"/>
          <w:szCs w:val="22"/>
          <w:u w:val="single"/>
          <w:lang w:val="en-GB"/>
        </w:rPr>
        <w:t>There are various steps taken, both at the regi</w:t>
      </w:r>
      <w:r w:rsidR="00DF7519">
        <w:rPr>
          <w:rFonts w:ascii="Avenir Next" w:hAnsi="Avenir Next" w:cs="Arial"/>
          <w:sz w:val="22"/>
          <w:szCs w:val="22"/>
          <w:u w:val="single"/>
          <w:lang w:val="en-GB"/>
        </w:rPr>
        <w:t xml:space="preserve">onal and international level, to promote the harmonisation of domestic insolvency laws. </w:t>
      </w:r>
    </w:p>
    <w:p w14:paraId="37A7FC20" w14:textId="77777777" w:rsidR="00223CB2" w:rsidRDefault="00223CB2" w:rsidP="00C372A3">
      <w:pPr>
        <w:jc w:val="both"/>
        <w:rPr>
          <w:rFonts w:ascii="Avenir Next" w:hAnsi="Avenir Next" w:cs="Arial"/>
          <w:sz w:val="22"/>
          <w:szCs w:val="22"/>
          <w:u w:val="single"/>
          <w:lang w:val="en-GB"/>
        </w:rPr>
      </w:pPr>
    </w:p>
    <w:p w14:paraId="766CF6F8" w14:textId="06EB18E9" w:rsidR="006659AA" w:rsidRPr="009B1C58" w:rsidRDefault="00223CB2" w:rsidP="00987CE4">
      <w:pPr>
        <w:jc w:val="both"/>
        <w:rPr>
          <w:rFonts w:ascii="Avenir Next" w:hAnsi="Avenir Next" w:cs="Arial"/>
          <w:sz w:val="22"/>
          <w:szCs w:val="22"/>
          <w:u w:val="single"/>
          <w:lang w:val="en-GB"/>
        </w:rPr>
      </w:pPr>
      <w:r>
        <w:rPr>
          <w:rFonts w:ascii="Avenir Next" w:hAnsi="Avenir Next" w:cs="Arial"/>
          <w:sz w:val="22"/>
          <w:szCs w:val="22"/>
          <w:u w:val="single"/>
          <w:lang w:val="en-GB"/>
        </w:rPr>
        <w:t>First, t</w:t>
      </w:r>
      <w:r w:rsidR="00DF7519">
        <w:rPr>
          <w:rFonts w:ascii="Avenir Next" w:hAnsi="Avenir Next" w:cs="Arial"/>
          <w:sz w:val="22"/>
          <w:szCs w:val="22"/>
          <w:u w:val="single"/>
          <w:lang w:val="en-GB"/>
        </w:rPr>
        <w:t xml:space="preserve">hese attempts </w:t>
      </w:r>
      <w:r w:rsidR="00F95BFE">
        <w:rPr>
          <w:rFonts w:ascii="Avenir Next" w:hAnsi="Avenir Next" w:cs="Arial"/>
          <w:sz w:val="22"/>
          <w:szCs w:val="22"/>
          <w:u w:val="single"/>
          <w:lang w:val="en-GB"/>
        </w:rPr>
        <w:t>come</w:t>
      </w:r>
      <w:r w:rsidR="00DF7519">
        <w:rPr>
          <w:rFonts w:ascii="Avenir Next" w:hAnsi="Avenir Next" w:cs="Arial"/>
          <w:sz w:val="22"/>
          <w:szCs w:val="22"/>
          <w:u w:val="single"/>
          <w:lang w:val="en-GB"/>
        </w:rPr>
        <w:t xml:space="preserve"> in the form of soft law instruments that </w:t>
      </w:r>
      <w:r w:rsidR="00F95BFE">
        <w:rPr>
          <w:rFonts w:ascii="Avenir Next" w:hAnsi="Avenir Next" w:cs="Arial"/>
          <w:sz w:val="22"/>
          <w:szCs w:val="22"/>
          <w:u w:val="single"/>
          <w:lang w:val="en-GB"/>
        </w:rPr>
        <w:t xml:space="preserve">States can choose to adopt and enact as their own domestic legislation, as well as </w:t>
      </w:r>
      <w:r w:rsidR="006659AA">
        <w:rPr>
          <w:rFonts w:ascii="Avenir Next" w:hAnsi="Avenir Next" w:cs="Arial"/>
          <w:sz w:val="22"/>
          <w:szCs w:val="22"/>
          <w:u w:val="single"/>
          <w:lang w:val="en-GB"/>
        </w:rPr>
        <w:t>international conventions.</w:t>
      </w:r>
      <w:r w:rsidR="00122164">
        <w:rPr>
          <w:rFonts w:ascii="Avenir Next" w:hAnsi="Avenir Next" w:cs="Arial"/>
          <w:sz w:val="22"/>
          <w:szCs w:val="22"/>
          <w:u w:val="single"/>
          <w:lang w:val="en-GB"/>
        </w:rPr>
        <w:t xml:space="preserve"> </w:t>
      </w:r>
      <w:r w:rsidR="006659AA">
        <w:rPr>
          <w:rFonts w:ascii="Avenir Next" w:hAnsi="Avenir Next" w:cs="Arial"/>
          <w:sz w:val="22"/>
          <w:szCs w:val="22"/>
          <w:u w:val="single"/>
          <w:lang w:val="en-GB"/>
        </w:rPr>
        <w:t xml:space="preserve">In </w:t>
      </w:r>
      <w:r w:rsidR="00E86B47">
        <w:rPr>
          <w:rFonts w:ascii="Avenir Next" w:hAnsi="Avenir Next" w:cs="Arial"/>
          <w:sz w:val="22"/>
          <w:szCs w:val="22"/>
          <w:u w:val="single"/>
          <w:lang w:val="en-GB"/>
        </w:rPr>
        <w:t xml:space="preserve">the regional sphere, </w:t>
      </w:r>
      <w:r w:rsidR="002F4EE3">
        <w:rPr>
          <w:rFonts w:ascii="Avenir Next" w:hAnsi="Avenir Next" w:cs="Arial"/>
          <w:sz w:val="22"/>
          <w:szCs w:val="22"/>
          <w:u w:val="single"/>
          <w:lang w:val="en-GB"/>
        </w:rPr>
        <w:t xml:space="preserve">examples include </w:t>
      </w:r>
      <w:r w:rsidR="009B1C58">
        <w:rPr>
          <w:rFonts w:ascii="Avenir Next" w:hAnsi="Avenir Next" w:cs="Arial"/>
          <w:sz w:val="22"/>
          <w:szCs w:val="22"/>
          <w:u w:val="single"/>
          <w:lang w:val="en-GB"/>
        </w:rPr>
        <w:t xml:space="preserve">the </w:t>
      </w:r>
      <w:r w:rsidR="00AB0380">
        <w:rPr>
          <w:rFonts w:ascii="Avenir Next" w:hAnsi="Avenir Next" w:cs="Arial"/>
          <w:sz w:val="22"/>
          <w:szCs w:val="22"/>
          <w:u w:val="single"/>
          <w:lang w:val="en-GB"/>
        </w:rPr>
        <w:t xml:space="preserve">adoption of the </w:t>
      </w:r>
      <w:r w:rsidR="00987CE4" w:rsidRPr="00987CE4">
        <w:rPr>
          <w:rFonts w:ascii="Avenir Next" w:hAnsi="Avenir Next" w:cs="Arial"/>
          <w:sz w:val="22"/>
          <w:szCs w:val="22"/>
          <w:u w:val="single"/>
          <w:lang w:val="en-GB"/>
        </w:rPr>
        <w:t xml:space="preserve">European Insolvency Regulation (EIR) (2000) </w:t>
      </w:r>
      <w:r w:rsidR="00987CE4">
        <w:rPr>
          <w:rFonts w:ascii="Avenir Next" w:hAnsi="Avenir Next" w:cs="Arial"/>
          <w:sz w:val="22"/>
          <w:szCs w:val="22"/>
          <w:u w:val="single"/>
          <w:lang w:val="en-GB"/>
        </w:rPr>
        <w:t xml:space="preserve">passed by the European Union, </w:t>
      </w:r>
      <w:r w:rsidR="00987CE4" w:rsidRPr="00987CE4">
        <w:rPr>
          <w:rFonts w:ascii="Avenir Next" w:hAnsi="Avenir Next" w:cs="Arial"/>
          <w:sz w:val="22"/>
          <w:szCs w:val="22"/>
          <w:u w:val="single"/>
          <w:lang w:val="en-GB"/>
        </w:rPr>
        <w:t>which has subsequently been reviewed to</w:t>
      </w:r>
      <w:r w:rsidR="00987CE4">
        <w:rPr>
          <w:rFonts w:ascii="Avenir Next" w:hAnsi="Avenir Next" w:cs="Arial"/>
          <w:sz w:val="22"/>
          <w:szCs w:val="22"/>
          <w:u w:val="single"/>
          <w:lang w:val="en-GB"/>
        </w:rPr>
        <w:t xml:space="preserve"> </w:t>
      </w:r>
      <w:r w:rsidR="00987CE4" w:rsidRPr="00987CE4">
        <w:rPr>
          <w:rFonts w:ascii="Avenir Next" w:hAnsi="Avenir Next" w:cs="Arial"/>
          <w:sz w:val="22"/>
          <w:szCs w:val="22"/>
          <w:u w:val="single"/>
          <w:lang w:val="en-GB"/>
        </w:rPr>
        <w:t>become the current EIR (Recast) 2015</w:t>
      </w:r>
      <w:r w:rsidR="00987CE4">
        <w:rPr>
          <w:rFonts w:ascii="Avenir Next" w:hAnsi="Avenir Next" w:cs="Arial"/>
          <w:sz w:val="22"/>
          <w:szCs w:val="22"/>
          <w:u w:val="single"/>
          <w:lang w:val="en-GB"/>
        </w:rPr>
        <w:t>.</w:t>
      </w:r>
      <w:r w:rsidR="000F0B91">
        <w:rPr>
          <w:rFonts w:ascii="Avenir Next" w:hAnsi="Avenir Next" w:cs="Arial"/>
          <w:sz w:val="22"/>
          <w:szCs w:val="22"/>
          <w:u w:val="single"/>
          <w:lang w:val="en-GB"/>
        </w:rPr>
        <w:t xml:space="preserve"> The EIR (Recast) is a regional bankruptcy convention which deals with </w:t>
      </w:r>
      <w:r w:rsidR="00B845A6">
        <w:rPr>
          <w:rFonts w:ascii="Avenir Next" w:hAnsi="Avenir Next" w:cs="Arial"/>
          <w:sz w:val="22"/>
          <w:szCs w:val="22"/>
          <w:u w:val="single"/>
          <w:lang w:val="en-GB"/>
        </w:rPr>
        <w:t xml:space="preserve">the recognition and granting of assistance in respect of insolvency proceedings in the EU member states. </w:t>
      </w:r>
    </w:p>
    <w:p w14:paraId="1D6495D9" w14:textId="77777777" w:rsidR="00DD364E" w:rsidRDefault="00DD364E" w:rsidP="00C372A3">
      <w:pPr>
        <w:jc w:val="both"/>
        <w:rPr>
          <w:rFonts w:ascii="Avenir Next" w:hAnsi="Avenir Next" w:cs="Arial"/>
          <w:sz w:val="22"/>
          <w:szCs w:val="22"/>
          <w:u w:val="single"/>
          <w:lang w:val="en-GB"/>
        </w:rPr>
      </w:pPr>
    </w:p>
    <w:p w14:paraId="5820DF65" w14:textId="48CCF3C6" w:rsidR="00637016" w:rsidRDefault="00DD364E" w:rsidP="00275097">
      <w:pPr>
        <w:jc w:val="both"/>
        <w:rPr>
          <w:rFonts w:ascii="Avenir Next" w:hAnsi="Avenir Next" w:cs="Arial"/>
          <w:sz w:val="22"/>
          <w:szCs w:val="22"/>
          <w:u w:val="single"/>
          <w:lang w:val="en-GB"/>
        </w:rPr>
      </w:pPr>
      <w:r>
        <w:rPr>
          <w:rFonts w:ascii="Avenir Next" w:hAnsi="Avenir Next" w:cs="Arial"/>
          <w:sz w:val="22"/>
          <w:szCs w:val="22"/>
          <w:u w:val="single"/>
          <w:lang w:val="en-GB"/>
        </w:rPr>
        <w:t xml:space="preserve">In the international sphere, </w:t>
      </w:r>
      <w:r w:rsidR="002B424B">
        <w:rPr>
          <w:rFonts w:ascii="Avenir Next" w:hAnsi="Avenir Next" w:cs="Arial"/>
          <w:sz w:val="22"/>
          <w:szCs w:val="22"/>
          <w:u w:val="single"/>
          <w:lang w:val="en-GB"/>
        </w:rPr>
        <w:t xml:space="preserve">examples include the promulgation of UNCITRAL’s </w:t>
      </w:r>
      <w:r w:rsidR="002B424B" w:rsidRPr="003A6844">
        <w:rPr>
          <w:rFonts w:ascii="Avenir Next" w:hAnsi="Avenir Next" w:cs="Arial"/>
          <w:i/>
          <w:iCs/>
          <w:sz w:val="22"/>
          <w:szCs w:val="22"/>
          <w:u w:val="single"/>
          <w:lang w:val="en-GB"/>
        </w:rPr>
        <w:t>Legislative Guide on Insolvency Law</w:t>
      </w:r>
      <w:r w:rsidR="002B424B" w:rsidRPr="002B424B">
        <w:rPr>
          <w:rFonts w:ascii="Avenir Next" w:hAnsi="Avenir Next" w:cs="Arial"/>
          <w:sz w:val="22"/>
          <w:szCs w:val="22"/>
          <w:u w:val="single"/>
          <w:lang w:val="en-GB"/>
        </w:rPr>
        <w:t>, which is intended “to</w:t>
      </w:r>
      <w:r w:rsidR="002B424B">
        <w:rPr>
          <w:rFonts w:ascii="Avenir Next" w:hAnsi="Avenir Next" w:cs="Arial"/>
          <w:sz w:val="22"/>
          <w:szCs w:val="22"/>
          <w:u w:val="single"/>
          <w:lang w:val="en-GB"/>
        </w:rPr>
        <w:t xml:space="preserve"> </w:t>
      </w:r>
      <w:r w:rsidR="002B424B" w:rsidRPr="002B424B">
        <w:rPr>
          <w:rFonts w:ascii="Avenir Next" w:hAnsi="Avenir Next" w:cs="Arial"/>
          <w:sz w:val="22"/>
          <w:szCs w:val="22"/>
          <w:u w:val="single"/>
          <w:lang w:val="en-GB"/>
        </w:rPr>
        <w:t>be used as a reference by national authorities and legislative bodies when preparing new laws</w:t>
      </w:r>
      <w:r w:rsidR="002B424B">
        <w:rPr>
          <w:rFonts w:ascii="Avenir Next" w:hAnsi="Avenir Next" w:cs="Arial"/>
          <w:sz w:val="22"/>
          <w:szCs w:val="22"/>
          <w:u w:val="single"/>
          <w:lang w:val="en-GB"/>
        </w:rPr>
        <w:t xml:space="preserve"> </w:t>
      </w:r>
      <w:r w:rsidR="002B424B" w:rsidRPr="002B424B">
        <w:rPr>
          <w:rFonts w:ascii="Avenir Next" w:hAnsi="Avenir Next" w:cs="Arial"/>
          <w:sz w:val="22"/>
          <w:szCs w:val="22"/>
          <w:u w:val="single"/>
          <w:lang w:val="en-GB"/>
        </w:rPr>
        <w:t>and regulations or reviewing the adequacy of existing laws and regulations”.</w:t>
      </w:r>
      <w:r w:rsidR="003A6844">
        <w:rPr>
          <w:rFonts w:ascii="Avenir Next" w:hAnsi="Avenir Next" w:cs="Arial"/>
          <w:sz w:val="22"/>
          <w:szCs w:val="22"/>
          <w:u w:val="single"/>
          <w:lang w:val="en-GB"/>
        </w:rPr>
        <w:t xml:space="preserve"> The </w:t>
      </w:r>
      <w:r w:rsidR="003A6844" w:rsidRPr="00B845A6">
        <w:rPr>
          <w:rFonts w:ascii="Avenir Next" w:hAnsi="Avenir Next" w:cs="Arial"/>
          <w:i/>
          <w:iCs/>
          <w:sz w:val="22"/>
          <w:szCs w:val="22"/>
          <w:u w:val="single"/>
          <w:lang w:val="en-GB"/>
        </w:rPr>
        <w:t>Legislative Guide</w:t>
      </w:r>
      <w:r w:rsidR="003A6844">
        <w:rPr>
          <w:rFonts w:ascii="Avenir Next" w:hAnsi="Avenir Next" w:cs="Arial"/>
          <w:sz w:val="22"/>
          <w:szCs w:val="22"/>
          <w:u w:val="single"/>
          <w:lang w:val="en-GB"/>
        </w:rPr>
        <w:t xml:space="preserve"> includes model provisions relating to all aspects of insolvency, both domestic and international</w:t>
      </w:r>
      <w:r w:rsidR="00204961">
        <w:rPr>
          <w:rFonts w:ascii="Avenir Next" w:hAnsi="Avenir Next" w:cs="Arial"/>
          <w:sz w:val="22"/>
          <w:szCs w:val="22"/>
          <w:u w:val="single"/>
          <w:lang w:val="en-GB"/>
        </w:rPr>
        <w:t xml:space="preserve">, and </w:t>
      </w:r>
      <w:r w:rsidR="00350310">
        <w:rPr>
          <w:rFonts w:ascii="Avenir Next" w:hAnsi="Avenir Next" w:cs="Arial"/>
          <w:sz w:val="22"/>
          <w:szCs w:val="22"/>
          <w:u w:val="single"/>
          <w:lang w:val="en-GB"/>
        </w:rPr>
        <w:t>seeks</w:t>
      </w:r>
      <w:r w:rsidR="00204961">
        <w:rPr>
          <w:rFonts w:ascii="Avenir Next" w:hAnsi="Avenir Next" w:cs="Arial"/>
          <w:sz w:val="22"/>
          <w:szCs w:val="22"/>
          <w:u w:val="single"/>
          <w:lang w:val="en-GB"/>
        </w:rPr>
        <w:t xml:space="preserve"> to provide an effective and efficient insolvency law that states may adopt</w:t>
      </w:r>
      <w:r w:rsidR="003A6844">
        <w:rPr>
          <w:rFonts w:ascii="Avenir Next" w:hAnsi="Avenir Next" w:cs="Arial"/>
          <w:sz w:val="22"/>
          <w:szCs w:val="22"/>
          <w:u w:val="single"/>
          <w:lang w:val="en-GB"/>
        </w:rPr>
        <w:t xml:space="preserve">. </w:t>
      </w:r>
      <w:r w:rsidR="003B737B" w:rsidRPr="003B737B">
        <w:rPr>
          <w:rFonts w:ascii="Avenir Next" w:hAnsi="Avenir Next" w:cs="Arial"/>
          <w:sz w:val="22"/>
          <w:szCs w:val="22"/>
          <w:u w:val="single"/>
          <w:lang w:val="en-GB"/>
        </w:rPr>
        <w:t xml:space="preserve">The </w:t>
      </w:r>
      <w:r w:rsidR="003B737B" w:rsidRPr="003B737B">
        <w:rPr>
          <w:rFonts w:ascii="Avenir Next" w:hAnsi="Avenir Next" w:cs="Arial"/>
          <w:i/>
          <w:iCs/>
          <w:sz w:val="22"/>
          <w:szCs w:val="22"/>
          <w:u w:val="single"/>
          <w:lang w:val="en-GB"/>
        </w:rPr>
        <w:t>Legislative Guide</w:t>
      </w:r>
      <w:r w:rsidR="003B737B" w:rsidRPr="003B737B">
        <w:rPr>
          <w:rFonts w:ascii="Avenir Next" w:hAnsi="Avenir Next" w:cs="Arial"/>
          <w:sz w:val="22"/>
          <w:szCs w:val="22"/>
          <w:u w:val="single"/>
          <w:lang w:val="en-GB"/>
        </w:rPr>
        <w:t xml:space="preserve"> </w:t>
      </w:r>
      <w:r w:rsidR="00204961">
        <w:rPr>
          <w:rFonts w:ascii="Avenir Next" w:hAnsi="Avenir Next" w:cs="Arial"/>
          <w:sz w:val="22"/>
          <w:szCs w:val="22"/>
          <w:u w:val="single"/>
          <w:lang w:val="en-GB"/>
        </w:rPr>
        <w:t xml:space="preserve">thus </w:t>
      </w:r>
      <w:r w:rsidR="003B737B" w:rsidRPr="003B737B">
        <w:rPr>
          <w:rFonts w:ascii="Avenir Next" w:hAnsi="Avenir Next" w:cs="Arial"/>
          <w:sz w:val="22"/>
          <w:szCs w:val="22"/>
          <w:u w:val="single"/>
          <w:lang w:val="en-GB"/>
        </w:rPr>
        <w:t>sets uniform</w:t>
      </w:r>
      <w:r w:rsidR="003B737B">
        <w:rPr>
          <w:rFonts w:ascii="Avenir Next" w:hAnsi="Avenir Next" w:cs="Arial"/>
          <w:sz w:val="22"/>
          <w:szCs w:val="22"/>
          <w:u w:val="single"/>
          <w:lang w:val="en-GB"/>
        </w:rPr>
        <w:t xml:space="preserve"> </w:t>
      </w:r>
      <w:r w:rsidR="003B737B" w:rsidRPr="003B737B">
        <w:rPr>
          <w:rFonts w:ascii="Avenir Next" w:hAnsi="Avenir Next" w:cs="Arial"/>
          <w:sz w:val="22"/>
          <w:szCs w:val="22"/>
          <w:u w:val="single"/>
          <w:lang w:val="en-GB"/>
        </w:rPr>
        <w:t>standards and approaches to the subject-matter and sets the tone for a more coherent and</w:t>
      </w:r>
      <w:r w:rsidR="003B737B">
        <w:rPr>
          <w:rFonts w:ascii="Avenir Next" w:hAnsi="Avenir Next" w:cs="Arial"/>
          <w:sz w:val="22"/>
          <w:szCs w:val="22"/>
          <w:u w:val="single"/>
          <w:lang w:val="en-GB"/>
        </w:rPr>
        <w:t xml:space="preserve"> </w:t>
      </w:r>
      <w:r w:rsidR="003B737B" w:rsidRPr="003B737B">
        <w:rPr>
          <w:rFonts w:ascii="Avenir Next" w:hAnsi="Avenir Next" w:cs="Arial"/>
          <w:sz w:val="22"/>
          <w:szCs w:val="22"/>
          <w:u w:val="single"/>
          <w:lang w:val="en-GB"/>
        </w:rPr>
        <w:t>uniform approach to insolvency law reform on a global basis.</w:t>
      </w:r>
      <w:r w:rsidR="00744D11">
        <w:rPr>
          <w:rFonts w:ascii="Avenir Next" w:hAnsi="Avenir Next" w:cs="Arial"/>
          <w:sz w:val="22"/>
          <w:szCs w:val="22"/>
          <w:u w:val="single"/>
          <w:lang w:val="en-GB"/>
        </w:rPr>
        <w:t xml:space="preserve"> </w:t>
      </w:r>
      <w:r w:rsidR="003A6844">
        <w:rPr>
          <w:rFonts w:ascii="Avenir Next" w:hAnsi="Avenir Next" w:cs="Arial"/>
          <w:sz w:val="22"/>
          <w:szCs w:val="22"/>
          <w:u w:val="single"/>
          <w:lang w:val="en-GB"/>
        </w:rPr>
        <w:t xml:space="preserve">Another example is the World Bank’s guidelines </w:t>
      </w:r>
      <w:r w:rsidR="00637016">
        <w:rPr>
          <w:rFonts w:ascii="Avenir Next" w:hAnsi="Avenir Next" w:cs="Arial"/>
          <w:sz w:val="22"/>
          <w:szCs w:val="22"/>
          <w:u w:val="single"/>
          <w:lang w:val="en-GB"/>
        </w:rPr>
        <w:t xml:space="preserve">on </w:t>
      </w:r>
      <w:r w:rsidR="00637016" w:rsidRPr="00637016">
        <w:rPr>
          <w:rFonts w:ascii="Avenir Next" w:hAnsi="Avenir Next" w:cs="Arial"/>
          <w:sz w:val="22"/>
          <w:szCs w:val="22"/>
          <w:u w:val="single"/>
          <w:lang w:val="en-GB"/>
        </w:rPr>
        <w:t>the regulation of</w:t>
      </w:r>
      <w:r w:rsidR="00637016">
        <w:rPr>
          <w:rFonts w:ascii="Avenir Next" w:hAnsi="Avenir Next" w:cs="Arial"/>
          <w:sz w:val="22"/>
          <w:szCs w:val="22"/>
          <w:u w:val="single"/>
          <w:lang w:val="en-GB"/>
        </w:rPr>
        <w:t xml:space="preserve"> </w:t>
      </w:r>
      <w:r w:rsidR="00637016" w:rsidRPr="00637016">
        <w:rPr>
          <w:rFonts w:ascii="Avenir Next" w:hAnsi="Avenir Next" w:cs="Arial"/>
          <w:sz w:val="22"/>
          <w:szCs w:val="22"/>
          <w:u w:val="single"/>
          <w:lang w:val="en-GB"/>
        </w:rPr>
        <w:t xml:space="preserve">insolvency, entitled </w:t>
      </w:r>
      <w:r w:rsidR="00637016" w:rsidRPr="00637016">
        <w:rPr>
          <w:rFonts w:ascii="Avenir Next" w:hAnsi="Avenir Next" w:cs="Arial"/>
          <w:i/>
          <w:iCs/>
          <w:sz w:val="22"/>
          <w:szCs w:val="22"/>
          <w:u w:val="single"/>
          <w:lang w:val="en-GB"/>
        </w:rPr>
        <w:t>Principles for Effective Insolvency and Creditor / Debtor Regimes</w:t>
      </w:r>
      <w:r w:rsidR="00637016">
        <w:rPr>
          <w:rFonts w:ascii="Avenir Next" w:hAnsi="Avenir Next" w:cs="Arial"/>
          <w:sz w:val="22"/>
          <w:szCs w:val="22"/>
          <w:u w:val="single"/>
          <w:lang w:val="en-GB"/>
        </w:rPr>
        <w:t>.</w:t>
      </w:r>
      <w:r w:rsidR="00275097">
        <w:rPr>
          <w:rFonts w:ascii="Avenir Next" w:hAnsi="Avenir Next" w:cs="Arial"/>
          <w:sz w:val="22"/>
          <w:szCs w:val="22"/>
          <w:u w:val="single"/>
          <w:lang w:val="en-GB"/>
        </w:rPr>
        <w:t xml:space="preserve"> </w:t>
      </w:r>
      <w:r w:rsidR="00275097" w:rsidRPr="00275097">
        <w:rPr>
          <w:rFonts w:ascii="Avenir Next" w:hAnsi="Avenir Next" w:cs="Arial"/>
          <w:sz w:val="22"/>
          <w:szCs w:val="22"/>
          <w:u w:val="single"/>
          <w:lang w:val="en-GB"/>
        </w:rPr>
        <w:t xml:space="preserve">These </w:t>
      </w:r>
      <w:r w:rsidR="00637016">
        <w:rPr>
          <w:rFonts w:ascii="Avenir Next" w:hAnsi="Avenir Next" w:cs="Arial"/>
          <w:sz w:val="22"/>
          <w:szCs w:val="22"/>
          <w:u w:val="single"/>
          <w:lang w:val="en-GB"/>
        </w:rPr>
        <w:t xml:space="preserve">two examples </w:t>
      </w:r>
      <w:r w:rsidR="00350310">
        <w:rPr>
          <w:rFonts w:ascii="Avenir Next" w:hAnsi="Avenir Next" w:cs="Arial"/>
          <w:sz w:val="22"/>
          <w:szCs w:val="22"/>
          <w:u w:val="single"/>
          <w:lang w:val="en-GB"/>
        </w:rPr>
        <w:t>contain the</w:t>
      </w:r>
      <w:r w:rsidR="00637016">
        <w:rPr>
          <w:rFonts w:ascii="Avenir Next" w:hAnsi="Avenir Next" w:cs="Arial"/>
          <w:sz w:val="22"/>
          <w:szCs w:val="22"/>
          <w:u w:val="single"/>
          <w:lang w:val="en-GB"/>
        </w:rPr>
        <w:t xml:space="preserve"> </w:t>
      </w:r>
      <w:r w:rsidR="00637016" w:rsidRPr="00637016">
        <w:rPr>
          <w:rFonts w:ascii="Avenir Next" w:hAnsi="Avenir Next" w:cs="Arial"/>
          <w:sz w:val="22"/>
          <w:szCs w:val="22"/>
          <w:u w:val="single"/>
          <w:lang w:val="en-GB"/>
        </w:rPr>
        <w:t>best practice</w:t>
      </w:r>
      <w:r w:rsidR="00350310">
        <w:rPr>
          <w:rFonts w:ascii="Avenir Next" w:hAnsi="Avenir Next" w:cs="Arial"/>
          <w:sz w:val="22"/>
          <w:szCs w:val="22"/>
          <w:u w:val="single"/>
          <w:lang w:val="en-GB"/>
        </w:rPr>
        <w:t>s in</w:t>
      </w:r>
      <w:r w:rsidR="00637016">
        <w:rPr>
          <w:rFonts w:ascii="Avenir Next" w:hAnsi="Avenir Next" w:cs="Arial"/>
          <w:sz w:val="22"/>
          <w:szCs w:val="22"/>
          <w:u w:val="single"/>
          <w:lang w:val="en-GB"/>
        </w:rPr>
        <w:t xml:space="preserve"> </w:t>
      </w:r>
      <w:r w:rsidR="00350310" w:rsidRPr="00637016">
        <w:rPr>
          <w:rFonts w:ascii="Avenir Next" w:hAnsi="Avenir Next" w:cs="Arial"/>
          <w:sz w:val="22"/>
          <w:szCs w:val="22"/>
          <w:u w:val="single"/>
          <w:lang w:val="en-GB"/>
        </w:rPr>
        <w:t xml:space="preserve">international </w:t>
      </w:r>
      <w:r w:rsidR="00637016" w:rsidRPr="00637016">
        <w:rPr>
          <w:rFonts w:ascii="Avenir Next" w:hAnsi="Avenir Next" w:cs="Arial"/>
          <w:sz w:val="22"/>
          <w:szCs w:val="22"/>
          <w:u w:val="single"/>
          <w:lang w:val="en-GB"/>
        </w:rPr>
        <w:t>standard</w:t>
      </w:r>
      <w:r w:rsidR="00350310">
        <w:rPr>
          <w:rFonts w:ascii="Avenir Next" w:hAnsi="Avenir Next" w:cs="Arial"/>
          <w:sz w:val="22"/>
          <w:szCs w:val="22"/>
          <w:u w:val="single"/>
          <w:lang w:val="en-GB"/>
        </w:rPr>
        <w:t>s</w:t>
      </w:r>
      <w:r w:rsidR="00637016" w:rsidRPr="00637016">
        <w:rPr>
          <w:rFonts w:ascii="Avenir Next" w:hAnsi="Avenir Next" w:cs="Arial"/>
          <w:sz w:val="22"/>
          <w:szCs w:val="22"/>
          <w:u w:val="single"/>
          <w:lang w:val="en-GB"/>
        </w:rPr>
        <w:t xml:space="preserve"> </w:t>
      </w:r>
      <w:r w:rsidR="00350310">
        <w:rPr>
          <w:rFonts w:ascii="Avenir Next" w:hAnsi="Avenir Next" w:cs="Arial"/>
          <w:sz w:val="22"/>
          <w:szCs w:val="22"/>
          <w:u w:val="single"/>
          <w:lang w:val="en-GB"/>
        </w:rPr>
        <w:t>regarding</w:t>
      </w:r>
      <w:r w:rsidR="00637016" w:rsidRPr="00637016">
        <w:rPr>
          <w:rFonts w:ascii="Avenir Next" w:hAnsi="Avenir Next" w:cs="Arial"/>
          <w:sz w:val="22"/>
          <w:szCs w:val="22"/>
          <w:u w:val="single"/>
          <w:lang w:val="en-GB"/>
        </w:rPr>
        <w:t xml:space="preserve"> insolvency regimes</w:t>
      </w:r>
      <w:r w:rsidR="001E0558">
        <w:rPr>
          <w:rFonts w:ascii="Avenir Next" w:hAnsi="Avenir Next" w:cs="Arial"/>
          <w:sz w:val="22"/>
          <w:szCs w:val="22"/>
          <w:u w:val="single"/>
          <w:lang w:val="en-GB"/>
        </w:rPr>
        <w:t>.</w:t>
      </w:r>
    </w:p>
    <w:p w14:paraId="787DCA57" w14:textId="77777777" w:rsidR="00223CB2" w:rsidRDefault="00223CB2" w:rsidP="00637016">
      <w:pPr>
        <w:jc w:val="both"/>
        <w:rPr>
          <w:rFonts w:ascii="Avenir Next" w:hAnsi="Avenir Next" w:cs="Arial"/>
          <w:sz w:val="22"/>
          <w:szCs w:val="22"/>
          <w:u w:val="single"/>
          <w:lang w:val="en-GB"/>
        </w:rPr>
      </w:pPr>
    </w:p>
    <w:p w14:paraId="00586764" w14:textId="16DAF57B" w:rsidR="00223CB2" w:rsidRPr="002B424B" w:rsidRDefault="00122164" w:rsidP="00163366">
      <w:pPr>
        <w:jc w:val="both"/>
        <w:rPr>
          <w:rFonts w:ascii="Avenir Next" w:hAnsi="Avenir Next" w:cs="Arial"/>
          <w:sz w:val="22"/>
          <w:szCs w:val="22"/>
          <w:u w:val="single"/>
          <w:lang w:val="en-GB"/>
        </w:rPr>
      </w:pPr>
      <w:r>
        <w:rPr>
          <w:rFonts w:ascii="Avenir Next" w:hAnsi="Avenir Next" w:cs="Arial"/>
          <w:sz w:val="22"/>
          <w:szCs w:val="22"/>
          <w:u w:val="single"/>
          <w:lang w:val="en-GB"/>
        </w:rPr>
        <w:t>Second</w:t>
      </w:r>
      <w:r w:rsidR="00223CB2">
        <w:rPr>
          <w:rFonts w:ascii="Avenir Next" w:hAnsi="Avenir Next" w:cs="Arial"/>
          <w:sz w:val="22"/>
          <w:szCs w:val="22"/>
          <w:u w:val="single"/>
          <w:lang w:val="en-GB"/>
        </w:rPr>
        <w:t xml:space="preserve">, </w:t>
      </w:r>
      <w:r w:rsidR="00837EA6">
        <w:rPr>
          <w:rFonts w:ascii="Avenir Next" w:hAnsi="Avenir Next" w:cs="Arial"/>
          <w:sz w:val="22"/>
          <w:szCs w:val="22"/>
          <w:u w:val="single"/>
          <w:lang w:val="en-GB"/>
        </w:rPr>
        <w:t xml:space="preserve">independent intergovernmental organisations have also been formed to function as think tanks for the promotion of </w:t>
      </w:r>
      <w:proofErr w:type="spellStart"/>
      <w:r w:rsidR="00837EA6">
        <w:rPr>
          <w:rFonts w:ascii="Avenir Next" w:hAnsi="Avenir Next" w:cs="Arial"/>
          <w:sz w:val="22"/>
          <w:szCs w:val="22"/>
          <w:u w:val="single"/>
          <w:lang w:val="en-GB"/>
        </w:rPr>
        <w:t>haromisation</w:t>
      </w:r>
      <w:proofErr w:type="spellEnd"/>
      <w:r w:rsidR="00837EA6">
        <w:rPr>
          <w:rFonts w:ascii="Avenir Next" w:hAnsi="Avenir Next" w:cs="Arial"/>
          <w:sz w:val="22"/>
          <w:szCs w:val="22"/>
          <w:u w:val="single"/>
          <w:lang w:val="en-GB"/>
        </w:rPr>
        <w:t xml:space="preserve"> of insolvency laws. One example is the </w:t>
      </w:r>
      <w:proofErr w:type="spellStart"/>
      <w:r w:rsidR="00837EA6" w:rsidRPr="00837EA6">
        <w:rPr>
          <w:rFonts w:ascii="Avenir Next" w:hAnsi="Avenir Next" w:cs="Arial"/>
          <w:i/>
          <w:iCs/>
          <w:sz w:val="22"/>
          <w:szCs w:val="22"/>
          <w:u w:val="single"/>
          <w:lang w:val="en-GB"/>
        </w:rPr>
        <w:t>Institut</w:t>
      </w:r>
      <w:proofErr w:type="spellEnd"/>
      <w:r w:rsidR="00837EA6" w:rsidRPr="00837EA6">
        <w:rPr>
          <w:rFonts w:ascii="Avenir Next" w:hAnsi="Avenir Next" w:cs="Arial"/>
          <w:i/>
          <w:iCs/>
          <w:sz w:val="22"/>
          <w:szCs w:val="22"/>
          <w:u w:val="single"/>
          <w:lang w:val="en-GB"/>
        </w:rPr>
        <w:t xml:space="preserve"> International pour </w:t>
      </w:r>
      <w:proofErr w:type="spellStart"/>
      <w:r w:rsidR="00837EA6" w:rsidRPr="00837EA6">
        <w:rPr>
          <w:rFonts w:ascii="Avenir Next" w:hAnsi="Avenir Next" w:cs="Arial"/>
          <w:i/>
          <w:iCs/>
          <w:sz w:val="22"/>
          <w:szCs w:val="22"/>
          <w:u w:val="single"/>
          <w:lang w:val="en-GB"/>
        </w:rPr>
        <w:t>l’Unification</w:t>
      </w:r>
      <w:proofErr w:type="spellEnd"/>
      <w:r w:rsidR="00837EA6" w:rsidRPr="00837EA6">
        <w:rPr>
          <w:rFonts w:ascii="Avenir Next" w:hAnsi="Avenir Next" w:cs="Arial"/>
          <w:i/>
          <w:iCs/>
          <w:sz w:val="22"/>
          <w:szCs w:val="22"/>
          <w:u w:val="single"/>
          <w:lang w:val="en-GB"/>
        </w:rPr>
        <w:t xml:space="preserve"> de Droit </w:t>
      </w:r>
      <w:proofErr w:type="spellStart"/>
      <w:r w:rsidR="00837EA6" w:rsidRPr="00837EA6">
        <w:rPr>
          <w:rFonts w:ascii="Avenir Next" w:hAnsi="Avenir Next" w:cs="Arial"/>
          <w:i/>
          <w:iCs/>
          <w:sz w:val="22"/>
          <w:szCs w:val="22"/>
          <w:u w:val="single"/>
          <w:lang w:val="en-GB"/>
        </w:rPr>
        <w:t>Privé</w:t>
      </w:r>
      <w:proofErr w:type="spellEnd"/>
      <w:r w:rsidR="00837EA6" w:rsidRPr="00837EA6">
        <w:rPr>
          <w:rFonts w:ascii="Avenir Next" w:hAnsi="Avenir Next" w:cs="Arial"/>
          <w:sz w:val="22"/>
          <w:szCs w:val="22"/>
          <w:u w:val="single"/>
          <w:lang w:val="en-GB"/>
        </w:rPr>
        <w:t xml:space="preserve"> (International Institute</w:t>
      </w:r>
      <w:r w:rsidR="00837EA6">
        <w:rPr>
          <w:rFonts w:ascii="Avenir Next" w:hAnsi="Avenir Next" w:cs="Arial"/>
          <w:sz w:val="22"/>
          <w:szCs w:val="22"/>
          <w:u w:val="single"/>
          <w:lang w:val="en-GB"/>
        </w:rPr>
        <w:t xml:space="preserve"> </w:t>
      </w:r>
      <w:r w:rsidR="00837EA6" w:rsidRPr="00837EA6">
        <w:rPr>
          <w:rFonts w:ascii="Avenir Next" w:hAnsi="Avenir Next" w:cs="Arial"/>
          <w:sz w:val="22"/>
          <w:szCs w:val="22"/>
          <w:u w:val="single"/>
          <w:lang w:val="en-GB"/>
        </w:rPr>
        <w:t xml:space="preserve">for the </w:t>
      </w:r>
      <w:r w:rsidR="00837EA6" w:rsidRPr="00837EA6">
        <w:rPr>
          <w:rFonts w:ascii="Avenir Next" w:hAnsi="Avenir Next" w:cs="Arial"/>
          <w:sz w:val="22"/>
          <w:szCs w:val="22"/>
          <w:u w:val="single"/>
          <w:lang w:val="en-GB"/>
        </w:rPr>
        <w:lastRenderedPageBreak/>
        <w:t>Unification of Private Law), commonly known as UNIDROIT</w:t>
      </w:r>
      <w:r w:rsidR="00350310">
        <w:rPr>
          <w:rFonts w:ascii="Avenir Next" w:hAnsi="Avenir Next" w:cs="Arial"/>
          <w:sz w:val="22"/>
          <w:szCs w:val="22"/>
          <w:u w:val="single"/>
          <w:lang w:val="en-GB"/>
        </w:rPr>
        <w:t>.</w:t>
      </w:r>
      <w:r w:rsidR="00837EA6" w:rsidRPr="00837EA6">
        <w:rPr>
          <w:rFonts w:ascii="Avenir Next" w:hAnsi="Avenir Next" w:cs="Arial"/>
          <w:sz w:val="22"/>
          <w:szCs w:val="22"/>
          <w:u w:val="single"/>
          <w:lang w:val="en-GB"/>
        </w:rPr>
        <w:t xml:space="preserve"> </w:t>
      </w:r>
      <w:r w:rsidR="00350310">
        <w:rPr>
          <w:rFonts w:ascii="Avenir Next" w:hAnsi="Avenir Next" w:cs="Arial"/>
          <w:sz w:val="22"/>
          <w:szCs w:val="22"/>
          <w:u w:val="single"/>
          <w:lang w:val="en-GB"/>
        </w:rPr>
        <w:t>Its purpose</w:t>
      </w:r>
      <w:r w:rsidR="00837EA6" w:rsidRPr="00837EA6">
        <w:rPr>
          <w:rFonts w:ascii="Avenir Next" w:hAnsi="Avenir Next" w:cs="Arial"/>
          <w:sz w:val="22"/>
          <w:szCs w:val="22"/>
          <w:u w:val="single"/>
          <w:lang w:val="en-GB"/>
        </w:rPr>
        <w:t xml:space="preserve"> is “to study needs and methods</w:t>
      </w:r>
      <w:r w:rsidR="00837EA6">
        <w:rPr>
          <w:rFonts w:ascii="Avenir Next" w:hAnsi="Avenir Next" w:cs="Arial"/>
          <w:sz w:val="22"/>
          <w:szCs w:val="22"/>
          <w:u w:val="single"/>
          <w:lang w:val="en-GB"/>
        </w:rPr>
        <w:t xml:space="preserve"> </w:t>
      </w:r>
      <w:r w:rsidR="00837EA6" w:rsidRPr="00837EA6">
        <w:rPr>
          <w:rFonts w:ascii="Avenir Next" w:hAnsi="Avenir Next" w:cs="Arial"/>
          <w:sz w:val="22"/>
          <w:szCs w:val="22"/>
          <w:u w:val="single"/>
          <w:lang w:val="en-GB"/>
        </w:rPr>
        <w:t>for modernising, harmonising and co-ordinating private and in particular commercial law as</w:t>
      </w:r>
      <w:r w:rsidR="00837EA6">
        <w:rPr>
          <w:rFonts w:ascii="Avenir Next" w:hAnsi="Avenir Next" w:cs="Arial"/>
          <w:sz w:val="22"/>
          <w:szCs w:val="22"/>
          <w:u w:val="single"/>
          <w:lang w:val="en-GB"/>
        </w:rPr>
        <w:t xml:space="preserve"> </w:t>
      </w:r>
      <w:r w:rsidR="00837EA6" w:rsidRPr="00837EA6">
        <w:rPr>
          <w:rFonts w:ascii="Avenir Next" w:hAnsi="Avenir Next" w:cs="Arial"/>
          <w:sz w:val="22"/>
          <w:szCs w:val="22"/>
          <w:u w:val="single"/>
          <w:lang w:val="en-GB"/>
        </w:rPr>
        <w:t>between States and groups of States and to formulate uniform law instruments, principles and</w:t>
      </w:r>
      <w:r w:rsidR="00837EA6">
        <w:rPr>
          <w:rFonts w:ascii="Avenir Next" w:hAnsi="Avenir Next" w:cs="Arial"/>
          <w:sz w:val="22"/>
          <w:szCs w:val="22"/>
          <w:u w:val="single"/>
          <w:lang w:val="en-GB"/>
        </w:rPr>
        <w:t xml:space="preserve"> </w:t>
      </w:r>
      <w:r w:rsidR="00837EA6" w:rsidRPr="00837EA6">
        <w:rPr>
          <w:rFonts w:ascii="Avenir Next" w:hAnsi="Avenir Next" w:cs="Arial"/>
          <w:sz w:val="22"/>
          <w:szCs w:val="22"/>
          <w:u w:val="single"/>
          <w:lang w:val="en-GB"/>
        </w:rPr>
        <w:t>rules to achieve those objectives.</w:t>
      </w:r>
      <w:r w:rsidR="00837EA6">
        <w:rPr>
          <w:rFonts w:ascii="Avenir Next" w:hAnsi="Avenir Next" w:cs="Arial"/>
          <w:sz w:val="22"/>
          <w:szCs w:val="22"/>
          <w:u w:val="single"/>
          <w:lang w:val="en-GB"/>
        </w:rPr>
        <w:t>”</w:t>
      </w:r>
      <w:r w:rsidR="0056248B">
        <w:rPr>
          <w:rFonts w:ascii="Avenir Next" w:hAnsi="Avenir Next" w:cs="Arial"/>
          <w:sz w:val="22"/>
          <w:szCs w:val="22"/>
          <w:u w:val="single"/>
          <w:lang w:val="en-GB"/>
        </w:rPr>
        <w:t xml:space="preserve"> The works of organisations such as UNIDROIT include the issuance of texts</w:t>
      </w:r>
      <w:r w:rsidR="00350310">
        <w:rPr>
          <w:rFonts w:ascii="Avenir Next" w:hAnsi="Avenir Next" w:cs="Arial"/>
          <w:sz w:val="22"/>
          <w:szCs w:val="22"/>
          <w:u w:val="single"/>
          <w:lang w:val="en-GB"/>
        </w:rPr>
        <w:t xml:space="preserve"> or other works that </w:t>
      </w:r>
      <w:r w:rsidR="009A0201">
        <w:rPr>
          <w:rFonts w:ascii="Avenir Next" w:hAnsi="Avenir Next" w:cs="Arial"/>
          <w:sz w:val="22"/>
          <w:szCs w:val="22"/>
          <w:u w:val="single"/>
          <w:lang w:val="en-GB"/>
        </w:rPr>
        <w:t>is relevant to</w:t>
      </w:r>
      <w:r w:rsidR="0056248B">
        <w:rPr>
          <w:rFonts w:ascii="Avenir Next" w:hAnsi="Avenir Next" w:cs="Arial"/>
          <w:sz w:val="22"/>
          <w:szCs w:val="22"/>
          <w:u w:val="single"/>
          <w:lang w:val="en-GB"/>
        </w:rPr>
        <w:t xml:space="preserve"> </w:t>
      </w:r>
      <w:r w:rsidR="00163366" w:rsidRPr="00163366">
        <w:rPr>
          <w:rFonts w:ascii="Avenir Next" w:hAnsi="Avenir Next" w:cs="Arial"/>
          <w:sz w:val="22"/>
          <w:szCs w:val="22"/>
          <w:u w:val="single"/>
          <w:lang w:val="en-GB"/>
        </w:rPr>
        <w:t>international</w:t>
      </w:r>
      <w:r w:rsidR="00163366">
        <w:rPr>
          <w:rFonts w:ascii="Avenir Next" w:hAnsi="Avenir Next" w:cs="Arial"/>
          <w:sz w:val="22"/>
          <w:szCs w:val="22"/>
          <w:u w:val="single"/>
          <w:lang w:val="en-GB"/>
        </w:rPr>
        <w:t xml:space="preserve"> </w:t>
      </w:r>
      <w:r w:rsidR="00163366" w:rsidRPr="00163366">
        <w:rPr>
          <w:rFonts w:ascii="Avenir Next" w:hAnsi="Avenir Next" w:cs="Arial"/>
          <w:sz w:val="22"/>
          <w:szCs w:val="22"/>
          <w:u w:val="single"/>
          <w:lang w:val="en-GB"/>
        </w:rPr>
        <w:t>insolvencies</w:t>
      </w:r>
      <w:r w:rsidR="00350310">
        <w:rPr>
          <w:rFonts w:ascii="Avenir Next" w:hAnsi="Avenir Next" w:cs="Arial"/>
          <w:sz w:val="22"/>
          <w:szCs w:val="22"/>
          <w:u w:val="single"/>
          <w:lang w:val="en-GB"/>
        </w:rPr>
        <w:t xml:space="preserve">. </w:t>
      </w:r>
    </w:p>
    <w:p w14:paraId="16F294AF" w14:textId="77777777" w:rsidR="00744D11" w:rsidRDefault="00744D11" w:rsidP="00D53FCE">
      <w:pPr>
        <w:jc w:val="both"/>
        <w:rPr>
          <w:rFonts w:ascii="Avenir Next" w:hAnsi="Avenir Next" w:cs="Arial"/>
          <w:sz w:val="22"/>
          <w:szCs w:val="22"/>
          <w:u w:val="single"/>
          <w:lang w:val="en-GB"/>
        </w:rPr>
      </w:pPr>
    </w:p>
    <w:p w14:paraId="46635B5C" w14:textId="5B389E21" w:rsidR="00BC2C8B" w:rsidRDefault="00744D11" w:rsidP="009570FC">
      <w:pPr>
        <w:jc w:val="both"/>
        <w:rPr>
          <w:rFonts w:ascii="Avenir Next" w:hAnsi="Avenir Next" w:cs="Arial"/>
          <w:sz w:val="22"/>
          <w:szCs w:val="22"/>
          <w:u w:val="single"/>
          <w:lang w:val="en-GB"/>
        </w:rPr>
      </w:pPr>
      <w:r>
        <w:rPr>
          <w:rFonts w:ascii="Avenir Next" w:hAnsi="Avenir Next" w:cs="Arial"/>
          <w:sz w:val="22"/>
          <w:szCs w:val="22"/>
          <w:u w:val="single"/>
          <w:lang w:val="en-GB"/>
        </w:rPr>
        <w:t xml:space="preserve">In my view, it is certainly ideal to promote the harmonisation of domestic insolvency laws. After all, </w:t>
      </w:r>
      <w:r w:rsidR="0096253C">
        <w:rPr>
          <w:rFonts w:ascii="Avenir Next" w:hAnsi="Avenir Next" w:cs="Arial"/>
          <w:sz w:val="22"/>
          <w:szCs w:val="22"/>
          <w:u w:val="single"/>
          <w:lang w:val="en-GB"/>
        </w:rPr>
        <w:t>the adoption of such model laws</w:t>
      </w:r>
      <w:r>
        <w:rPr>
          <w:rFonts w:ascii="Avenir Next" w:hAnsi="Avenir Next" w:cs="Arial"/>
          <w:sz w:val="22"/>
          <w:szCs w:val="22"/>
          <w:u w:val="single"/>
          <w:lang w:val="en-GB"/>
        </w:rPr>
        <w:t xml:space="preserve"> would not only ensure </w:t>
      </w:r>
      <w:r w:rsidR="0096253C" w:rsidRPr="0096253C">
        <w:rPr>
          <w:rFonts w:ascii="Avenir Next" w:hAnsi="Avenir Next" w:cs="Arial"/>
          <w:sz w:val="22"/>
          <w:szCs w:val="22"/>
          <w:u w:val="single"/>
          <w:lang w:val="en-GB"/>
        </w:rPr>
        <w:t>generally higher standard of national insolvency laws</w:t>
      </w:r>
      <w:r w:rsidR="0096253C">
        <w:rPr>
          <w:rFonts w:ascii="Avenir Next" w:hAnsi="Avenir Next" w:cs="Arial"/>
          <w:sz w:val="22"/>
          <w:szCs w:val="22"/>
          <w:u w:val="single"/>
          <w:lang w:val="en-GB"/>
        </w:rPr>
        <w:t xml:space="preserve"> (as such model laws are drafted after taking into account best practices</w:t>
      </w:r>
      <w:proofErr w:type="gramStart"/>
      <w:r w:rsidR="0096253C">
        <w:rPr>
          <w:rFonts w:ascii="Avenir Next" w:hAnsi="Avenir Next" w:cs="Arial"/>
          <w:sz w:val="22"/>
          <w:szCs w:val="22"/>
          <w:u w:val="single"/>
          <w:lang w:val="en-GB"/>
        </w:rPr>
        <w:t>), but</w:t>
      </w:r>
      <w:proofErr w:type="gramEnd"/>
      <w:r w:rsidR="0096253C" w:rsidRPr="0096253C">
        <w:rPr>
          <w:rFonts w:ascii="Avenir Next" w:hAnsi="Avenir Next" w:cs="Arial"/>
          <w:sz w:val="22"/>
          <w:szCs w:val="22"/>
          <w:u w:val="single"/>
          <w:lang w:val="en-GB"/>
        </w:rPr>
        <w:t xml:space="preserve"> would </w:t>
      </w:r>
      <w:r w:rsidR="0096253C">
        <w:rPr>
          <w:rFonts w:ascii="Avenir Next" w:hAnsi="Avenir Next" w:cs="Arial"/>
          <w:sz w:val="22"/>
          <w:szCs w:val="22"/>
          <w:u w:val="single"/>
          <w:lang w:val="en-GB"/>
        </w:rPr>
        <w:t xml:space="preserve">also go a </w:t>
      </w:r>
      <w:r w:rsidR="0096253C" w:rsidRPr="0096253C">
        <w:rPr>
          <w:rFonts w:ascii="Avenir Next" w:hAnsi="Avenir Next" w:cs="Arial"/>
          <w:sz w:val="22"/>
          <w:szCs w:val="22"/>
          <w:u w:val="single"/>
          <w:lang w:val="en-GB"/>
        </w:rPr>
        <w:t>long way to resolving many of the problems experienced in cross-border insolvency</w:t>
      </w:r>
      <w:r w:rsidR="0096253C">
        <w:rPr>
          <w:rFonts w:ascii="Avenir Next" w:hAnsi="Avenir Next" w:cs="Arial"/>
          <w:sz w:val="22"/>
          <w:szCs w:val="22"/>
          <w:u w:val="single"/>
          <w:lang w:val="en-GB"/>
        </w:rPr>
        <w:t>, namely the differences in standard of domestic insolvency laws. That being said, there are two problems</w:t>
      </w:r>
      <w:r w:rsidR="007E2CC7">
        <w:rPr>
          <w:rFonts w:ascii="Avenir Next" w:hAnsi="Avenir Next" w:cs="Arial"/>
          <w:sz w:val="22"/>
          <w:szCs w:val="22"/>
          <w:u w:val="single"/>
          <w:lang w:val="en-GB"/>
        </w:rPr>
        <w:t xml:space="preserve"> associated with attempts to harmonise domestic laws. The first is that the insolvency laws of each state are, to some extent, premised on underlying social and economic goals unique to each society. To this extent, therefore, it may be difficult to create a one-size-fits-all solution. </w:t>
      </w:r>
      <w:r w:rsidR="00BC2C8B">
        <w:rPr>
          <w:rFonts w:ascii="Avenir Next" w:hAnsi="Avenir Next" w:cs="Arial"/>
          <w:sz w:val="22"/>
          <w:szCs w:val="22"/>
          <w:u w:val="single"/>
          <w:lang w:val="en-GB"/>
        </w:rPr>
        <w:t>In any case, it is one thing to give states access to such model laws. It is another to promote states to adopt such model instruments in their domestic legislations.</w:t>
      </w:r>
      <w:r w:rsidR="00BF5C69">
        <w:rPr>
          <w:rFonts w:ascii="Avenir Next" w:hAnsi="Avenir Next" w:cs="Arial"/>
          <w:sz w:val="22"/>
          <w:szCs w:val="22"/>
          <w:u w:val="single"/>
          <w:lang w:val="en-GB"/>
        </w:rPr>
        <w:t xml:space="preserve"> The second is that</w:t>
      </w:r>
      <w:r w:rsidR="00BC2C8B">
        <w:rPr>
          <w:rFonts w:ascii="Avenir Next" w:hAnsi="Avenir Next" w:cs="Arial"/>
          <w:sz w:val="22"/>
          <w:szCs w:val="22"/>
          <w:u w:val="single"/>
          <w:lang w:val="en-GB"/>
        </w:rPr>
        <w:t>, while the harmonisation of domestic laws is one thing, another aspect o</w:t>
      </w:r>
      <w:r w:rsidR="009570FC">
        <w:rPr>
          <w:rFonts w:ascii="Avenir Next" w:hAnsi="Avenir Next" w:cs="Arial"/>
          <w:sz w:val="22"/>
          <w:szCs w:val="22"/>
          <w:u w:val="single"/>
          <w:lang w:val="en-GB"/>
        </w:rPr>
        <w:t xml:space="preserve">f insolvency proceedings that needs to be worked on is the </w:t>
      </w:r>
      <w:r w:rsidR="009570FC" w:rsidRPr="009570FC">
        <w:rPr>
          <w:rFonts w:ascii="Avenir Next" w:hAnsi="Avenir Next" w:cs="Arial"/>
          <w:sz w:val="22"/>
          <w:szCs w:val="22"/>
          <w:u w:val="single"/>
          <w:lang w:val="en-GB"/>
        </w:rPr>
        <w:t>co-operation and co-ordination in the case of</w:t>
      </w:r>
      <w:r w:rsidR="009570FC">
        <w:rPr>
          <w:rFonts w:ascii="Avenir Next" w:hAnsi="Avenir Next" w:cs="Arial"/>
          <w:sz w:val="22"/>
          <w:szCs w:val="22"/>
          <w:u w:val="single"/>
          <w:lang w:val="en-GB"/>
        </w:rPr>
        <w:t xml:space="preserve"> </w:t>
      </w:r>
      <w:r w:rsidR="009570FC" w:rsidRPr="009570FC">
        <w:rPr>
          <w:rFonts w:ascii="Avenir Next" w:hAnsi="Avenir Next" w:cs="Arial"/>
          <w:sz w:val="22"/>
          <w:szCs w:val="22"/>
          <w:u w:val="single"/>
          <w:lang w:val="en-GB"/>
        </w:rPr>
        <w:t>multiple concurrent insolvency proceedings</w:t>
      </w:r>
      <w:r w:rsidR="009570FC">
        <w:rPr>
          <w:rFonts w:ascii="Avenir Next" w:hAnsi="Avenir Next" w:cs="Arial"/>
          <w:sz w:val="22"/>
          <w:szCs w:val="22"/>
          <w:u w:val="single"/>
          <w:lang w:val="en-GB"/>
        </w:rPr>
        <w:t>,</w:t>
      </w:r>
      <w:r w:rsidR="001361E0">
        <w:rPr>
          <w:rFonts w:ascii="Avenir Next" w:hAnsi="Avenir Next" w:cs="Arial"/>
          <w:sz w:val="22"/>
          <w:szCs w:val="22"/>
          <w:u w:val="single"/>
          <w:lang w:val="en-GB"/>
        </w:rPr>
        <w:t xml:space="preserve"> for</w:t>
      </w:r>
      <w:r w:rsidR="009570FC">
        <w:rPr>
          <w:rFonts w:ascii="Avenir Next" w:hAnsi="Avenir Next" w:cs="Arial"/>
          <w:sz w:val="22"/>
          <w:szCs w:val="22"/>
          <w:u w:val="single"/>
          <w:lang w:val="en-GB"/>
        </w:rPr>
        <w:t xml:space="preserve"> which the harmonisation of domestic laws may not </w:t>
      </w:r>
      <w:proofErr w:type="gramStart"/>
      <w:r w:rsidR="009570FC">
        <w:rPr>
          <w:rFonts w:ascii="Avenir Next" w:hAnsi="Avenir Next" w:cs="Arial"/>
          <w:sz w:val="22"/>
          <w:szCs w:val="22"/>
          <w:u w:val="single"/>
          <w:lang w:val="en-GB"/>
        </w:rPr>
        <w:t>necessary</w:t>
      </w:r>
      <w:proofErr w:type="gramEnd"/>
      <w:r w:rsidR="009570FC">
        <w:rPr>
          <w:rFonts w:ascii="Avenir Next" w:hAnsi="Avenir Next" w:cs="Arial"/>
          <w:sz w:val="22"/>
          <w:szCs w:val="22"/>
          <w:u w:val="single"/>
          <w:lang w:val="en-GB"/>
        </w:rPr>
        <w:t xml:space="preserve"> </w:t>
      </w:r>
      <w:r w:rsidR="001361E0">
        <w:rPr>
          <w:rFonts w:ascii="Avenir Next" w:hAnsi="Avenir Next" w:cs="Arial"/>
          <w:sz w:val="22"/>
          <w:szCs w:val="22"/>
          <w:u w:val="single"/>
          <w:lang w:val="en-GB"/>
        </w:rPr>
        <w:t>encourage nor provide</w:t>
      </w:r>
      <w:r w:rsidR="009570FC">
        <w:rPr>
          <w:rFonts w:ascii="Avenir Next" w:hAnsi="Avenir Next" w:cs="Arial"/>
          <w:sz w:val="22"/>
          <w:szCs w:val="22"/>
          <w:u w:val="single"/>
          <w:lang w:val="en-GB"/>
        </w:rPr>
        <w:t xml:space="preserve">. </w:t>
      </w:r>
    </w:p>
    <w:p w14:paraId="62F94286" w14:textId="77777777" w:rsidR="00BF5C69" w:rsidRDefault="00BF5C69" w:rsidP="009570FC">
      <w:pPr>
        <w:jc w:val="both"/>
        <w:rPr>
          <w:rFonts w:ascii="Avenir Next" w:hAnsi="Avenir Next" w:cs="Arial"/>
          <w:sz w:val="22"/>
          <w:szCs w:val="22"/>
          <w:u w:val="single"/>
          <w:lang w:val="en-GB"/>
        </w:rPr>
      </w:pPr>
    </w:p>
    <w:p w14:paraId="52F9A691" w14:textId="6C79AFFC" w:rsidR="00BF5C69" w:rsidRPr="00D53FCE" w:rsidRDefault="00BF5C69" w:rsidP="00215AB1">
      <w:pPr>
        <w:jc w:val="both"/>
        <w:rPr>
          <w:rFonts w:ascii="Avenir Next" w:hAnsi="Avenir Next" w:cs="Arial"/>
          <w:sz w:val="22"/>
          <w:szCs w:val="22"/>
          <w:u w:val="single"/>
          <w:lang w:val="en-GB"/>
        </w:rPr>
      </w:pPr>
      <w:r>
        <w:rPr>
          <w:rFonts w:ascii="Avenir Next" w:hAnsi="Avenir Next" w:cs="Arial"/>
          <w:sz w:val="22"/>
          <w:szCs w:val="22"/>
          <w:u w:val="single"/>
          <w:lang w:val="en-GB"/>
        </w:rPr>
        <w:t xml:space="preserve">It is also important to point out that even if complete harmonisation of domestic insolvency rules across various states is not practical, there is still a much more limited, but nonetheless effective, manner of </w:t>
      </w:r>
      <w:r w:rsidR="007B080A">
        <w:rPr>
          <w:rFonts w:ascii="Avenir Next" w:hAnsi="Avenir Next" w:cs="Arial"/>
          <w:sz w:val="22"/>
          <w:szCs w:val="22"/>
          <w:u w:val="single"/>
          <w:lang w:val="en-GB"/>
        </w:rPr>
        <w:t xml:space="preserve">minimising difficulties encountered in cross-border insolvency. That is the application of a uniform approach </w:t>
      </w:r>
      <w:proofErr w:type="gramStart"/>
      <w:r w:rsidR="007B080A">
        <w:rPr>
          <w:rFonts w:ascii="Avenir Next" w:hAnsi="Avenir Next" w:cs="Arial"/>
          <w:sz w:val="22"/>
          <w:szCs w:val="22"/>
          <w:u w:val="single"/>
          <w:lang w:val="en-GB"/>
        </w:rPr>
        <w:t>to choice</w:t>
      </w:r>
      <w:proofErr w:type="gramEnd"/>
      <w:r w:rsidR="007E01B9">
        <w:rPr>
          <w:rFonts w:ascii="Avenir Next" w:hAnsi="Avenir Next" w:cs="Arial"/>
          <w:sz w:val="22"/>
          <w:szCs w:val="22"/>
          <w:u w:val="single"/>
          <w:lang w:val="en-GB"/>
        </w:rPr>
        <w:t>-</w:t>
      </w:r>
      <w:r w:rsidR="007B080A">
        <w:rPr>
          <w:rFonts w:ascii="Avenir Next" w:hAnsi="Avenir Next" w:cs="Arial"/>
          <w:sz w:val="22"/>
          <w:szCs w:val="22"/>
          <w:u w:val="single"/>
          <w:lang w:val="en-GB"/>
        </w:rPr>
        <w:t>of</w:t>
      </w:r>
      <w:r w:rsidR="007E01B9">
        <w:rPr>
          <w:rFonts w:ascii="Avenir Next" w:hAnsi="Avenir Next" w:cs="Arial"/>
          <w:sz w:val="22"/>
          <w:szCs w:val="22"/>
          <w:u w:val="single"/>
          <w:lang w:val="en-GB"/>
        </w:rPr>
        <w:t>-</w:t>
      </w:r>
      <w:r w:rsidR="007B080A">
        <w:rPr>
          <w:rFonts w:ascii="Avenir Next" w:hAnsi="Avenir Next" w:cs="Arial"/>
          <w:sz w:val="22"/>
          <w:szCs w:val="22"/>
          <w:u w:val="single"/>
          <w:lang w:val="en-GB"/>
        </w:rPr>
        <w:t>law</w:t>
      </w:r>
      <w:r w:rsidR="007E01B9">
        <w:rPr>
          <w:rFonts w:ascii="Avenir Next" w:hAnsi="Avenir Next" w:cs="Arial"/>
          <w:sz w:val="22"/>
          <w:szCs w:val="22"/>
          <w:u w:val="single"/>
          <w:lang w:val="en-GB"/>
        </w:rPr>
        <w:t xml:space="preserve"> rules</w:t>
      </w:r>
      <w:r w:rsidR="007B080A">
        <w:rPr>
          <w:rFonts w:ascii="Avenir Next" w:hAnsi="Avenir Next" w:cs="Arial"/>
          <w:sz w:val="22"/>
          <w:szCs w:val="22"/>
          <w:u w:val="single"/>
          <w:lang w:val="en-GB"/>
        </w:rPr>
        <w:t xml:space="preserve">. This is because a </w:t>
      </w:r>
      <w:r w:rsidR="007B080A" w:rsidRPr="007B080A">
        <w:rPr>
          <w:rFonts w:ascii="Avenir Next" w:hAnsi="Avenir Next" w:cs="Arial"/>
          <w:sz w:val="22"/>
          <w:szCs w:val="22"/>
          <w:u w:val="single"/>
          <w:lang w:val="en-GB"/>
        </w:rPr>
        <w:t xml:space="preserve">uniform referral by the </w:t>
      </w:r>
      <w:r w:rsidR="007B080A">
        <w:rPr>
          <w:rFonts w:ascii="Avenir Next" w:hAnsi="Avenir Next" w:cs="Arial"/>
          <w:sz w:val="22"/>
          <w:szCs w:val="22"/>
          <w:u w:val="single"/>
          <w:lang w:val="en-GB"/>
        </w:rPr>
        <w:t>s</w:t>
      </w:r>
      <w:r w:rsidR="007B080A" w:rsidRPr="007B080A">
        <w:rPr>
          <w:rFonts w:ascii="Avenir Next" w:hAnsi="Avenir Next" w:cs="Arial"/>
          <w:sz w:val="22"/>
          <w:szCs w:val="22"/>
          <w:u w:val="single"/>
          <w:lang w:val="en-GB"/>
        </w:rPr>
        <w:t>tates to the same applicable (local or foreign) insolvency</w:t>
      </w:r>
      <w:r w:rsidR="007B080A">
        <w:rPr>
          <w:rFonts w:ascii="Avenir Next" w:hAnsi="Avenir Next" w:cs="Arial"/>
          <w:sz w:val="22"/>
          <w:szCs w:val="22"/>
          <w:u w:val="single"/>
          <w:lang w:val="en-GB"/>
        </w:rPr>
        <w:t xml:space="preserve"> </w:t>
      </w:r>
      <w:r w:rsidR="007B080A" w:rsidRPr="007B080A">
        <w:rPr>
          <w:rFonts w:ascii="Avenir Next" w:hAnsi="Avenir Next" w:cs="Arial"/>
          <w:sz w:val="22"/>
          <w:szCs w:val="22"/>
          <w:u w:val="single"/>
          <w:lang w:val="en-GB"/>
        </w:rPr>
        <w:t xml:space="preserve">law </w:t>
      </w:r>
      <w:r w:rsidR="007B080A">
        <w:rPr>
          <w:rFonts w:ascii="Avenir Next" w:hAnsi="Avenir Next" w:cs="Arial"/>
          <w:sz w:val="22"/>
          <w:szCs w:val="22"/>
          <w:u w:val="single"/>
          <w:lang w:val="en-GB"/>
        </w:rPr>
        <w:t>would produce</w:t>
      </w:r>
      <w:r w:rsidR="007B080A" w:rsidRPr="007B080A">
        <w:rPr>
          <w:rFonts w:ascii="Avenir Next" w:hAnsi="Avenir Next" w:cs="Arial"/>
          <w:sz w:val="22"/>
          <w:szCs w:val="22"/>
          <w:u w:val="single"/>
          <w:lang w:val="en-GB"/>
        </w:rPr>
        <w:t xml:space="preserve"> the same outcome regardless of the </w:t>
      </w:r>
      <w:r w:rsidR="007B080A">
        <w:rPr>
          <w:rFonts w:ascii="Avenir Next" w:hAnsi="Avenir Next" w:cs="Arial"/>
          <w:sz w:val="22"/>
          <w:szCs w:val="22"/>
          <w:u w:val="single"/>
          <w:lang w:val="en-GB"/>
        </w:rPr>
        <w:t>s</w:t>
      </w:r>
      <w:r w:rsidR="007B080A" w:rsidRPr="007B080A">
        <w:rPr>
          <w:rFonts w:ascii="Avenir Next" w:hAnsi="Avenir Next" w:cs="Arial"/>
          <w:sz w:val="22"/>
          <w:szCs w:val="22"/>
          <w:u w:val="single"/>
          <w:lang w:val="en-GB"/>
        </w:rPr>
        <w:t>tate in which the dispute arose</w:t>
      </w:r>
      <w:r w:rsidR="00215AB1">
        <w:rPr>
          <w:rFonts w:ascii="Avenir Next" w:hAnsi="Avenir Next" w:cs="Arial"/>
          <w:sz w:val="22"/>
          <w:szCs w:val="22"/>
          <w:u w:val="single"/>
          <w:lang w:val="en-GB"/>
        </w:rPr>
        <w:t xml:space="preserve">. </w:t>
      </w:r>
      <w:r w:rsidR="00215AB1" w:rsidRPr="00215AB1">
        <w:rPr>
          <w:rFonts w:ascii="Avenir Next" w:hAnsi="Avenir Next" w:cs="Arial"/>
          <w:sz w:val="22"/>
          <w:szCs w:val="22"/>
          <w:u w:val="single"/>
          <w:lang w:val="en-GB"/>
        </w:rPr>
        <w:t>A largely successful example of this approach is the Nordic Convention on Bankruptcy between</w:t>
      </w:r>
      <w:r w:rsidR="00215AB1">
        <w:rPr>
          <w:rFonts w:ascii="Avenir Next" w:hAnsi="Avenir Next" w:cs="Arial"/>
          <w:sz w:val="22"/>
          <w:szCs w:val="22"/>
          <w:u w:val="single"/>
          <w:lang w:val="en-GB"/>
        </w:rPr>
        <w:t xml:space="preserve"> </w:t>
      </w:r>
      <w:r w:rsidR="00215AB1" w:rsidRPr="00215AB1">
        <w:rPr>
          <w:rFonts w:ascii="Avenir Next" w:hAnsi="Avenir Next" w:cs="Arial"/>
          <w:sz w:val="22"/>
          <w:szCs w:val="22"/>
          <w:u w:val="single"/>
          <w:lang w:val="en-GB"/>
        </w:rPr>
        <w:t xml:space="preserve">Norway, Denmark, Finland, </w:t>
      </w:r>
      <w:proofErr w:type="gramStart"/>
      <w:r w:rsidR="00215AB1" w:rsidRPr="00215AB1">
        <w:rPr>
          <w:rFonts w:ascii="Avenir Next" w:hAnsi="Avenir Next" w:cs="Arial"/>
          <w:sz w:val="22"/>
          <w:szCs w:val="22"/>
          <w:u w:val="single"/>
          <w:lang w:val="en-GB"/>
        </w:rPr>
        <w:t>Iceland</w:t>
      </w:r>
      <w:proofErr w:type="gramEnd"/>
      <w:r w:rsidR="00215AB1" w:rsidRPr="00215AB1">
        <w:rPr>
          <w:rFonts w:ascii="Avenir Next" w:hAnsi="Avenir Next" w:cs="Arial"/>
          <w:sz w:val="22"/>
          <w:szCs w:val="22"/>
          <w:u w:val="single"/>
          <w:lang w:val="en-GB"/>
        </w:rPr>
        <w:t xml:space="preserve"> and Sweden (1933). The Nordic Convention recognises the</w:t>
      </w:r>
      <w:r w:rsidR="00215AB1">
        <w:rPr>
          <w:rFonts w:ascii="Avenir Next" w:hAnsi="Avenir Next" w:cs="Arial"/>
          <w:sz w:val="22"/>
          <w:szCs w:val="22"/>
          <w:u w:val="single"/>
          <w:lang w:val="en-GB"/>
        </w:rPr>
        <w:t xml:space="preserve"> </w:t>
      </w:r>
      <w:r w:rsidR="00215AB1" w:rsidRPr="00215AB1">
        <w:rPr>
          <w:rFonts w:ascii="Avenir Next" w:hAnsi="Avenir Next" w:cs="Arial"/>
          <w:sz w:val="22"/>
          <w:szCs w:val="22"/>
          <w:u w:val="single"/>
          <w:lang w:val="en-GB"/>
        </w:rPr>
        <w:t xml:space="preserve">law of the place of insolvency adjudication (the “home </w:t>
      </w:r>
      <w:r w:rsidR="00215AB1">
        <w:rPr>
          <w:rFonts w:ascii="Avenir Next" w:hAnsi="Avenir Next" w:cs="Arial"/>
          <w:sz w:val="22"/>
          <w:szCs w:val="22"/>
          <w:u w:val="single"/>
          <w:lang w:val="en-GB"/>
        </w:rPr>
        <w:t>s</w:t>
      </w:r>
      <w:r w:rsidR="00215AB1" w:rsidRPr="00215AB1">
        <w:rPr>
          <w:rFonts w:ascii="Avenir Next" w:hAnsi="Avenir Next" w:cs="Arial"/>
          <w:sz w:val="22"/>
          <w:szCs w:val="22"/>
          <w:u w:val="single"/>
          <w:lang w:val="en-GB"/>
        </w:rPr>
        <w:t>tate”) as determining almost all the</w:t>
      </w:r>
      <w:r w:rsidR="00215AB1">
        <w:rPr>
          <w:rFonts w:ascii="Avenir Next" w:hAnsi="Avenir Next" w:cs="Arial"/>
          <w:sz w:val="22"/>
          <w:szCs w:val="22"/>
          <w:u w:val="single"/>
          <w:lang w:val="en-GB"/>
        </w:rPr>
        <w:t xml:space="preserve"> </w:t>
      </w:r>
      <w:r w:rsidR="00215AB1" w:rsidRPr="00215AB1">
        <w:rPr>
          <w:rFonts w:ascii="Avenir Next" w:hAnsi="Avenir Next" w:cs="Arial"/>
          <w:sz w:val="22"/>
          <w:szCs w:val="22"/>
          <w:u w:val="single"/>
          <w:lang w:val="en-GB"/>
        </w:rPr>
        <w:t xml:space="preserve">effects of the order in all member </w:t>
      </w:r>
      <w:r w:rsidR="00215AB1">
        <w:rPr>
          <w:rFonts w:ascii="Avenir Next" w:hAnsi="Avenir Next" w:cs="Arial"/>
          <w:sz w:val="22"/>
          <w:szCs w:val="22"/>
          <w:u w:val="single"/>
          <w:lang w:val="en-GB"/>
        </w:rPr>
        <w:t>s</w:t>
      </w:r>
      <w:r w:rsidR="00215AB1" w:rsidRPr="00215AB1">
        <w:rPr>
          <w:rFonts w:ascii="Avenir Next" w:hAnsi="Avenir Next" w:cs="Arial"/>
          <w:sz w:val="22"/>
          <w:szCs w:val="22"/>
          <w:u w:val="single"/>
          <w:lang w:val="en-GB"/>
        </w:rPr>
        <w:t>tates without the need for further formalities.</w:t>
      </w:r>
    </w:p>
    <w:p w14:paraId="5338FFF2" w14:textId="77777777" w:rsidR="00623E53" w:rsidRDefault="00623E53">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43C0B6FE"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4A7670AB" w14:textId="2A471581" w:rsidR="000C1C48" w:rsidRDefault="00245595" w:rsidP="000C1C48">
      <w:pPr>
        <w:jc w:val="both"/>
        <w:rPr>
          <w:rFonts w:ascii="Avenir Next" w:hAnsi="Avenir Next" w:cs="Arial"/>
          <w:sz w:val="22"/>
          <w:szCs w:val="22"/>
          <w:u w:val="single"/>
          <w:lang w:val="en-GB"/>
        </w:rPr>
      </w:pPr>
      <w:r>
        <w:rPr>
          <w:rFonts w:ascii="Avenir Next" w:hAnsi="Avenir Next" w:cs="Arial"/>
          <w:sz w:val="22"/>
          <w:szCs w:val="22"/>
          <w:u w:val="single"/>
          <w:lang w:val="en-GB"/>
        </w:rPr>
        <w:t>The adoption of the</w:t>
      </w:r>
      <w:r w:rsidR="003942DC">
        <w:rPr>
          <w:rFonts w:ascii="Avenir Next" w:hAnsi="Avenir Next" w:cs="Arial"/>
          <w:sz w:val="22"/>
          <w:szCs w:val="22"/>
          <w:u w:val="single"/>
          <w:lang w:val="en-GB"/>
        </w:rPr>
        <w:t xml:space="preserve"> Model Law on Cross-Border Insolvency in the Cross-border Insolvency Act of Utopia (“CBIAU”)</w:t>
      </w:r>
      <w:r>
        <w:rPr>
          <w:rFonts w:ascii="Avenir Next" w:hAnsi="Avenir Next" w:cs="Arial"/>
          <w:sz w:val="22"/>
          <w:szCs w:val="22"/>
          <w:u w:val="single"/>
          <w:lang w:val="en-GB"/>
        </w:rPr>
        <w:t xml:space="preserve"> </w:t>
      </w:r>
      <w:r w:rsidR="00124E44">
        <w:rPr>
          <w:rFonts w:ascii="Avenir Next" w:hAnsi="Avenir Next" w:cs="Arial"/>
          <w:sz w:val="22"/>
          <w:szCs w:val="22"/>
          <w:u w:val="single"/>
          <w:lang w:val="en-GB"/>
        </w:rPr>
        <w:t xml:space="preserve">places </w:t>
      </w:r>
      <w:r w:rsidR="000C1C48" w:rsidRPr="000C1C48">
        <w:rPr>
          <w:rFonts w:ascii="Avenir Next" w:hAnsi="Avenir Next" w:cs="Arial"/>
          <w:sz w:val="22"/>
          <w:szCs w:val="22"/>
          <w:u w:val="single"/>
          <w:lang w:val="en-GB"/>
        </w:rPr>
        <w:t xml:space="preserve">obligations on both </w:t>
      </w:r>
      <w:r w:rsidR="009857BF">
        <w:rPr>
          <w:rFonts w:ascii="Avenir Next" w:hAnsi="Avenir Next" w:cs="Arial"/>
          <w:sz w:val="22"/>
          <w:szCs w:val="22"/>
          <w:u w:val="single"/>
          <w:lang w:val="en-GB"/>
        </w:rPr>
        <w:t xml:space="preserve">the Erewhon and Utopian </w:t>
      </w:r>
      <w:r w:rsidR="000C1C48" w:rsidRPr="000C1C48">
        <w:rPr>
          <w:rFonts w:ascii="Avenir Next" w:hAnsi="Avenir Next" w:cs="Arial"/>
          <w:sz w:val="22"/>
          <w:szCs w:val="22"/>
          <w:u w:val="single"/>
          <w:lang w:val="en-GB"/>
        </w:rPr>
        <w:t xml:space="preserve">courts and insolvency representatives </w:t>
      </w:r>
      <w:r w:rsidR="009857BF">
        <w:rPr>
          <w:rFonts w:ascii="Avenir Next" w:hAnsi="Avenir Next" w:cs="Arial"/>
          <w:sz w:val="22"/>
          <w:szCs w:val="22"/>
          <w:u w:val="single"/>
          <w:lang w:val="en-GB"/>
        </w:rPr>
        <w:t>in these states</w:t>
      </w:r>
      <w:r w:rsidR="000C1C48" w:rsidRPr="000C1C48">
        <w:rPr>
          <w:rFonts w:ascii="Avenir Next" w:hAnsi="Avenir Next" w:cs="Arial"/>
          <w:sz w:val="22"/>
          <w:szCs w:val="22"/>
          <w:u w:val="single"/>
          <w:lang w:val="en-GB"/>
        </w:rPr>
        <w:t xml:space="preserve"> to</w:t>
      </w:r>
      <w:r w:rsidR="000C1C48">
        <w:rPr>
          <w:rFonts w:ascii="Avenir Next" w:hAnsi="Avenir Next" w:cs="Arial"/>
          <w:sz w:val="22"/>
          <w:szCs w:val="22"/>
          <w:u w:val="single"/>
          <w:lang w:val="en-GB"/>
        </w:rPr>
        <w:t xml:space="preserve"> </w:t>
      </w:r>
      <w:r w:rsidR="000C1C48" w:rsidRPr="000C1C48">
        <w:rPr>
          <w:rFonts w:ascii="Avenir Next" w:hAnsi="Avenir Next" w:cs="Arial"/>
          <w:sz w:val="22"/>
          <w:szCs w:val="22"/>
          <w:u w:val="single"/>
          <w:lang w:val="en-GB"/>
        </w:rPr>
        <w:t>communicate and co-operate to the maximum extent possible. This is with a view to ensuring</w:t>
      </w:r>
      <w:r w:rsidR="000C1C48">
        <w:rPr>
          <w:rFonts w:ascii="Avenir Next" w:hAnsi="Avenir Next" w:cs="Arial"/>
          <w:sz w:val="22"/>
          <w:szCs w:val="22"/>
          <w:u w:val="single"/>
          <w:lang w:val="en-GB"/>
        </w:rPr>
        <w:t xml:space="preserve"> </w:t>
      </w:r>
      <w:r w:rsidR="000C1C48" w:rsidRPr="000C1C48">
        <w:rPr>
          <w:rFonts w:ascii="Avenir Next" w:hAnsi="Avenir Next" w:cs="Arial"/>
          <w:sz w:val="22"/>
          <w:szCs w:val="22"/>
          <w:u w:val="single"/>
          <w:lang w:val="en-GB"/>
        </w:rPr>
        <w:t>that a single debtor’s insolvent estate is administered fairly and efficiently, with a view to</w:t>
      </w:r>
      <w:r w:rsidR="000C1C48">
        <w:rPr>
          <w:rFonts w:ascii="Avenir Next" w:hAnsi="Avenir Next" w:cs="Arial"/>
          <w:sz w:val="22"/>
          <w:szCs w:val="22"/>
          <w:u w:val="single"/>
          <w:lang w:val="en-GB"/>
        </w:rPr>
        <w:t xml:space="preserve"> </w:t>
      </w:r>
      <w:r w:rsidR="000C1C48" w:rsidRPr="000C1C48">
        <w:rPr>
          <w:rFonts w:ascii="Avenir Next" w:hAnsi="Avenir Next" w:cs="Arial"/>
          <w:sz w:val="22"/>
          <w:szCs w:val="22"/>
          <w:u w:val="single"/>
          <w:lang w:val="en-GB"/>
        </w:rPr>
        <w:t>maximising benefits to creditors</w:t>
      </w:r>
      <w:r w:rsidR="000C1C48">
        <w:rPr>
          <w:rFonts w:ascii="Avenir Next" w:hAnsi="Avenir Next" w:cs="Arial"/>
          <w:sz w:val="22"/>
          <w:szCs w:val="22"/>
          <w:u w:val="single"/>
          <w:lang w:val="en-GB"/>
        </w:rPr>
        <w:t xml:space="preserve">. </w:t>
      </w:r>
    </w:p>
    <w:p w14:paraId="23B8EC18" w14:textId="77777777" w:rsidR="000C1C48" w:rsidRDefault="000C1C48" w:rsidP="000C1C48">
      <w:pPr>
        <w:jc w:val="both"/>
        <w:rPr>
          <w:rFonts w:ascii="Avenir Next" w:hAnsi="Avenir Next" w:cs="Arial"/>
          <w:sz w:val="22"/>
          <w:szCs w:val="22"/>
          <w:u w:val="single"/>
          <w:lang w:val="en-GB"/>
        </w:rPr>
      </w:pPr>
    </w:p>
    <w:p w14:paraId="0D37BBBB" w14:textId="755C8948" w:rsidR="002F75A3" w:rsidRDefault="000C1C48" w:rsidP="00D90CA4">
      <w:pPr>
        <w:jc w:val="both"/>
        <w:rPr>
          <w:rFonts w:ascii="Avenir Next" w:hAnsi="Avenir Next" w:cs="Arial"/>
          <w:sz w:val="22"/>
          <w:szCs w:val="22"/>
          <w:u w:val="single"/>
          <w:lang w:val="en-GB"/>
        </w:rPr>
      </w:pPr>
      <w:r>
        <w:rPr>
          <w:rFonts w:ascii="Avenir Next" w:hAnsi="Avenir Next" w:cs="Arial"/>
          <w:sz w:val="22"/>
          <w:szCs w:val="22"/>
          <w:u w:val="single"/>
          <w:lang w:val="en-GB"/>
        </w:rPr>
        <w:t xml:space="preserve">As it is enacted, therefore, the CBIAU </w:t>
      </w:r>
      <w:r w:rsidRPr="000C1C48">
        <w:rPr>
          <w:rFonts w:ascii="Avenir Next" w:hAnsi="Avenir Next" w:cs="Arial"/>
          <w:sz w:val="22"/>
          <w:szCs w:val="22"/>
          <w:u w:val="single"/>
          <w:lang w:val="en-GB"/>
        </w:rPr>
        <w:t xml:space="preserve">mandates </w:t>
      </w:r>
      <w:r>
        <w:rPr>
          <w:rFonts w:ascii="Avenir Next" w:hAnsi="Avenir Next" w:cs="Arial"/>
          <w:sz w:val="22"/>
          <w:szCs w:val="22"/>
          <w:u w:val="single"/>
          <w:lang w:val="en-GB"/>
        </w:rPr>
        <w:t xml:space="preserve">the Utopian Court to </w:t>
      </w:r>
      <w:r w:rsidRPr="000C1C48">
        <w:rPr>
          <w:rFonts w:ascii="Avenir Next" w:hAnsi="Avenir Next" w:cs="Arial"/>
          <w:sz w:val="22"/>
          <w:szCs w:val="22"/>
          <w:u w:val="single"/>
          <w:lang w:val="en-GB"/>
        </w:rPr>
        <w:t xml:space="preserve">co-operate with </w:t>
      </w:r>
      <w:r>
        <w:rPr>
          <w:rFonts w:ascii="Avenir Next" w:hAnsi="Avenir Next" w:cs="Arial"/>
          <w:sz w:val="22"/>
          <w:szCs w:val="22"/>
          <w:u w:val="single"/>
          <w:lang w:val="en-GB"/>
        </w:rPr>
        <w:t>Erewhon</w:t>
      </w:r>
      <w:r w:rsidRPr="000C1C48">
        <w:rPr>
          <w:rFonts w:ascii="Avenir Next" w:hAnsi="Avenir Next" w:cs="Arial"/>
          <w:sz w:val="22"/>
          <w:szCs w:val="22"/>
          <w:u w:val="single"/>
          <w:lang w:val="en-GB"/>
        </w:rPr>
        <w:t xml:space="preserve"> courts or </w:t>
      </w:r>
      <w:r>
        <w:rPr>
          <w:rFonts w:ascii="Avenir Next" w:hAnsi="Avenir Next" w:cs="Arial"/>
          <w:sz w:val="22"/>
          <w:szCs w:val="22"/>
          <w:u w:val="single"/>
          <w:lang w:val="en-GB"/>
        </w:rPr>
        <w:t>Erewhon</w:t>
      </w:r>
      <w:r w:rsidRPr="000C1C48">
        <w:rPr>
          <w:rFonts w:ascii="Avenir Next" w:hAnsi="Avenir Next" w:cs="Arial"/>
          <w:sz w:val="22"/>
          <w:szCs w:val="22"/>
          <w:u w:val="single"/>
          <w:lang w:val="en-GB"/>
        </w:rPr>
        <w:t xml:space="preserve"> </w:t>
      </w:r>
      <w:r w:rsidR="00D90CA4">
        <w:rPr>
          <w:rFonts w:ascii="Avenir Next" w:hAnsi="Avenir Next" w:cs="Arial"/>
          <w:sz w:val="22"/>
          <w:szCs w:val="22"/>
          <w:u w:val="single"/>
          <w:lang w:val="en-GB"/>
        </w:rPr>
        <w:t>liquidator and</w:t>
      </w:r>
      <w:r>
        <w:rPr>
          <w:rFonts w:ascii="Avenir Next" w:hAnsi="Avenir Next" w:cs="Arial"/>
          <w:sz w:val="22"/>
          <w:szCs w:val="22"/>
          <w:u w:val="single"/>
          <w:lang w:val="en-GB"/>
        </w:rPr>
        <w:t xml:space="preserve"> provides </w:t>
      </w:r>
      <w:r w:rsidR="00D90CA4" w:rsidRPr="00D90CA4">
        <w:rPr>
          <w:rFonts w:ascii="Avenir Next" w:hAnsi="Avenir Next" w:cs="Arial"/>
          <w:sz w:val="22"/>
          <w:szCs w:val="22"/>
          <w:u w:val="single"/>
          <w:lang w:val="en-GB"/>
        </w:rPr>
        <w:t>appropriate means of cooperation</w:t>
      </w:r>
      <w:r w:rsidR="00D90CA4">
        <w:rPr>
          <w:rFonts w:ascii="Avenir Next" w:hAnsi="Avenir Next" w:cs="Arial"/>
          <w:sz w:val="22"/>
          <w:szCs w:val="22"/>
          <w:u w:val="single"/>
          <w:lang w:val="en-GB"/>
        </w:rPr>
        <w:t>. Chapter IV of the MLCBI, specifically a</w:t>
      </w:r>
      <w:r w:rsidR="00D90CA4" w:rsidRPr="00D90CA4">
        <w:rPr>
          <w:rFonts w:ascii="Avenir Next" w:hAnsi="Avenir Next" w:cs="Arial"/>
          <w:sz w:val="22"/>
          <w:szCs w:val="22"/>
          <w:u w:val="single"/>
          <w:lang w:val="en-GB"/>
        </w:rPr>
        <w:t>rticles 25 and 26</w:t>
      </w:r>
      <w:r w:rsidR="00D90CA4">
        <w:rPr>
          <w:rFonts w:ascii="Avenir Next" w:hAnsi="Avenir Next" w:cs="Arial"/>
          <w:sz w:val="22"/>
          <w:szCs w:val="22"/>
          <w:u w:val="single"/>
          <w:lang w:val="en-GB"/>
        </w:rPr>
        <w:t xml:space="preserve">, for instance, mandates </w:t>
      </w:r>
      <w:r w:rsidR="00D90CA4" w:rsidRPr="00D90CA4">
        <w:rPr>
          <w:rFonts w:ascii="Avenir Next" w:hAnsi="Avenir Next" w:cs="Arial"/>
          <w:sz w:val="22"/>
          <w:szCs w:val="22"/>
          <w:u w:val="single"/>
          <w:lang w:val="en-GB"/>
        </w:rPr>
        <w:t>the “[a]</w:t>
      </w:r>
      <w:proofErr w:type="spellStart"/>
      <w:r w:rsidR="00D90CA4" w:rsidRPr="00D90CA4">
        <w:rPr>
          <w:rFonts w:ascii="Avenir Next" w:hAnsi="Avenir Next" w:cs="Arial"/>
          <w:sz w:val="22"/>
          <w:szCs w:val="22"/>
          <w:u w:val="single"/>
          <w:lang w:val="en-GB"/>
        </w:rPr>
        <w:t>pproval</w:t>
      </w:r>
      <w:proofErr w:type="spellEnd"/>
      <w:r w:rsidR="00D90CA4" w:rsidRPr="00D90CA4">
        <w:rPr>
          <w:rFonts w:ascii="Avenir Next" w:hAnsi="Avenir Next" w:cs="Arial"/>
          <w:sz w:val="22"/>
          <w:szCs w:val="22"/>
          <w:u w:val="single"/>
          <w:lang w:val="en-GB"/>
        </w:rPr>
        <w:t xml:space="preserve"> or implementation by courts of agreements concerning the</w:t>
      </w:r>
      <w:r w:rsidR="00D90CA4">
        <w:rPr>
          <w:rFonts w:ascii="Avenir Next" w:hAnsi="Avenir Next" w:cs="Arial"/>
          <w:sz w:val="22"/>
          <w:szCs w:val="22"/>
          <w:u w:val="single"/>
          <w:lang w:val="en-GB"/>
        </w:rPr>
        <w:t xml:space="preserve"> </w:t>
      </w:r>
      <w:r w:rsidR="00D90CA4" w:rsidRPr="00D90CA4">
        <w:rPr>
          <w:rFonts w:ascii="Avenir Next" w:hAnsi="Avenir Next" w:cs="Arial"/>
          <w:sz w:val="22"/>
          <w:szCs w:val="22"/>
          <w:u w:val="single"/>
          <w:lang w:val="en-GB"/>
        </w:rPr>
        <w:t>coordination of proceedings”.</w:t>
      </w:r>
      <w:r w:rsidR="00D90CA4">
        <w:rPr>
          <w:rFonts w:ascii="Avenir Next" w:hAnsi="Avenir Next" w:cs="Arial"/>
          <w:sz w:val="22"/>
          <w:szCs w:val="22"/>
          <w:u w:val="single"/>
          <w:lang w:val="en-GB"/>
        </w:rPr>
        <w:t xml:space="preserve"> </w:t>
      </w:r>
    </w:p>
    <w:p w14:paraId="0FB00F99" w14:textId="77777777" w:rsidR="009857BF" w:rsidRDefault="009857BF" w:rsidP="00D90CA4">
      <w:pPr>
        <w:jc w:val="both"/>
        <w:rPr>
          <w:rFonts w:ascii="Avenir Next" w:hAnsi="Avenir Next" w:cs="Arial"/>
          <w:sz w:val="22"/>
          <w:szCs w:val="22"/>
          <w:u w:val="single"/>
          <w:lang w:val="en-GB"/>
        </w:rPr>
      </w:pPr>
    </w:p>
    <w:p w14:paraId="3EF5EC75" w14:textId="09EF41A1" w:rsidR="009857BF" w:rsidRPr="003942DC" w:rsidRDefault="009857BF" w:rsidP="00D90CA4">
      <w:pPr>
        <w:jc w:val="both"/>
        <w:rPr>
          <w:rFonts w:ascii="Avenir Next" w:hAnsi="Avenir Next" w:cs="Arial"/>
          <w:sz w:val="22"/>
          <w:szCs w:val="22"/>
          <w:u w:val="single"/>
          <w:lang w:val="en-GB"/>
        </w:rPr>
      </w:pPr>
      <w:r>
        <w:rPr>
          <w:rFonts w:ascii="Avenir Next" w:hAnsi="Avenir Next" w:cs="Arial"/>
          <w:sz w:val="22"/>
          <w:szCs w:val="22"/>
          <w:u w:val="single"/>
          <w:lang w:val="en-GB"/>
        </w:rPr>
        <w:t>Accordingly, provided that the requisite jurisdictional requirements are met</w:t>
      </w:r>
      <w:r w:rsidR="00B225D2">
        <w:rPr>
          <w:rFonts w:ascii="Avenir Next" w:hAnsi="Avenir Next" w:cs="Arial"/>
          <w:sz w:val="22"/>
          <w:szCs w:val="22"/>
          <w:u w:val="single"/>
          <w:lang w:val="en-GB"/>
        </w:rPr>
        <w:t xml:space="preserve"> under the CBIAU (including the nature of the insolvency proceeding in Erewhon and depending on whether the centre of main interest remains of Nadir is located in Erewhon or is relocated to Utopia)</w:t>
      </w:r>
      <w:r>
        <w:rPr>
          <w:rFonts w:ascii="Avenir Next" w:hAnsi="Avenir Next" w:cs="Arial"/>
          <w:sz w:val="22"/>
          <w:szCs w:val="22"/>
          <w:u w:val="single"/>
          <w:lang w:val="en-GB"/>
        </w:rPr>
        <w:t xml:space="preserve">, the Erewhon liquidator may seek (a) recognition of the ongoing liquidation proceedings in Erewhon involving </w:t>
      </w:r>
      <w:r w:rsidR="00F201FE">
        <w:rPr>
          <w:rFonts w:ascii="Avenir Next" w:hAnsi="Avenir Next" w:cs="Arial"/>
          <w:sz w:val="22"/>
          <w:szCs w:val="22"/>
          <w:u w:val="single"/>
          <w:lang w:val="en-GB"/>
        </w:rPr>
        <w:t>Nadir</w:t>
      </w:r>
      <w:r>
        <w:rPr>
          <w:rFonts w:ascii="Avenir Next" w:hAnsi="Avenir Next" w:cs="Arial"/>
          <w:sz w:val="22"/>
          <w:szCs w:val="22"/>
          <w:u w:val="single"/>
          <w:lang w:val="en-GB"/>
        </w:rPr>
        <w:t xml:space="preserve"> and also </w:t>
      </w:r>
      <w:r w:rsidR="00F201FE">
        <w:rPr>
          <w:rFonts w:ascii="Avenir Next" w:hAnsi="Avenir Next" w:cs="Arial"/>
          <w:sz w:val="22"/>
          <w:szCs w:val="22"/>
          <w:u w:val="single"/>
          <w:lang w:val="en-GB"/>
        </w:rPr>
        <w:t xml:space="preserve">(b) </w:t>
      </w:r>
      <w:r>
        <w:rPr>
          <w:rFonts w:ascii="Avenir Next" w:hAnsi="Avenir Next" w:cs="Arial"/>
          <w:sz w:val="22"/>
          <w:szCs w:val="22"/>
          <w:u w:val="single"/>
          <w:lang w:val="en-GB"/>
        </w:rPr>
        <w:t xml:space="preserve">assistance under the </w:t>
      </w:r>
      <w:r w:rsidR="00F201FE">
        <w:rPr>
          <w:rFonts w:ascii="Avenir Next" w:hAnsi="Avenir Next" w:cs="Arial"/>
          <w:sz w:val="22"/>
          <w:szCs w:val="22"/>
          <w:u w:val="single"/>
          <w:lang w:val="en-GB"/>
        </w:rPr>
        <w:t xml:space="preserve">CBIAU </w:t>
      </w:r>
      <w:r w:rsidR="00F201FE">
        <w:rPr>
          <w:rFonts w:ascii="Avenir Next" w:hAnsi="Avenir Next" w:cs="Arial"/>
          <w:sz w:val="22"/>
          <w:szCs w:val="22"/>
          <w:u w:val="single"/>
          <w:lang w:val="en-GB"/>
        </w:rPr>
        <w:lastRenderedPageBreak/>
        <w:t xml:space="preserve">requesting </w:t>
      </w:r>
      <w:r>
        <w:rPr>
          <w:rFonts w:ascii="Avenir Next" w:hAnsi="Avenir Next" w:cs="Arial"/>
          <w:sz w:val="22"/>
          <w:szCs w:val="22"/>
          <w:u w:val="single"/>
          <w:lang w:val="en-GB"/>
        </w:rPr>
        <w:t>that the Utopian courts stay the ongoing proceedings brought by Apex against Nadir</w:t>
      </w:r>
      <w:r w:rsidR="00F201FE">
        <w:rPr>
          <w:rFonts w:ascii="Avenir Next" w:hAnsi="Avenir Next" w:cs="Arial"/>
          <w:sz w:val="22"/>
          <w:szCs w:val="22"/>
          <w:u w:val="single"/>
          <w:lang w:val="en-GB"/>
        </w:rPr>
        <w:t xml:space="preserve"> in the Utopian courts and to request that the Utopian courts coordinate with the Erewhon courts in respect of the liquidation of Nadir.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0592CFB0" w14:textId="385B19FC" w:rsidR="00B70DFF" w:rsidRPr="00E427D8" w:rsidRDefault="009B0723" w:rsidP="00E427D8">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1CF78F0" w:rsidR="002D3473" w:rsidRDefault="00E427D8"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In scenario (a), </w:t>
      </w:r>
      <w:r w:rsidR="00793E9D">
        <w:rPr>
          <w:rFonts w:ascii="Avenir Next" w:hAnsi="Avenir Next" w:cs="Arial"/>
          <w:sz w:val="22"/>
          <w:szCs w:val="22"/>
          <w:lang w:val="en-GB"/>
        </w:rPr>
        <w:t xml:space="preserve">my answer would not differ, and the Erewhon liquidator may proceed to request for assistance from the Utopian court for, example, a stay of any proceedings. </w:t>
      </w:r>
    </w:p>
    <w:p w14:paraId="2C0505D1" w14:textId="77777777" w:rsidR="00E427D8" w:rsidRDefault="00E427D8" w:rsidP="00C053F7">
      <w:pPr>
        <w:autoSpaceDE w:val="0"/>
        <w:autoSpaceDN w:val="0"/>
        <w:adjustRightInd w:val="0"/>
        <w:spacing w:line="276" w:lineRule="auto"/>
        <w:jc w:val="both"/>
        <w:rPr>
          <w:rFonts w:ascii="Avenir Next" w:hAnsi="Avenir Next" w:cs="Arial"/>
          <w:sz w:val="22"/>
          <w:szCs w:val="22"/>
          <w:lang w:val="en-GB"/>
        </w:rPr>
      </w:pPr>
    </w:p>
    <w:p w14:paraId="26651D8F" w14:textId="77777777" w:rsidR="00D22614" w:rsidRDefault="00E427D8"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In scenario (b), my answer </w:t>
      </w:r>
      <w:r w:rsidR="00B33C2D">
        <w:rPr>
          <w:rFonts w:ascii="Avenir Next" w:hAnsi="Avenir Next" w:cs="Arial"/>
          <w:sz w:val="22"/>
          <w:szCs w:val="22"/>
          <w:lang w:val="en-GB"/>
        </w:rPr>
        <w:t xml:space="preserve">would differ. Since it is likely that the centre of main interest is located in Utopia (due to Nadir </w:t>
      </w:r>
      <w:r w:rsidR="00B33C2D" w:rsidRPr="00827D56">
        <w:rPr>
          <w:rFonts w:ascii="Avenir Next" w:hAnsi="Avenir Next" w:cs="Arial"/>
          <w:sz w:val="22"/>
          <w:szCs w:val="22"/>
          <w:lang w:val="en-GB"/>
        </w:rPr>
        <w:t>moving its registration and head office to Utopia</w:t>
      </w:r>
      <w:r w:rsidR="00B33C2D">
        <w:rPr>
          <w:rFonts w:ascii="Avenir Next" w:hAnsi="Avenir Next" w:cs="Arial"/>
          <w:sz w:val="22"/>
          <w:szCs w:val="22"/>
          <w:lang w:val="en-GB"/>
        </w:rPr>
        <w:t xml:space="preserve">), this means that the </w:t>
      </w:r>
      <w:r w:rsidR="00740AE4">
        <w:rPr>
          <w:rFonts w:ascii="Avenir Next" w:hAnsi="Avenir Next" w:cs="Arial"/>
          <w:sz w:val="22"/>
          <w:szCs w:val="22"/>
          <w:lang w:val="en-GB"/>
        </w:rPr>
        <w:t xml:space="preserve">reliefs sought by the Erewhon liquidator is more limited and discretionary. The Erewhon liquidator may therefore have to satisfy </w:t>
      </w:r>
      <w:r w:rsidR="00AA3498">
        <w:rPr>
          <w:rFonts w:ascii="Avenir Next" w:hAnsi="Avenir Next" w:cs="Arial"/>
          <w:sz w:val="22"/>
          <w:szCs w:val="22"/>
          <w:lang w:val="en-GB"/>
        </w:rPr>
        <w:t xml:space="preserve">the Utopian courts as to the reliefs that it is seeking. </w:t>
      </w:r>
    </w:p>
    <w:p w14:paraId="78A5AD34" w14:textId="77777777" w:rsidR="00D22614" w:rsidRDefault="00D22614" w:rsidP="00C053F7">
      <w:pPr>
        <w:autoSpaceDE w:val="0"/>
        <w:autoSpaceDN w:val="0"/>
        <w:adjustRightInd w:val="0"/>
        <w:spacing w:line="276" w:lineRule="auto"/>
        <w:jc w:val="both"/>
        <w:rPr>
          <w:rFonts w:ascii="Avenir Next" w:hAnsi="Avenir Next" w:cs="Arial"/>
          <w:sz w:val="22"/>
          <w:szCs w:val="22"/>
          <w:lang w:val="en-GB"/>
        </w:rPr>
      </w:pPr>
    </w:p>
    <w:p w14:paraId="0485278E" w14:textId="3FCFECB7" w:rsidR="00E427D8" w:rsidRPr="00E427D8" w:rsidRDefault="00AA3498" w:rsidP="00FB56AC">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Furthermore, </w:t>
      </w:r>
      <w:r w:rsidR="00FB56AC">
        <w:rPr>
          <w:rFonts w:ascii="Avenir Next" w:hAnsi="Avenir Next" w:cs="Arial"/>
          <w:sz w:val="22"/>
          <w:szCs w:val="22"/>
          <w:lang w:val="en-GB"/>
        </w:rPr>
        <w:t xml:space="preserve">a court-ordered winding-up of Nadir in Utopia means that there </w:t>
      </w:r>
      <w:r w:rsidR="009030DD">
        <w:rPr>
          <w:rFonts w:ascii="Avenir Next" w:hAnsi="Avenir Next" w:cs="Arial"/>
          <w:sz w:val="22"/>
          <w:szCs w:val="22"/>
          <w:lang w:val="en-GB"/>
        </w:rPr>
        <w:t>is</w:t>
      </w:r>
      <w:r w:rsidR="00FB56AC">
        <w:rPr>
          <w:rFonts w:ascii="Avenir Next" w:hAnsi="Avenir Next" w:cs="Arial"/>
          <w:sz w:val="22"/>
          <w:szCs w:val="22"/>
          <w:lang w:val="en-GB"/>
        </w:rPr>
        <w:t xml:space="preserve"> </w:t>
      </w:r>
      <w:r w:rsidR="009030DD">
        <w:rPr>
          <w:rFonts w:ascii="Avenir Next" w:hAnsi="Avenir Next" w:cs="Arial"/>
          <w:sz w:val="22"/>
          <w:szCs w:val="22"/>
          <w:lang w:val="en-GB"/>
        </w:rPr>
        <w:t>a</w:t>
      </w:r>
      <w:r w:rsidR="00FB56AC">
        <w:rPr>
          <w:rFonts w:ascii="Avenir Next" w:hAnsi="Avenir Next" w:cs="Arial"/>
          <w:sz w:val="22"/>
          <w:szCs w:val="22"/>
          <w:lang w:val="en-GB"/>
        </w:rPr>
        <w:t xml:space="preserve"> Utopian-based liquidator appointed to oversee the winding-up of Nadir. In this case, the Erewhon liquidator should consider entering into an insolvency agreement to </w:t>
      </w:r>
      <w:r w:rsidR="00FB56AC" w:rsidRPr="00FB56AC">
        <w:rPr>
          <w:rFonts w:ascii="Avenir Next" w:hAnsi="Avenir Next" w:cs="Arial"/>
          <w:sz w:val="22"/>
          <w:szCs w:val="22"/>
          <w:lang w:val="en-GB"/>
        </w:rPr>
        <w:t>resolve conflicts and facilitate the</w:t>
      </w:r>
      <w:r w:rsidR="00FB56AC">
        <w:rPr>
          <w:rFonts w:ascii="Avenir Next" w:hAnsi="Avenir Next" w:cs="Arial"/>
          <w:sz w:val="22"/>
          <w:szCs w:val="22"/>
          <w:lang w:val="en-GB"/>
        </w:rPr>
        <w:t xml:space="preserve"> </w:t>
      </w:r>
      <w:r w:rsidR="00FB56AC" w:rsidRPr="00FB56AC">
        <w:rPr>
          <w:rFonts w:ascii="Avenir Next" w:hAnsi="Avenir Next" w:cs="Arial"/>
          <w:sz w:val="22"/>
          <w:szCs w:val="22"/>
          <w:lang w:val="en-GB"/>
        </w:rPr>
        <w:t>exchange of information.</w:t>
      </w:r>
      <w:r w:rsidR="00F11F25">
        <w:rPr>
          <w:rFonts w:ascii="Avenir Next" w:hAnsi="Avenir Next" w:cs="Arial"/>
          <w:sz w:val="22"/>
          <w:szCs w:val="22"/>
          <w:lang w:val="en-GB"/>
        </w:rPr>
        <w:t xml:space="preserve"> Both parties would then have to come up with goals which it wishes to achieve</w:t>
      </w:r>
      <w:r w:rsidR="009030DD">
        <w:rPr>
          <w:rFonts w:ascii="Avenir Next" w:hAnsi="Avenir Next" w:cs="Arial"/>
          <w:sz w:val="22"/>
          <w:szCs w:val="22"/>
          <w:lang w:val="en-GB"/>
        </w:rPr>
        <w:t xml:space="preserve">, and to pick a court which would oversee the insolvency proceedings. </w:t>
      </w:r>
      <w:r w:rsidR="00793E9D">
        <w:rPr>
          <w:rFonts w:ascii="Avenir Next" w:hAnsi="Avenir Next" w:cs="Arial"/>
          <w:sz w:val="22"/>
          <w:szCs w:val="22"/>
          <w:lang w:val="en-GB"/>
        </w:rPr>
        <w:t xml:space="preserve">Following negotiation, the parties would then have to present their agreement to the courts for review and approval.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7E796A24" w14:textId="77777777" w:rsidR="00AB1186" w:rsidRDefault="00AB1186" w:rsidP="00C053F7">
      <w:pPr>
        <w:jc w:val="both"/>
        <w:rPr>
          <w:rFonts w:ascii="Avenir Next" w:hAnsi="Avenir Next" w:cs="Arial"/>
          <w:sz w:val="22"/>
          <w:szCs w:val="22"/>
          <w:lang w:val="en-GB"/>
        </w:rPr>
      </w:pPr>
    </w:p>
    <w:p w14:paraId="316911C5" w14:textId="031A2475" w:rsidR="00AB1186" w:rsidRDefault="00AB1186" w:rsidP="00C053F7">
      <w:pPr>
        <w:jc w:val="both"/>
        <w:rPr>
          <w:rFonts w:ascii="Avenir Next" w:hAnsi="Avenir Next" w:cs="Arial"/>
          <w:sz w:val="22"/>
          <w:szCs w:val="22"/>
          <w:u w:val="single"/>
          <w:lang w:val="en-GB"/>
        </w:rPr>
      </w:pPr>
      <w:r w:rsidRPr="00AB1186">
        <w:rPr>
          <w:rFonts w:ascii="Avenir Next" w:hAnsi="Avenir Next" w:cs="Arial"/>
          <w:sz w:val="22"/>
          <w:szCs w:val="22"/>
          <w:u w:val="single"/>
          <w:lang w:val="en-GB"/>
        </w:rPr>
        <w:t xml:space="preserve">I select Singapore as the company’s incorporation and </w:t>
      </w:r>
      <w:r>
        <w:rPr>
          <w:rFonts w:ascii="Avenir Next" w:hAnsi="Avenir Next" w:cs="Arial"/>
          <w:sz w:val="22"/>
          <w:szCs w:val="22"/>
          <w:u w:val="single"/>
          <w:lang w:val="en-GB"/>
        </w:rPr>
        <w:t xml:space="preserve">the location of its </w:t>
      </w:r>
      <w:r w:rsidRPr="00AB1186">
        <w:rPr>
          <w:rFonts w:ascii="Avenir Next" w:hAnsi="Avenir Next" w:cs="Arial"/>
          <w:sz w:val="22"/>
          <w:szCs w:val="22"/>
          <w:u w:val="single"/>
          <w:lang w:val="en-GB"/>
        </w:rPr>
        <w:t>head office.</w:t>
      </w:r>
    </w:p>
    <w:p w14:paraId="72AF2DB5" w14:textId="77777777" w:rsidR="00B24673" w:rsidRDefault="00B24673" w:rsidP="00C053F7">
      <w:pPr>
        <w:jc w:val="both"/>
        <w:rPr>
          <w:rFonts w:ascii="Avenir Next" w:hAnsi="Avenir Next" w:cs="Arial"/>
          <w:sz w:val="22"/>
          <w:szCs w:val="22"/>
          <w:u w:val="single"/>
          <w:lang w:val="en-GB"/>
        </w:rPr>
      </w:pPr>
    </w:p>
    <w:p w14:paraId="5DAC9CFF" w14:textId="0905686A" w:rsidR="00B24673" w:rsidRDefault="00B24673" w:rsidP="00C053F7">
      <w:pPr>
        <w:jc w:val="both"/>
        <w:rPr>
          <w:rFonts w:ascii="Avenir Next" w:hAnsi="Avenir Next" w:cs="Arial"/>
          <w:sz w:val="22"/>
          <w:szCs w:val="22"/>
          <w:u w:val="single"/>
          <w:lang w:val="en-GB"/>
        </w:rPr>
      </w:pPr>
      <w:r>
        <w:rPr>
          <w:rFonts w:ascii="Avenir Next" w:hAnsi="Avenir Next" w:cs="Arial"/>
          <w:sz w:val="22"/>
          <w:szCs w:val="22"/>
          <w:u w:val="single"/>
          <w:lang w:val="en-GB"/>
        </w:rPr>
        <w:t xml:space="preserve">The 4 key international insolvency issues are: </w:t>
      </w:r>
    </w:p>
    <w:p w14:paraId="60A1F3B7" w14:textId="485A16D9" w:rsidR="00B24673" w:rsidRDefault="002F08D5" w:rsidP="00B24673">
      <w:pPr>
        <w:pStyle w:val="ListParagraph"/>
        <w:numPr>
          <w:ilvl w:val="0"/>
          <w:numId w:val="26"/>
        </w:numPr>
        <w:ind w:left="567" w:hanging="567"/>
        <w:jc w:val="both"/>
        <w:rPr>
          <w:rFonts w:ascii="Avenir Next" w:hAnsi="Avenir Next" w:cs="Arial"/>
          <w:sz w:val="22"/>
          <w:szCs w:val="22"/>
          <w:u w:val="single"/>
          <w:lang w:val="en-GB"/>
        </w:rPr>
      </w:pPr>
      <w:r>
        <w:rPr>
          <w:rFonts w:ascii="Avenir Next" w:hAnsi="Avenir Next" w:cs="Arial"/>
          <w:sz w:val="22"/>
          <w:szCs w:val="22"/>
          <w:u w:val="single"/>
          <w:lang w:val="en-GB"/>
        </w:rPr>
        <w:t xml:space="preserve">Standing for (recognition of) the foreign representative. </w:t>
      </w:r>
      <w:r w:rsidR="00331B1A">
        <w:rPr>
          <w:rFonts w:ascii="Avenir Next" w:hAnsi="Avenir Next" w:cs="Arial"/>
          <w:sz w:val="22"/>
          <w:szCs w:val="22"/>
          <w:u w:val="single"/>
          <w:lang w:val="en-GB"/>
        </w:rPr>
        <w:t>This may be an issue as only individuals falling within the definition of foreign representatives</w:t>
      </w:r>
      <w:r w:rsidR="008657FE">
        <w:rPr>
          <w:rFonts w:ascii="Avenir Next" w:hAnsi="Avenir Next" w:cs="Arial"/>
          <w:sz w:val="22"/>
          <w:szCs w:val="22"/>
          <w:u w:val="single"/>
          <w:lang w:val="en-GB"/>
        </w:rPr>
        <w:t xml:space="preserve"> can invoke the assistance of the Singapore Court.</w:t>
      </w:r>
    </w:p>
    <w:p w14:paraId="58E04D29" w14:textId="349C35B2" w:rsidR="002C70C7" w:rsidRPr="00596CE2" w:rsidRDefault="00CE5469" w:rsidP="00596CE2">
      <w:pPr>
        <w:pStyle w:val="ListParagraph"/>
        <w:numPr>
          <w:ilvl w:val="0"/>
          <w:numId w:val="26"/>
        </w:numPr>
        <w:ind w:left="567" w:hanging="567"/>
        <w:jc w:val="both"/>
        <w:rPr>
          <w:rFonts w:ascii="Avenir Next" w:hAnsi="Avenir Next" w:cs="Arial"/>
          <w:sz w:val="22"/>
          <w:szCs w:val="22"/>
          <w:u w:val="single"/>
          <w:lang w:val="en-GB"/>
        </w:rPr>
      </w:pPr>
      <w:r>
        <w:rPr>
          <w:rFonts w:ascii="Avenir Next" w:hAnsi="Avenir Next" w:cs="Arial"/>
          <w:sz w:val="22"/>
          <w:szCs w:val="22"/>
          <w:u w:val="single"/>
          <w:lang w:val="en-GB"/>
        </w:rPr>
        <w:t>Creditor participation</w:t>
      </w:r>
      <w:r w:rsidR="00F66B7C">
        <w:rPr>
          <w:rFonts w:ascii="Avenir Next" w:hAnsi="Avenir Next" w:cs="Arial"/>
          <w:sz w:val="22"/>
          <w:szCs w:val="22"/>
          <w:u w:val="single"/>
          <w:lang w:val="en-GB"/>
        </w:rPr>
        <w:t>.</w:t>
      </w:r>
      <w:r w:rsidR="008657FE">
        <w:rPr>
          <w:rFonts w:ascii="Avenir Next" w:hAnsi="Avenir Next" w:cs="Arial"/>
          <w:sz w:val="22"/>
          <w:szCs w:val="22"/>
          <w:u w:val="single"/>
          <w:lang w:val="en-GB"/>
        </w:rPr>
        <w:t xml:space="preserve"> Given the numerous creditors, both in Singapore and abroad, there is a need to ensure that the ensuing insolvency proceeding is collective in nature, in that all creditors are able to participate and to share in the assets of the debtor.</w:t>
      </w:r>
    </w:p>
    <w:p w14:paraId="67F60624" w14:textId="22F9DF82" w:rsidR="00F66B7C" w:rsidRDefault="00F66B7C" w:rsidP="00B24673">
      <w:pPr>
        <w:pStyle w:val="ListParagraph"/>
        <w:numPr>
          <w:ilvl w:val="0"/>
          <w:numId w:val="26"/>
        </w:numPr>
        <w:ind w:left="567" w:hanging="567"/>
        <w:jc w:val="both"/>
        <w:rPr>
          <w:rFonts w:ascii="Avenir Next" w:hAnsi="Avenir Next" w:cs="Arial"/>
          <w:sz w:val="22"/>
          <w:szCs w:val="22"/>
          <w:u w:val="single"/>
          <w:lang w:val="en-GB"/>
        </w:rPr>
      </w:pPr>
      <w:r>
        <w:rPr>
          <w:rFonts w:ascii="Avenir Next" w:hAnsi="Avenir Next" w:cs="Arial"/>
          <w:sz w:val="22"/>
          <w:szCs w:val="22"/>
          <w:u w:val="single"/>
          <w:lang w:val="en-GB"/>
        </w:rPr>
        <w:t>Priorities and preferences.</w:t>
      </w:r>
      <w:r w:rsidR="008657FE">
        <w:rPr>
          <w:rFonts w:ascii="Avenir Next" w:hAnsi="Avenir Next" w:cs="Arial"/>
          <w:sz w:val="22"/>
          <w:szCs w:val="22"/>
          <w:u w:val="single"/>
          <w:lang w:val="en-GB"/>
        </w:rPr>
        <w:t xml:space="preserve"> This may be an issue given that there may be both secured and unsecured creditors. Further, the fact that the company has multiple branches and employees located in these branches may mean that there are preferential creditors that must be taken into consideration.</w:t>
      </w:r>
    </w:p>
    <w:p w14:paraId="3D6F3A35" w14:textId="3975FEB0" w:rsidR="00596CE2" w:rsidRDefault="00596CE2" w:rsidP="00B24673">
      <w:pPr>
        <w:pStyle w:val="ListParagraph"/>
        <w:numPr>
          <w:ilvl w:val="0"/>
          <w:numId w:val="26"/>
        </w:numPr>
        <w:ind w:left="567" w:hanging="567"/>
        <w:jc w:val="both"/>
        <w:rPr>
          <w:rFonts w:ascii="Avenir Next" w:hAnsi="Avenir Next" w:cs="Arial"/>
          <w:sz w:val="22"/>
          <w:szCs w:val="22"/>
          <w:u w:val="single"/>
          <w:lang w:val="en-GB"/>
        </w:rPr>
      </w:pPr>
      <w:r>
        <w:rPr>
          <w:rFonts w:ascii="Avenir Next" w:hAnsi="Avenir Next" w:cs="Arial"/>
          <w:sz w:val="22"/>
          <w:szCs w:val="22"/>
          <w:u w:val="single"/>
          <w:lang w:val="en-GB"/>
        </w:rPr>
        <w:t xml:space="preserve">Avoidance provision powers. </w:t>
      </w:r>
      <w:r w:rsidR="008657FE">
        <w:rPr>
          <w:rFonts w:ascii="Avenir Next" w:hAnsi="Avenir Next" w:cs="Arial"/>
          <w:sz w:val="22"/>
          <w:szCs w:val="22"/>
          <w:u w:val="single"/>
          <w:lang w:val="en-GB"/>
        </w:rPr>
        <w:t xml:space="preserve">Depending on whether there are issues such as unfair </w:t>
      </w:r>
      <w:r w:rsidR="001E0558">
        <w:rPr>
          <w:rFonts w:ascii="Avenir Next" w:hAnsi="Avenir Next" w:cs="Arial"/>
          <w:sz w:val="22"/>
          <w:szCs w:val="22"/>
          <w:u w:val="single"/>
          <w:lang w:val="en-GB"/>
        </w:rPr>
        <w:t>preference, undervalue transaction or fraudulent trading, the insolvency representative may need to engage the assistance of the Singapore courts under domestic law to deal with such avoidable transactions.</w:t>
      </w:r>
    </w:p>
    <w:p w14:paraId="57BD6B6C" w14:textId="77777777" w:rsidR="00F66B7C" w:rsidRDefault="00F66B7C" w:rsidP="00F66B7C">
      <w:pPr>
        <w:jc w:val="both"/>
        <w:rPr>
          <w:rFonts w:ascii="Avenir Next" w:hAnsi="Avenir Next" w:cs="Arial"/>
          <w:sz w:val="22"/>
          <w:szCs w:val="22"/>
          <w:u w:val="single"/>
          <w:lang w:val="en-GB"/>
        </w:rPr>
      </w:pPr>
    </w:p>
    <w:p w14:paraId="6B95BBD0" w14:textId="5BC4329A" w:rsidR="00EE6140" w:rsidRDefault="00F66B7C" w:rsidP="00F66B7C">
      <w:pPr>
        <w:jc w:val="both"/>
        <w:rPr>
          <w:rFonts w:ascii="Avenir Next" w:hAnsi="Avenir Next" w:cs="Arial"/>
          <w:sz w:val="22"/>
          <w:szCs w:val="22"/>
          <w:u w:val="single"/>
          <w:lang w:val="en-GB"/>
        </w:rPr>
      </w:pPr>
      <w:r>
        <w:rPr>
          <w:rFonts w:ascii="Avenir Next" w:hAnsi="Avenir Next" w:cs="Arial"/>
          <w:sz w:val="22"/>
          <w:szCs w:val="22"/>
          <w:u w:val="single"/>
          <w:lang w:val="en-GB"/>
        </w:rPr>
        <w:t xml:space="preserve">In respect of </w:t>
      </w:r>
      <w:r w:rsidR="00331B1A">
        <w:rPr>
          <w:rFonts w:ascii="Avenir Next" w:hAnsi="Avenir Next" w:cs="Arial"/>
          <w:sz w:val="22"/>
          <w:szCs w:val="22"/>
          <w:u w:val="single"/>
          <w:lang w:val="en-GB"/>
        </w:rPr>
        <w:t>all these issues</w:t>
      </w:r>
      <w:r w:rsidR="003535A2">
        <w:rPr>
          <w:rFonts w:ascii="Avenir Next" w:hAnsi="Avenir Next" w:cs="Arial"/>
          <w:sz w:val="22"/>
          <w:szCs w:val="22"/>
          <w:u w:val="single"/>
          <w:lang w:val="en-GB"/>
        </w:rPr>
        <w:t>,</w:t>
      </w:r>
      <w:r w:rsidR="00D640D8">
        <w:rPr>
          <w:rFonts w:ascii="Avenir Next" w:hAnsi="Avenir Next" w:cs="Arial"/>
          <w:sz w:val="22"/>
          <w:szCs w:val="22"/>
          <w:u w:val="single"/>
          <w:lang w:val="en-GB"/>
        </w:rPr>
        <w:t xml:space="preserve"> the UNCITRAL Model Law on Cross-Border Insolvency as enacted under </w:t>
      </w:r>
      <w:r w:rsidR="00CF738F">
        <w:rPr>
          <w:rFonts w:ascii="Avenir Next" w:hAnsi="Avenir Next" w:cs="Arial"/>
          <w:sz w:val="22"/>
          <w:szCs w:val="22"/>
          <w:u w:val="single"/>
          <w:lang w:val="en-GB"/>
        </w:rPr>
        <w:t xml:space="preserve">First Schedule to </w:t>
      </w:r>
      <w:r w:rsidR="00D640D8">
        <w:rPr>
          <w:rFonts w:ascii="Avenir Next" w:hAnsi="Avenir Next" w:cs="Arial"/>
          <w:sz w:val="22"/>
          <w:szCs w:val="22"/>
          <w:u w:val="single"/>
          <w:lang w:val="en-GB"/>
        </w:rPr>
        <w:t xml:space="preserve">the Insolvency, Restructuring and Dissolution Act (“IRDA”) </w:t>
      </w:r>
      <w:r w:rsidR="000322B0">
        <w:rPr>
          <w:rFonts w:ascii="Avenir Next" w:hAnsi="Avenir Next" w:cs="Arial"/>
          <w:sz w:val="22"/>
          <w:szCs w:val="22"/>
          <w:u w:val="single"/>
          <w:lang w:val="en-GB"/>
        </w:rPr>
        <w:t>provides for various provisions that would facilitate the recognition of foreign representatives and creditor participation.</w:t>
      </w:r>
      <w:r w:rsidR="00CF738F">
        <w:rPr>
          <w:rFonts w:ascii="Avenir Next" w:hAnsi="Avenir Next" w:cs="Arial"/>
          <w:sz w:val="22"/>
          <w:szCs w:val="22"/>
          <w:u w:val="single"/>
          <w:lang w:val="en-GB"/>
        </w:rPr>
        <w:t xml:space="preserve"> </w:t>
      </w:r>
    </w:p>
    <w:p w14:paraId="5610ED48" w14:textId="77777777" w:rsidR="00EE6140" w:rsidRDefault="00EE6140" w:rsidP="00F66B7C">
      <w:pPr>
        <w:jc w:val="both"/>
        <w:rPr>
          <w:rFonts w:ascii="Avenir Next" w:hAnsi="Avenir Next" w:cs="Arial"/>
          <w:sz w:val="22"/>
          <w:szCs w:val="22"/>
          <w:u w:val="single"/>
          <w:lang w:val="en-GB"/>
        </w:rPr>
      </w:pPr>
    </w:p>
    <w:p w14:paraId="5BF340A6" w14:textId="7DF446DF" w:rsidR="00EE6140" w:rsidRDefault="00EE6140" w:rsidP="00F66B7C">
      <w:pPr>
        <w:jc w:val="both"/>
        <w:rPr>
          <w:rFonts w:ascii="Avenir Next" w:hAnsi="Avenir Next" w:cs="Arial"/>
          <w:sz w:val="22"/>
          <w:szCs w:val="22"/>
          <w:u w:val="single"/>
          <w:lang w:val="en-GB"/>
        </w:rPr>
      </w:pPr>
      <w:r>
        <w:rPr>
          <w:rFonts w:ascii="Avenir Next" w:hAnsi="Avenir Next" w:cs="Arial"/>
          <w:sz w:val="22"/>
          <w:szCs w:val="22"/>
          <w:u w:val="single"/>
          <w:lang w:val="en-GB"/>
        </w:rPr>
        <w:t>For issue (a), Article 2(</w:t>
      </w:r>
      <w:proofErr w:type="spellStart"/>
      <w:r>
        <w:rPr>
          <w:rFonts w:ascii="Avenir Next" w:hAnsi="Avenir Next" w:cs="Arial"/>
          <w:sz w:val="22"/>
          <w:szCs w:val="22"/>
          <w:u w:val="single"/>
          <w:lang w:val="en-GB"/>
        </w:rPr>
        <w:t>i</w:t>
      </w:r>
      <w:proofErr w:type="spellEnd"/>
      <w:r>
        <w:rPr>
          <w:rFonts w:ascii="Avenir Next" w:hAnsi="Avenir Next" w:cs="Arial"/>
          <w:sz w:val="22"/>
          <w:szCs w:val="22"/>
          <w:u w:val="single"/>
          <w:lang w:val="en-GB"/>
        </w:rPr>
        <w:t xml:space="preserve">) of the First Schedule to the IRDA </w:t>
      </w:r>
      <w:r w:rsidR="008669C4">
        <w:rPr>
          <w:rFonts w:ascii="Avenir Next" w:hAnsi="Avenir Next" w:cs="Arial"/>
          <w:sz w:val="22"/>
          <w:szCs w:val="22"/>
          <w:u w:val="single"/>
          <w:lang w:val="en-GB"/>
        </w:rPr>
        <w:t>prescribes the definition of a “foreign representative”, and the definition is phrased rather broadly to permit most insolvency officeholders to fall under that definition.</w:t>
      </w:r>
    </w:p>
    <w:p w14:paraId="0D70CE68" w14:textId="77777777" w:rsidR="00EE6140" w:rsidRDefault="00EE6140" w:rsidP="00F66B7C">
      <w:pPr>
        <w:jc w:val="both"/>
        <w:rPr>
          <w:rFonts w:ascii="Avenir Next" w:hAnsi="Avenir Next" w:cs="Arial"/>
          <w:sz w:val="22"/>
          <w:szCs w:val="22"/>
          <w:u w:val="single"/>
          <w:lang w:val="en-GB"/>
        </w:rPr>
      </w:pPr>
    </w:p>
    <w:p w14:paraId="078B911D" w14:textId="264EF207" w:rsidR="00F66B7C" w:rsidRDefault="00EE6140" w:rsidP="00F66B7C">
      <w:pPr>
        <w:jc w:val="both"/>
        <w:rPr>
          <w:rFonts w:ascii="Avenir Next" w:hAnsi="Avenir Next" w:cs="Arial"/>
          <w:sz w:val="22"/>
          <w:szCs w:val="22"/>
          <w:u w:val="single"/>
          <w:lang w:val="en-GB"/>
        </w:rPr>
      </w:pPr>
      <w:r>
        <w:rPr>
          <w:rFonts w:ascii="Avenir Next" w:hAnsi="Avenir Next" w:cs="Arial"/>
          <w:sz w:val="22"/>
          <w:szCs w:val="22"/>
          <w:u w:val="single"/>
          <w:lang w:val="en-GB"/>
        </w:rPr>
        <w:t xml:space="preserve">For issue (b), </w:t>
      </w:r>
      <w:r w:rsidR="00CF738F">
        <w:rPr>
          <w:rFonts w:ascii="Avenir Next" w:hAnsi="Avenir Next" w:cs="Arial"/>
          <w:sz w:val="22"/>
          <w:szCs w:val="22"/>
          <w:u w:val="single"/>
          <w:lang w:val="en-GB"/>
        </w:rPr>
        <w:t>Article 13</w:t>
      </w:r>
      <w:r w:rsidR="00331B1A">
        <w:rPr>
          <w:rFonts w:ascii="Avenir Next" w:hAnsi="Avenir Next" w:cs="Arial"/>
          <w:sz w:val="22"/>
          <w:szCs w:val="22"/>
          <w:u w:val="single"/>
          <w:lang w:val="en-GB"/>
        </w:rPr>
        <w:t>(1)</w:t>
      </w:r>
      <w:r w:rsidR="00CF738F">
        <w:rPr>
          <w:rFonts w:ascii="Avenir Next" w:hAnsi="Avenir Next" w:cs="Arial"/>
          <w:sz w:val="22"/>
          <w:szCs w:val="22"/>
          <w:u w:val="single"/>
          <w:lang w:val="en-GB"/>
        </w:rPr>
        <w:t xml:space="preserve"> of the First Schedule of IRDA prescribes the access of foreign creditors to a proceeding under Singapore. </w:t>
      </w:r>
      <w:r w:rsidR="00F47D8A">
        <w:rPr>
          <w:rFonts w:ascii="Avenir Next" w:hAnsi="Avenir Next" w:cs="Arial"/>
          <w:sz w:val="22"/>
          <w:szCs w:val="22"/>
          <w:u w:val="single"/>
          <w:lang w:val="en-GB"/>
        </w:rPr>
        <w:t xml:space="preserve">Article 14 also provides for notice to be given to foreign creditors in respect of such insolvency proceedings, to ensure that </w:t>
      </w:r>
      <w:r>
        <w:rPr>
          <w:rFonts w:ascii="Avenir Next" w:hAnsi="Avenir Next" w:cs="Arial"/>
          <w:sz w:val="22"/>
          <w:szCs w:val="22"/>
          <w:u w:val="single"/>
          <w:lang w:val="en-GB"/>
        </w:rPr>
        <w:t xml:space="preserve">these creditors have equal participation. </w:t>
      </w:r>
      <w:r w:rsidR="00F47D8A">
        <w:rPr>
          <w:rFonts w:ascii="Avenir Next" w:hAnsi="Avenir Next" w:cs="Arial"/>
          <w:sz w:val="22"/>
          <w:szCs w:val="22"/>
          <w:u w:val="single"/>
          <w:lang w:val="en-GB"/>
        </w:rPr>
        <w:t xml:space="preserve"> </w:t>
      </w:r>
    </w:p>
    <w:p w14:paraId="01CE1B03" w14:textId="77777777" w:rsidR="00331B1A" w:rsidRDefault="00331B1A" w:rsidP="00F66B7C">
      <w:pPr>
        <w:jc w:val="both"/>
        <w:rPr>
          <w:rFonts w:ascii="Avenir Next" w:hAnsi="Avenir Next" w:cs="Arial"/>
          <w:sz w:val="22"/>
          <w:szCs w:val="22"/>
          <w:u w:val="single"/>
          <w:lang w:val="en-GB"/>
        </w:rPr>
      </w:pPr>
    </w:p>
    <w:p w14:paraId="1D1024B0" w14:textId="2908588E" w:rsidR="00331B1A" w:rsidRDefault="00331B1A" w:rsidP="00F66B7C">
      <w:pPr>
        <w:jc w:val="both"/>
        <w:rPr>
          <w:rFonts w:ascii="Avenir Next" w:hAnsi="Avenir Next" w:cs="Arial"/>
          <w:sz w:val="22"/>
          <w:szCs w:val="22"/>
          <w:u w:val="single"/>
          <w:lang w:val="en-GB"/>
        </w:rPr>
      </w:pPr>
      <w:r>
        <w:rPr>
          <w:rFonts w:ascii="Avenir Next" w:hAnsi="Avenir Next" w:cs="Arial"/>
          <w:sz w:val="22"/>
          <w:szCs w:val="22"/>
          <w:u w:val="single"/>
          <w:lang w:val="en-GB"/>
        </w:rPr>
        <w:t xml:space="preserve">For issue (c), Article 13(2) of the First Schedule of IRDA prescribes that the </w:t>
      </w:r>
      <w:r w:rsidRPr="00331B1A">
        <w:rPr>
          <w:rFonts w:ascii="Avenir Next" w:hAnsi="Avenir Next" w:cs="Arial"/>
          <w:sz w:val="22"/>
          <w:szCs w:val="22"/>
          <w:u w:val="single"/>
          <w:lang w:val="en-GB"/>
        </w:rPr>
        <w:t>claims of foreign creditors other than those concerning tax and social security obligations are not to be given a lower priority than that of general unsecured claims solely because the holder of such a claim is a foreign creditor.</w:t>
      </w:r>
      <w:r>
        <w:rPr>
          <w:rFonts w:ascii="Avenir Next" w:hAnsi="Avenir Next" w:cs="Arial"/>
          <w:sz w:val="22"/>
          <w:szCs w:val="22"/>
          <w:u w:val="single"/>
          <w:lang w:val="en-GB"/>
        </w:rPr>
        <w:t xml:space="preserve"> In other words, foreign creditors will be given the same priority as domestic creditors under the IRDA.</w:t>
      </w:r>
    </w:p>
    <w:p w14:paraId="2C083D49" w14:textId="77777777" w:rsidR="003535A2" w:rsidRDefault="003535A2" w:rsidP="00F66B7C">
      <w:pPr>
        <w:jc w:val="both"/>
        <w:rPr>
          <w:rFonts w:ascii="Avenir Next" w:hAnsi="Avenir Next" w:cs="Arial"/>
          <w:sz w:val="22"/>
          <w:szCs w:val="22"/>
          <w:u w:val="single"/>
          <w:lang w:val="en-GB"/>
        </w:rPr>
      </w:pPr>
    </w:p>
    <w:p w14:paraId="20D514CB" w14:textId="60AB67B2" w:rsidR="003535A2" w:rsidRPr="00F66B7C" w:rsidRDefault="003535A2" w:rsidP="00F66B7C">
      <w:pPr>
        <w:jc w:val="both"/>
        <w:rPr>
          <w:rFonts w:ascii="Avenir Next" w:hAnsi="Avenir Next" w:cs="Arial"/>
          <w:sz w:val="22"/>
          <w:szCs w:val="22"/>
          <w:u w:val="single"/>
          <w:lang w:val="en-GB"/>
        </w:rPr>
      </w:pPr>
      <w:r>
        <w:rPr>
          <w:rFonts w:ascii="Avenir Next" w:hAnsi="Avenir Next" w:cs="Arial"/>
          <w:sz w:val="22"/>
          <w:szCs w:val="22"/>
          <w:u w:val="single"/>
          <w:lang w:val="en-GB"/>
        </w:rPr>
        <w:lastRenderedPageBreak/>
        <w:t>For issue (</w:t>
      </w:r>
      <w:r w:rsidR="004B58F5">
        <w:rPr>
          <w:rFonts w:ascii="Avenir Next" w:hAnsi="Avenir Next" w:cs="Arial"/>
          <w:sz w:val="22"/>
          <w:szCs w:val="22"/>
          <w:u w:val="single"/>
          <w:lang w:val="en-GB"/>
        </w:rPr>
        <w:t>d</w:t>
      </w:r>
      <w:r>
        <w:rPr>
          <w:rFonts w:ascii="Avenir Next" w:hAnsi="Avenir Next" w:cs="Arial"/>
          <w:sz w:val="22"/>
          <w:szCs w:val="22"/>
          <w:u w:val="single"/>
          <w:lang w:val="en-GB"/>
        </w:rPr>
        <w:t>), Article</w:t>
      </w:r>
      <w:r w:rsidR="006B6BC8">
        <w:rPr>
          <w:rFonts w:ascii="Avenir Next" w:hAnsi="Avenir Next" w:cs="Arial"/>
          <w:sz w:val="22"/>
          <w:szCs w:val="22"/>
          <w:u w:val="single"/>
          <w:lang w:val="en-GB"/>
        </w:rPr>
        <w:t xml:space="preserve">s </w:t>
      </w:r>
      <w:r w:rsidR="004B58F5">
        <w:rPr>
          <w:rFonts w:ascii="Avenir Next" w:hAnsi="Avenir Next" w:cs="Arial"/>
          <w:sz w:val="22"/>
          <w:szCs w:val="22"/>
          <w:u w:val="single"/>
          <w:lang w:val="en-GB"/>
        </w:rPr>
        <w:t>23</w:t>
      </w:r>
      <w:r w:rsidR="00006DE7">
        <w:rPr>
          <w:rFonts w:ascii="Avenir Next" w:hAnsi="Avenir Next" w:cs="Arial"/>
          <w:sz w:val="22"/>
          <w:szCs w:val="22"/>
          <w:u w:val="single"/>
          <w:lang w:val="en-GB"/>
        </w:rPr>
        <w:t xml:space="preserve"> </w:t>
      </w:r>
      <w:r w:rsidR="006B6BC8">
        <w:rPr>
          <w:rFonts w:ascii="Avenir Next" w:hAnsi="Avenir Next" w:cs="Arial"/>
          <w:sz w:val="22"/>
          <w:szCs w:val="22"/>
          <w:u w:val="single"/>
          <w:lang w:val="en-GB"/>
        </w:rPr>
        <w:t>of the First Schedule to the IRDA states that</w:t>
      </w:r>
      <w:r w:rsidR="00006DE7">
        <w:rPr>
          <w:rFonts w:ascii="Avenir Next" w:hAnsi="Avenir Next" w:cs="Arial"/>
          <w:sz w:val="22"/>
          <w:szCs w:val="22"/>
          <w:u w:val="single"/>
          <w:lang w:val="en-GB"/>
        </w:rPr>
        <w:t xml:space="preserve"> </w:t>
      </w:r>
      <w:r w:rsidR="00006DE7" w:rsidRPr="00006DE7">
        <w:rPr>
          <w:rFonts w:ascii="Avenir Next" w:hAnsi="Avenir Next" w:cs="Arial"/>
          <w:sz w:val="22"/>
          <w:szCs w:val="22"/>
          <w:u w:val="single"/>
          <w:lang w:val="en-GB"/>
        </w:rPr>
        <w:t xml:space="preserve">the foreign representative has standing to make an application to the </w:t>
      </w:r>
      <w:r w:rsidR="00CB3FFE">
        <w:rPr>
          <w:rFonts w:ascii="Avenir Next" w:hAnsi="Avenir Next" w:cs="Arial"/>
          <w:sz w:val="22"/>
          <w:szCs w:val="22"/>
          <w:u w:val="single"/>
          <w:lang w:val="en-GB"/>
        </w:rPr>
        <w:t>Singapore c</w:t>
      </w:r>
      <w:r w:rsidR="00006DE7" w:rsidRPr="00006DE7">
        <w:rPr>
          <w:rFonts w:ascii="Avenir Next" w:hAnsi="Avenir Next" w:cs="Arial"/>
          <w:sz w:val="22"/>
          <w:szCs w:val="22"/>
          <w:u w:val="single"/>
          <w:lang w:val="en-GB"/>
        </w:rPr>
        <w:t xml:space="preserve">ourt for </w:t>
      </w:r>
      <w:r w:rsidR="00CB3FFE">
        <w:rPr>
          <w:rFonts w:ascii="Avenir Next" w:hAnsi="Avenir Next" w:cs="Arial"/>
          <w:sz w:val="22"/>
          <w:szCs w:val="22"/>
          <w:u w:val="single"/>
          <w:lang w:val="en-GB"/>
        </w:rPr>
        <w:t xml:space="preserve">orders in respect of the avoidance provisions under the IRDA.  </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9C8C" w14:textId="77777777" w:rsidR="00792C24" w:rsidRDefault="00792C24" w:rsidP="00241B44">
      <w:r>
        <w:separator/>
      </w:r>
    </w:p>
  </w:endnote>
  <w:endnote w:type="continuationSeparator" w:id="0">
    <w:p w14:paraId="3A422BD4" w14:textId="77777777" w:rsidR="00792C24" w:rsidRDefault="00792C2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28782C4" w:rsidR="00AD6A7D" w:rsidRPr="009634F4" w:rsidRDefault="008E3462" w:rsidP="00AD6A7D">
    <w:pPr>
      <w:pStyle w:val="Footer"/>
      <w:ind w:right="360"/>
      <w:rPr>
        <w:rFonts w:ascii="Avenir Next" w:hAnsi="Avenir Next" w:cs="Arial"/>
        <w:sz w:val="22"/>
        <w:szCs w:val="22"/>
      </w:rPr>
    </w:pPr>
    <w:r>
      <w:rPr>
        <w:rFonts w:ascii="Avenir Next" w:hAnsi="Avenir Next" w:cs="Arial"/>
        <w:sz w:val="22"/>
        <w:szCs w:val="22"/>
      </w:rPr>
      <w:t>202223-768</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2CC0" w14:textId="77777777" w:rsidR="008E3462" w:rsidRDefault="008E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973C" w14:textId="77777777" w:rsidR="00792C24" w:rsidRDefault="00792C24" w:rsidP="00241B44">
      <w:r>
        <w:separator/>
      </w:r>
    </w:p>
  </w:footnote>
  <w:footnote w:type="continuationSeparator" w:id="0">
    <w:p w14:paraId="1CD1B2DD" w14:textId="77777777" w:rsidR="00792C24" w:rsidRDefault="00792C2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743A" w14:textId="77777777" w:rsidR="008E3462" w:rsidRDefault="008E3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D97D" w14:textId="77777777" w:rsidR="008E3462" w:rsidRDefault="008E3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D515" w14:textId="77777777" w:rsidR="008E3462" w:rsidRDefault="008E3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38E51E6"/>
    <w:multiLevelType w:val="hybridMultilevel"/>
    <w:tmpl w:val="43904F10"/>
    <w:lvl w:ilvl="0" w:tplc="7E3895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E0D008B"/>
    <w:multiLevelType w:val="hybridMultilevel"/>
    <w:tmpl w:val="1F4623AE"/>
    <w:lvl w:ilvl="0" w:tplc="F2F0AB7C">
      <w:start w:val="1"/>
      <w:numFmt w:val="lowerLetter"/>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5840EB"/>
    <w:multiLevelType w:val="hybridMultilevel"/>
    <w:tmpl w:val="C7382FF6"/>
    <w:lvl w:ilvl="0" w:tplc="0E5C29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7538FC"/>
    <w:multiLevelType w:val="hybridMultilevel"/>
    <w:tmpl w:val="CA4C8392"/>
    <w:lvl w:ilvl="0" w:tplc="E9305E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6898017">
    <w:abstractNumId w:val="19"/>
  </w:num>
  <w:num w:numId="2" w16cid:durableId="1651901153">
    <w:abstractNumId w:val="22"/>
  </w:num>
  <w:num w:numId="3" w16cid:durableId="1542597572">
    <w:abstractNumId w:val="6"/>
  </w:num>
  <w:num w:numId="4" w16cid:durableId="927496159">
    <w:abstractNumId w:val="3"/>
  </w:num>
  <w:num w:numId="5" w16cid:durableId="1581131746">
    <w:abstractNumId w:val="9"/>
  </w:num>
  <w:num w:numId="6" w16cid:durableId="1209610168">
    <w:abstractNumId w:val="16"/>
  </w:num>
  <w:num w:numId="7" w16cid:durableId="1711494100">
    <w:abstractNumId w:val="24"/>
  </w:num>
  <w:num w:numId="8" w16cid:durableId="303582162">
    <w:abstractNumId w:val="15"/>
  </w:num>
  <w:num w:numId="9" w16cid:durableId="1008874865">
    <w:abstractNumId w:val="5"/>
  </w:num>
  <w:num w:numId="10" w16cid:durableId="919370189">
    <w:abstractNumId w:val="8"/>
  </w:num>
  <w:num w:numId="11" w16cid:durableId="1203908638">
    <w:abstractNumId w:val="7"/>
  </w:num>
  <w:num w:numId="12" w16cid:durableId="481968597">
    <w:abstractNumId w:val="4"/>
  </w:num>
  <w:num w:numId="13" w16cid:durableId="20402803">
    <w:abstractNumId w:val="13"/>
  </w:num>
  <w:num w:numId="14" w16cid:durableId="371928633">
    <w:abstractNumId w:val="0"/>
  </w:num>
  <w:num w:numId="15" w16cid:durableId="1258715258">
    <w:abstractNumId w:val="2"/>
  </w:num>
  <w:num w:numId="16" w16cid:durableId="2002348766">
    <w:abstractNumId w:val="14"/>
  </w:num>
  <w:num w:numId="17" w16cid:durableId="379136544">
    <w:abstractNumId w:val="11"/>
  </w:num>
  <w:num w:numId="18" w16cid:durableId="1502818293">
    <w:abstractNumId w:val="20"/>
  </w:num>
  <w:num w:numId="19" w16cid:durableId="1454521344">
    <w:abstractNumId w:val="17"/>
  </w:num>
  <w:num w:numId="20" w16cid:durableId="877932706">
    <w:abstractNumId w:val="25"/>
  </w:num>
  <w:num w:numId="21" w16cid:durableId="98373789">
    <w:abstractNumId w:val="18"/>
  </w:num>
  <w:num w:numId="22" w16cid:durableId="1964967410">
    <w:abstractNumId w:val="10"/>
  </w:num>
  <w:num w:numId="23" w16cid:durableId="1059016046">
    <w:abstractNumId w:val="1"/>
  </w:num>
  <w:num w:numId="24" w16cid:durableId="1676809660">
    <w:abstractNumId w:val="23"/>
  </w:num>
  <w:num w:numId="25" w16cid:durableId="1905407828">
    <w:abstractNumId w:val="12"/>
  </w:num>
  <w:num w:numId="26" w16cid:durableId="198404494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DE7"/>
    <w:rsid w:val="00010BA0"/>
    <w:rsid w:val="000250C7"/>
    <w:rsid w:val="00026275"/>
    <w:rsid w:val="000322B0"/>
    <w:rsid w:val="00037621"/>
    <w:rsid w:val="00044D46"/>
    <w:rsid w:val="00045088"/>
    <w:rsid w:val="00045904"/>
    <w:rsid w:val="00055893"/>
    <w:rsid w:val="00056E6C"/>
    <w:rsid w:val="00065166"/>
    <w:rsid w:val="00082609"/>
    <w:rsid w:val="000851CC"/>
    <w:rsid w:val="00093BE8"/>
    <w:rsid w:val="000A68ED"/>
    <w:rsid w:val="000B5FF1"/>
    <w:rsid w:val="000B609F"/>
    <w:rsid w:val="000C1C48"/>
    <w:rsid w:val="000C387A"/>
    <w:rsid w:val="000D55A8"/>
    <w:rsid w:val="000E27DA"/>
    <w:rsid w:val="000E329C"/>
    <w:rsid w:val="000E4841"/>
    <w:rsid w:val="000E6B0A"/>
    <w:rsid w:val="000F0B91"/>
    <w:rsid w:val="000F1677"/>
    <w:rsid w:val="000F3D6C"/>
    <w:rsid w:val="000F618A"/>
    <w:rsid w:val="001007BC"/>
    <w:rsid w:val="00101707"/>
    <w:rsid w:val="00106B48"/>
    <w:rsid w:val="00110DA3"/>
    <w:rsid w:val="0011473D"/>
    <w:rsid w:val="00115C85"/>
    <w:rsid w:val="00122164"/>
    <w:rsid w:val="00123661"/>
    <w:rsid w:val="00123855"/>
    <w:rsid w:val="00124E44"/>
    <w:rsid w:val="00126A4D"/>
    <w:rsid w:val="001361E0"/>
    <w:rsid w:val="0014622C"/>
    <w:rsid w:val="00152348"/>
    <w:rsid w:val="001529F7"/>
    <w:rsid w:val="0015456D"/>
    <w:rsid w:val="00161F1B"/>
    <w:rsid w:val="00162829"/>
    <w:rsid w:val="00163366"/>
    <w:rsid w:val="0017698C"/>
    <w:rsid w:val="00177984"/>
    <w:rsid w:val="00180548"/>
    <w:rsid w:val="00180CCE"/>
    <w:rsid w:val="0018267A"/>
    <w:rsid w:val="00182779"/>
    <w:rsid w:val="001830DF"/>
    <w:rsid w:val="001966D9"/>
    <w:rsid w:val="001A7E9A"/>
    <w:rsid w:val="001B5016"/>
    <w:rsid w:val="001B645A"/>
    <w:rsid w:val="001C45FC"/>
    <w:rsid w:val="001D4862"/>
    <w:rsid w:val="001E0558"/>
    <w:rsid w:val="001E25B9"/>
    <w:rsid w:val="001E49E0"/>
    <w:rsid w:val="001E7B5A"/>
    <w:rsid w:val="001F7412"/>
    <w:rsid w:val="00204961"/>
    <w:rsid w:val="0020725B"/>
    <w:rsid w:val="00215AB1"/>
    <w:rsid w:val="00223CB2"/>
    <w:rsid w:val="002418EE"/>
    <w:rsid w:val="00241B44"/>
    <w:rsid w:val="00245595"/>
    <w:rsid w:val="00245EFB"/>
    <w:rsid w:val="0026515D"/>
    <w:rsid w:val="002668D3"/>
    <w:rsid w:val="0027299F"/>
    <w:rsid w:val="00275097"/>
    <w:rsid w:val="002775CC"/>
    <w:rsid w:val="00284EBE"/>
    <w:rsid w:val="00286AE6"/>
    <w:rsid w:val="00291963"/>
    <w:rsid w:val="0029433F"/>
    <w:rsid w:val="00294829"/>
    <w:rsid w:val="0029690F"/>
    <w:rsid w:val="002A2A60"/>
    <w:rsid w:val="002B1C45"/>
    <w:rsid w:val="002B424B"/>
    <w:rsid w:val="002C13C8"/>
    <w:rsid w:val="002C1671"/>
    <w:rsid w:val="002C3547"/>
    <w:rsid w:val="002C3E91"/>
    <w:rsid w:val="002C686D"/>
    <w:rsid w:val="002C70C7"/>
    <w:rsid w:val="002D0021"/>
    <w:rsid w:val="002D0304"/>
    <w:rsid w:val="002D25C5"/>
    <w:rsid w:val="002D31CD"/>
    <w:rsid w:val="002D3473"/>
    <w:rsid w:val="002F08D5"/>
    <w:rsid w:val="002F1956"/>
    <w:rsid w:val="002F3440"/>
    <w:rsid w:val="002F34C7"/>
    <w:rsid w:val="002F4EE3"/>
    <w:rsid w:val="002F75A3"/>
    <w:rsid w:val="00303C2F"/>
    <w:rsid w:val="003144EF"/>
    <w:rsid w:val="00320CEF"/>
    <w:rsid w:val="00330937"/>
    <w:rsid w:val="00330F31"/>
    <w:rsid w:val="00331B1A"/>
    <w:rsid w:val="00334648"/>
    <w:rsid w:val="0033768C"/>
    <w:rsid w:val="00337938"/>
    <w:rsid w:val="00340769"/>
    <w:rsid w:val="00341AA6"/>
    <w:rsid w:val="00350208"/>
    <w:rsid w:val="00350310"/>
    <w:rsid w:val="003535A2"/>
    <w:rsid w:val="0036087E"/>
    <w:rsid w:val="00361A0A"/>
    <w:rsid w:val="0036565C"/>
    <w:rsid w:val="0036625E"/>
    <w:rsid w:val="00367493"/>
    <w:rsid w:val="0037465A"/>
    <w:rsid w:val="00374696"/>
    <w:rsid w:val="00382C98"/>
    <w:rsid w:val="0038533C"/>
    <w:rsid w:val="003942DC"/>
    <w:rsid w:val="003948D5"/>
    <w:rsid w:val="00396821"/>
    <w:rsid w:val="00397D3A"/>
    <w:rsid w:val="003A051E"/>
    <w:rsid w:val="003A2F8D"/>
    <w:rsid w:val="003A6844"/>
    <w:rsid w:val="003B170F"/>
    <w:rsid w:val="003B737B"/>
    <w:rsid w:val="003C4471"/>
    <w:rsid w:val="003D0A6D"/>
    <w:rsid w:val="003D2DA8"/>
    <w:rsid w:val="003E0B16"/>
    <w:rsid w:val="003E67D1"/>
    <w:rsid w:val="003F205E"/>
    <w:rsid w:val="003F5758"/>
    <w:rsid w:val="00405DC1"/>
    <w:rsid w:val="00411B48"/>
    <w:rsid w:val="00415F1F"/>
    <w:rsid w:val="0042108F"/>
    <w:rsid w:val="00430FED"/>
    <w:rsid w:val="0043427C"/>
    <w:rsid w:val="00434A8C"/>
    <w:rsid w:val="00441D79"/>
    <w:rsid w:val="00444284"/>
    <w:rsid w:val="00445CE6"/>
    <w:rsid w:val="004534C2"/>
    <w:rsid w:val="0045683E"/>
    <w:rsid w:val="00491675"/>
    <w:rsid w:val="00493855"/>
    <w:rsid w:val="004A16A3"/>
    <w:rsid w:val="004A57DD"/>
    <w:rsid w:val="004A7B51"/>
    <w:rsid w:val="004A7D71"/>
    <w:rsid w:val="004A7EF3"/>
    <w:rsid w:val="004B11FD"/>
    <w:rsid w:val="004B23A2"/>
    <w:rsid w:val="004B58F5"/>
    <w:rsid w:val="004C1306"/>
    <w:rsid w:val="004D1A5A"/>
    <w:rsid w:val="004D3721"/>
    <w:rsid w:val="004D64F9"/>
    <w:rsid w:val="004E14A8"/>
    <w:rsid w:val="004E4B95"/>
    <w:rsid w:val="004F5FDF"/>
    <w:rsid w:val="005177FE"/>
    <w:rsid w:val="0052263B"/>
    <w:rsid w:val="00524728"/>
    <w:rsid w:val="005331CA"/>
    <w:rsid w:val="00537970"/>
    <w:rsid w:val="00540112"/>
    <w:rsid w:val="00544127"/>
    <w:rsid w:val="00553EB2"/>
    <w:rsid w:val="00560534"/>
    <w:rsid w:val="0056248B"/>
    <w:rsid w:val="0056391B"/>
    <w:rsid w:val="005650E2"/>
    <w:rsid w:val="00566C15"/>
    <w:rsid w:val="00567075"/>
    <w:rsid w:val="00575B2D"/>
    <w:rsid w:val="005833D0"/>
    <w:rsid w:val="005846F3"/>
    <w:rsid w:val="0058622F"/>
    <w:rsid w:val="00592F82"/>
    <w:rsid w:val="00596CE2"/>
    <w:rsid w:val="005A0CCA"/>
    <w:rsid w:val="005A726D"/>
    <w:rsid w:val="005B67AC"/>
    <w:rsid w:val="005D43E0"/>
    <w:rsid w:val="005D58A3"/>
    <w:rsid w:val="005E1B79"/>
    <w:rsid w:val="005E4E03"/>
    <w:rsid w:val="005F026D"/>
    <w:rsid w:val="005F2D0B"/>
    <w:rsid w:val="005F4B31"/>
    <w:rsid w:val="005F6250"/>
    <w:rsid w:val="00610388"/>
    <w:rsid w:val="00612CA5"/>
    <w:rsid w:val="006153EC"/>
    <w:rsid w:val="00621A17"/>
    <w:rsid w:val="00623E53"/>
    <w:rsid w:val="00626E22"/>
    <w:rsid w:val="00627CC9"/>
    <w:rsid w:val="00627E7B"/>
    <w:rsid w:val="00630542"/>
    <w:rsid w:val="00632E44"/>
    <w:rsid w:val="00633D24"/>
    <w:rsid w:val="00634622"/>
    <w:rsid w:val="00636110"/>
    <w:rsid w:val="00636808"/>
    <w:rsid w:val="00637016"/>
    <w:rsid w:val="00641515"/>
    <w:rsid w:val="00654C2F"/>
    <w:rsid w:val="00657087"/>
    <w:rsid w:val="006659AA"/>
    <w:rsid w:val="00677AEB"/>
    <w:rsid w:val="00687A1D"/>
    <w:rsid w:val="00697EA1"/>
    <w:rsid w:val="006A2646"/>
    <w:rsid w:val="006A6530"/>
    <w:rsid w:val="006B1001"/>
    <w:rsid w:val="006B1B9C"/>
    <w:rsid w:val="006B1CA2"/>
    <w:rsid w:val="006B435A"/>
    <w:rsid w:val="006B4C64"/>
    <w:rsid w:val="006B6BC8"/>
    <w:rsid w:val="006D01C2"/>
    <w:rsid w:val="006E481A"/>
    <w:rsid w:val="006E5298"/>
    <w:rsid w:val="006F734A"/>
    <w:rsid w:val="00700D83"/>
    <w:rsid w:val="007074E9"/>
    <w:rsid w:val="00713A7C"/>
    <w:rsid w:val="00713DA4"/>
    <w:rsid w:val="00714BF1"/>
    <w:rsid w:val="00721383"/>
    <w:rsid w:val="00722A1A"/>
    <w:rsid w:val="007333CC"/>
    <w:rsid w:val="0073399A"/>
    <w:rsid w:val="0073459E"/>
    <w:rsid w:val="00740AE4"/>
    <w:rsid w:val="0074154A"/>
    <w:rsid w:val="00744D11"/>
    <w:rsid w:val="00750440"/>
    <w:rsid w:val="007603F5"/>
    <w:rsid w:val="00764DB0"/>
    <w:rsid w:val="0076764D"/>
    <w:rsid w:val="0077498C"/>
    <w:rsid w:val="00780694"/>
    <w:rsid w:val="00784128"/>
    <w:rsid w:val="007928D0"/>
    <w:rsid w:val="00792AF2"/>
    <w:rsid w:val="00792C24"/>
    <w:rsid w:val="00793173"/>
    <w:rsid w:val="00793E9D"/>
    <w:rsid w:val="007A4FCF"/>
    <w:rsid w:val="007B080A"/>
    <w:rsid w:val="007C1459"/>
    <w:rsid w:val="007C1FCC"/>
    <w:rsid w:val="007C6201"/>
    <w:rsid w:val="007C764A"/>
    <w:rsid w:val="007D168F"/>
    <w:rsid w:val="007D7C92"/>
    <w:rsid w:val="007E01B9"/>
    <w:rsid w:val="007E1154"/>
    <w:rsid w:val="007E2CC7"/>
    <w:rsid w:val="007F41F8"/>
    <w:rsid w:val="007F45F1"/>
    <w:rsid w:val="007F4ED8"/>
    <w:rsid w:val="008031A7"/>
    <w:rsid w:val="0080454E"/>
    <w:rsid w:val="00804C32"/>
    <w:rsid w:val="00806302"/>
    <w:rsid w:val="00807119"/>
    <w:rsid w:val="00822E1A"/>
    <w:rsid w:val="0082483F"/>
    <w:rsid w:val="008279C0"/>
    <w:rsid w:val="00827D56"/>
    <w:rsid w:val="0083173C"/>
    <w:rsid w:val="00837EA6"/>
    <w:rsid w:val="008657FE"/>
    <w:rsid w:val="008669C4"/>
    <w:rsid w:val="008723F3"/>
    <w:rsid w:val="00875FCA"/>
    <w:rsid w:val="00881DE6"/>
    <w:rsid w:val="008837A6"/>
    <w:rsid w:val="00887D48"/>
    <w:rsid w:val="0089145D"/>
    <w:rsid w:val="008A6CFE"/>
    <w:rsid w:val="008B3CB7"/>
    <w:rsid w:val="008B5333"/>
    <w:rsid w:val="008B6223"/>
    <w:rsid w:val="008C08C8"/>
    <w:rsid w:val="008C66E0"/>
    <w:rsid w:val="008E3339"/>
    <w:rsid w:val="008E3462"/>
    <w:rsid w:val="008F20FC"/>
    <w:rsid w:val="008F6301"/>
    <w:rsid w:val="009030DD"/>
    <w:rsid w:val="00905A43"/>
    <w:rsid w:val="00912C79"/>
    <w:rsid w:val="00925E7C"/>
    <w:rsid w:val="00942123"/>
    <w:rsid w:val="0095207B"/>
    <w:rsid w:val="00955AF1"/>
    <w:rsid w:val="009570FC"/>
    <w:rsid w:val="00962045"/>
    <w:rsid w:val="0096253C"/>
    <w:rsid w:val="009634F4"/>
    <w:rsid w:val="00970E46"/>
    <w:rsid w:val="009857BF"/>
    <w:rsid w:val="00987CE4"/>
    <w:rsid w:val="00991428"/>
    <w:rsid w:val="00992676"/>
    <w:rsid w:val="009A0201"/>
    <w:rsid w:val="009B0723"/>
    <w:rsid w:val="009B07AD"/>
    <w:rsid w:val="009B0883"/>
    <w:rsid w:val="009B15E2"/>
    <w:rsid w:val="009B1C58"/>
    <w:rsid w:val="009C0B8E"/>
    <w:rsid w:val="009C1BC8"/>
    <w:rsid w:val="009C2442"/>
    <w:rsid w:val="009D0811"/>
    <w:rsid w:val="009D0EE1"/>
    <w:rsid w:val="009E1027"/>
    <w:rsid w:val="009E2AEB"/>
    <w:rsid w:val="009E2E27"/>
    <w:rsid w:val="009E4DE3"/>
    <w:rsid w:val="00A005FC"/>
    <w:rsid w:val="00A047EE"/>
    <w:rsid w:val="00A2274A"/>
    <w:rsid w:val="00A235B7"/>
    <w:rsid w:val="00A240B5"/>
    <w:rsid w:val="00A3469C"/>
    <w:rsid w:val="00A407EF"/>
    <w:rsid w:val="00A458BE"/>
    <w:rsid w:val="00A45BCE"/>
    <w:rsid w:val="00A46B4C"/>
    <w:rsid w:val="00A50FD0"/>
    <w:rsid w:val="00A5117B"/>
    <w:rsid w:val="00A54909"/>
    <w:rsid w:val="00A60074"/>
    <w:rsid w:val="00A6627C"/>
    <w:rsid w:val="00A71019"/>
    <w:rsid w:val="00A81029"/>
    <w:rsid w:val="00A83A2F"/>
    <w:rsid w:val="00A96489"/>
    <w:rsid w:val="00A97725"/>
    <w:rsid w:val="00AA3498"/>
    <w:rsid w:val="00AA4830"/>
    <w:rsid w:val="00AB0380"/>
    <w:rsid w:val="00AB1186"/>
    <w:rsid w:val="00AB685C"/>
    <w:rsid w:val="00AB6C2D"/>
    <w:rsid w:val="00AC3839"/>
    <w:rsid w:val="00AC7082"/>
    <w:rsid w:val="00AD6A7D"/>
    <w:rsid w:val="00AF228E"/>
    <w:rsid w:val="00B04F19"/>
    <w:rsid w:val="00B14819"/>
    <w:rsid w:val="00B15011"/>
    <w:rsid w:val="00B17AA9"/>
    <w:rsid w:val="00B225D2"/>
    <w:rsid w:val="00B22B8D"/>
    <w:rsid w:val="00B24673"/>
    <w:rsid w:val="00B27259"/>
    <w:rsid w:val="00B3110F"/>
    <w:rsid w:val="00B33145"/>
    <w:rsid w:val="00B33C2D"/>
    <w:rsid w:val="00B70DFF"/>
    <w:rsid w:val="00B72AE1"/>
    <w:rsid w:val="00B736DF"/>
    <w:rsid w:val="00B74FBD"/>
    <w:rsid w:val="00B82586"/>
    <w:rsid w:val="00B845A6"/>
    <w:rsid w:val="00B85FFD"/>
    <w:rsid w:val="00B86DB1"/>
    <w:rsid w:val="00B87869"/>
    <w:rsid w:val="00B95F5F"/>
    <w:rsid w:val="00BB0F2B"/>
    <w:rsid w:val="00BB31D0"/>
    <w:rsid w:val="00BC2C8B"/>
    <w:rsid w:val="00BC719F"/>
    <w:rsid w:val="00BC7BB5"/>
    <w:rsid w:val="00BF012C"/>
    <w:rsid w:val="00BF1C6F"/>
    <w:rsid w:val="00BF50F7"/>
    <w:rsid w:val="00BF5C69"/>
    <w:rsid w:val="00C02F29"/>
    <w:rsid w:val="00C053F7"/>
    <w:rsid w:val="00C13876"/>
    <w:rsid w:val="00C158E8"/>
    <w:rsid w:val="00C22A25"/>
    <w:rsid w:val="00C33C6C"/>
    <w:rsid w:val="00C35671"/>
    <w:rsid w:val="00C35B77"/>
    <w:rsid w:val="00C372A3"/>
    <w:rsid w:val="00C376EB"/>
    <w:rsid w:val="00C46EC1"/>
    <w:rsid w:val="00C53E2C"/>
    <w:rsid w:val="00C550C8"/>
    <w:rsid w:val="00C606C3"/>
    <w:rsid w:val="00C72848"/>
    <w:rsid w:val="00C7736C"/>
    <w:rsid w:val="00C776D6"/>
    <w:rsid w:val="00C82D87"/>
    <w:rsid w:val="00C8712A"/>
    <w:rsid w:val="00C963D3"/>
    <w:rsid w:val="00CB2CBB"/>
    <w:rsid w:val="00CB3E1F"/>
    <w:rsid w:val="00CB3FFE"/>
    <w:rsid w:val="00CB7CAC"/>
    <w:rsid w:val="00CC5335"/>
    <w:rsid w:val="00CC5BA4"/>
    <w:rsid w:val="00CD4998"/>
    <w:rsid w:val="00CE1035"/>
    <w:rsid w:val="00CE5469"/>
    <w:rsid w:val="00CF2819"/>
    <w:rsid w:val="00CF4F9D"/>
    <w:rsid w:val="00CF70DC"/>
    <w:rsid w:val="00CF738F"/>
    <w:rsid w:val="00D104E4"/>
    <w:rsid w:val="00D148DC"/>
    <w:rsid w:val="00D14DF5"/>
    <w:rsid w:val="00D17FDC"/>
    <w:rsid w:val="00D22614"/>
    <w:rsid w:val="00D316EE"/>
    <w:rsid w:val="00D53FCE"/>
    <w:rsid w:val="00D63EFD"/>
    <w:rsid w:val="00D640D8"/>
    <w:rsid w:val="00D66B44"/>
    <w:rsid w:val="00D84752"/>
    <w:rsid w:val="00D86B3B"/>
    <w:rsid w:val="00D8748A"/>
    <w:rsid w:val="00D90CA4"/>
    <w:rsid w:val="00D93196"/>
    <w:rsid w:val="00DB243C"/>
    <w:rsid w:val="00DB482A"/>
    <w:rsid w:val="00DB5562"/>
    <w:rsid w:val="00DB56F2"/>
    <w:rsid w:val="00DB6EF5"/>
    <w:rsid w:val="00DC0391"/>
    <w:rsid w:val="00DC3089"/>
    <w:rsid w:val="00DC4420"/>
    <w:rsid w:val="00DD0802"/>
    <w:rsid w:val="00DD2E11"/>
    <w:rsid w:val="00DD364E"/>
    <w:rsid w:val="00DE03AF"/>
    <w:rsid w:val="00DE121C"/>
    <w:rsid w:val="00DE1FAA"/>
    <w:rsid w:val="00DE6633"/>
    <w:rsid w:val="00DF7519"/>
    <w:rsid w:val="00DF75F8"/>
    <w:rsid w:val="00DF7A3A"/>
    <w:rsid w:val="00E00C00"/>
    <w:rsid w:val="00E0377A"/>
    <w:rsid w:val="00E03FDE"/>
    <w:rsid w:val="00E07C5A"/>
    <w:rsid w:val="00E15BA9"/>
    <w:rsid w:val="00E26E19"/>
    <w:rsid w:val="00E4200C"/>
    <w:rsid w:val="00E427D8"/>
    <w:rsid w:val="00E450A4"/>
    <w:rsid w:val="00E46B68"/>
    <w:rsid w:val="00E506BE"/>
    <w:rsid w:val="00E55547"/>
    <w:rsid w:val="00E6233C"/>
    <w:rsid w:val="00E6302B"/>
    <w:rsid w:val="00E6452F"/>
    <w:rsid w:val="00E64F45"/>
    <w:rsid w:val="00E6742D"/>
    <w:rsid w:val="00E71CB0"/>
    <w:rsid w:val="00E77C3D"/>
    <w:rsid w:val="00E86B47"/>
    <w:rsid w:val="00E909F0"/>
    <w:rsid w:val="00E93993"/>
    <w:rsid w:val="00EA0913"/>
    <w:rsid w:val="00EB45AC"/>
    <w:rsid w:val="00EB49E6"/>
    <w:rsid w:val="00EC327F"/>
    <w:rsid w:val="00ED0134"/>
    <w:rsid w:val="00ED0BC4"/>
    <w:rsid w:val="00EE3973"/>
    <w:rsid w:val="00EE4971"/>
    <w:rsid w:val="00EE6140"/>
    <w:rsid w:val="00EE744D"/>
    <w:rsid w:val="00EF090E"/>
    <w:rsid w:val="00EF7A94"/>
    <w:rsid w:val="00F033DA"/>
    <w:rsid w:val="00F11F25"/>
    <w:rsid w:val="00F201FE"/>
    <w:rsid w:val="00F24E55"/>
    <w:rsid w:val="00F27CD8"/>
    <w:rsid w:val="00F30351"/>
    <w:rsid w:val="00F3323E"/>
    <w:rsid w:val="00F341F4"/>
    <w:rsid w:val="00F35CCE"/>
    <w:rsid w:val="00F44220"/>
    <w:rsid w:val="00F47D8A"/>
    <w:rsid w:val="00F52397"/>
    <w:rsid w:val="00F5524B"/>
    <w:rsid w:val="00F61DD2"/>
    <w:rsid w:val="00F66AFF"/>
    <w:rsid w:val="00F66B7C"/>
    <w:rsid w:val="00F71433"/>
    <w:rsid w:val="00F752DE"/>
    <w:rsid w:val="00F86E63"/>
    <w:rsid w:val="00F95BFE"/>
    <w:rsid w:val="00F97C5B"/>
    <w:rsid w:val="00FA3D50"/>
    <w:rsid w:val="00FA3D5F"/>
    <w:rsid w:val="00FB56AC"/>
    <w:rsid w:val="00FC374A"/>
    <w:rsid w:val="00FC7B47"/>
    <w:rsid w:val="00FD035C"/>
    <w:rsid w:val="00FD1A35"/>
    <w:rsid w:val="00FD35FA"/>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20848005">
      <w:bodyDiv w:val="1"/>
      <w:marLeft w:val="0"/>
      <w:marRight w:val="0"/>
      <w:marTop w:val="0"/>
      <w:marBottom w:val="0"/>
      <w:divBdr>
        <w:top w:val="none" w:sz="0" w:space="0" w:color="auto"/>
        <w:left w:val="none" w:sz="0" w:space="0" w:color="auto"/>
        <w:bottom w:val="none" w:sz="0" w:space="0" w:color="auto"/>
        <w:right w:val="none" w:sz="0" w:space="0" w:color="auto"/>
      </w:divBdr>
      <w:divsChild>
        <w:div w:id="1712143819">
          <w:marLeft w:val="0"/>
          <w:marRight w:val="0"/>
          <w:marTop w:val="0"/>
          <w:marBottom w:val="0"/>
          <w:divBdr>
            <w:top w:val="none" w:sz="0" w:space="0" w:color="auto"/>
            <w:left w:val="none" w:sz="0" w:space="0" w:color="auto"/>
            <w:bottom w:val="none" w:sz="0" w:space="0" w:color="auto"/>
            <w:right w:val="none" w:sz="0" w:space="0" w:color="auto"/>
          </w:divBdr>
          <w:divsChild>
            <w:div w:id="1985356388">
              <w:marLeft w:val="0"/>
              <w:marRight w:val="0"/>
              <w:marTop w:val="0"/>
              <w:marBottom w:val="0"/>
              <w:divBdr>
                <w:top w:val="none" w:sz="0" w:space="0" w:color="auto"/>
                <w:left w:val="none" w:sz="0" w:space="0" w:color="auto"/>
                <w:bottom w:val="none" w:sz="0" w:space="0" w:color="auto"/>
                <w:right w:val="none" w:sz="0" w:space="0" w:color="auto"/>
              </w:divBdr>
              <w:divsChild>
                <w:div w:id="7493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16</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 LAU</cp:lastModifiedBy>
  <cp:revision>168</cp:revision>
  <cp:lastPrinted>2019-09-04T15:45:00Z</cp:lastPrinted>
  <dcterms:created xsi:type="dcterms:W3CDTF">2022-10-07T01:49:00Z</dcterms:created>
  <dcterms:modified xsi:type="dcterms:W3CDTF">2022-10-08T13:46:00Z</dcterms:modified>
</cp:coreProperties>
</file>