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A20ED9" w:rsidRDefault="00B736DF" w:rsidP="009E1027">
      <w:pPr>
        <w:pStyle w:val="ListParagraph"/>
        <w:numPr>
          <w:ilvl w:val="0"/>
          <w:numId w:val="12"/>
        </w:numPr>
        <w:ind w:left="426"/>
        <w:jc w:val="both"/>
        <w:rPr>
          <w:rFonts w:ascii="Avenir Next" w:hAnsi="Avenir Next" w:cs="Arial"/>
          <w:sz w:val="22"/>
          <w:szCs w:val="22"/>
          <w:highlight w:val="yellow"/>
          <w:lang w:val="en-GB"/>
        </w:rPr>
      </w:pPr>
      <w:r w:rsidRPr="00A20ED9">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52AD5" w:rsidRDefault="00161F1B" w:rsidP="009E1027">
      <w:pPr>
        <w:pStyle w:val="ListParagraph"/>
        <w:numPr>
          <w:ilvl w:val="0"/>
          <w:numId w:val="13"/>
        </w:numPr>
        <w:ind w:left="426"/>
        <w:jc w:val="both"/>
        <w:rPr>
          <w:rFonts w:ascii="Avenir Next" w:hAnsi="Avenir Next" w:cs="Arial"/>
          <w:sz w:val="22"/>
          <w:szCs w:val="22"/>
          <w:highlight w:val="yellow"/>
          <w:lang w:val="en-GB"/>
        </w:rPr>
      </w:pPr>
      <w:r w:rsidRPr="00452AD5">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52AD5" w:rsidRDefault="009E2E27" w:rsidP="008031A7">
      <w:pPr>
        <w:pStyle w:val="ListParagraph"/>
        <w:numPr>
          <w:ilvl w:val="0"/>
          <w:numId w:val="14"/>
        </w:numPr>
        <w:ind w:left="426"/>
        <w:jc w:val="both"/>
        <w:rPr>
          <w:rFonts w:ascii="Avenir Next" w:hAnsi="Avenir Next" w:cs="Arial"/>
          <w:sz w:val="22"/>
          <w:szCs w:val="22"/>
          <w:highlight w:val="yellow"/>
          <w:lang w:val="en-GB"/>
        </w:rPr>
      </w:pPr>
      <w:r w:rsidRPr="00452AD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8434E" w:rsidRDefault="009E2E27" w:rsidP="008031A7">
      <w:pPr>
        <w:pStyle w:val="ListParagraph"/>
        <w:numPr>
          <w:ilvl w:val="0"/>
          <w:numId w:val="15"/>
        </w:numPr>
        <w:ind w:left="426"/>
        <w:jc w:val="both"/>
        <w:rPr>
          <w:rFonts w:ascii="Avenir Next" w:hAnsi="Avenir Next" w:cs="Arial"/>
          <w:sz w:val="22"/>
          <w:szCs w:val="22"/>
          <w:highlight w:val="yellow"/>
          <w:lang w:val="en-GB"/>
        </w:rPr>
      </w:pPr>
      <w:r w:rsidRPr="0088434E">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E65FEA" w:rsidRDefault="00A235B7" w:rsidP="006D01C2">
      <w:pPr>
        <w:pStyle w:val="ListParagraph"/>
        <w:numPr>
          <w:ilvl w:val="0"/>
          <w:numId w:val="16"/>
        </w:numPr>
        <w:ind w:left="426"/>
        <w:jc w:val="both"/>
        <w:rPr>
          <w:rFonts w:ascii="Avenir Next" w:hAnsi="Avenir Next" w:cs="Arial"/>
          <w:color w:val="000000" w:themeColor="text1"/>
          <w:sz w:val="22"/>
          <w:szCs w:val="22"/>
          <w:highlight w:val="yellow"/>
          <w:lang w:val="en-GB"/>
        </w:rPr>
      </w:pPr>
      <w:r w:rsidRPr="00E65FEA">
        <w:rPr>
          <w:rFonts w:ascii="Avenir Next" w:hAnsi="Avenir Next" w:cs="Arial"/>
          <w:color w:val="000000" w:themeColor="text1"/>
          <w:sz w:val="22"/>
          <w:szCs w:val="22"/>
          <w:highlight w:val="yellow"/>
          <w:lang w:val="en-GB"/>
        </w:rPr>
        <w:t>The statement</w:t>
      </w:r>
      <w:r w:rsidR="0037465A" w:rsidRPr="00E65FEA">
        <w:rPr>
          <w:rFonts w:ascii="Avenir Next" w:hAnsi="Avenir Next" w:cs="Arial"/>
          <w:color w:val="000000" w:themeColor="text1"/>
          <w:sz w:val="22"/>
          <w:szCs w:val="22"/>
          <w:highlight w:val="yellow"/>
          <w:lang w:val="en-GB"/>
        </w:rPr>
        <w:t xml:space="preserve"> is untrue, the requirements and principles do differ and pose problems in a cross-border case.</w:t>
      </w:r>
    </w:p>
    <w:p w14:paraId="3D21CCB7" w14:textId="77777777" w:rsidR="006D01C2" w:rsidRPr="00E65FEA" w:rsidRDefault="006D01C2" w:rsidP="006D01C2">
      <w:pPr>
        <w:jc w:val="both"/>
        <w:rPr>
          <w:rFonts w:ascii="Avenir Next" w:hAnsi="Avenir Next" w:cs="Arial"/>
          <w:color w:val="000000" w:themeColor="text1"/>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0B502B"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0B502B">
        <w:rPr>
          <w:rFonts w:ascii="Avenir Next" w:eastAsiaTheme="minorHAnsi" w:hAnsi="Avenir Next" w:cs="Arial"/>
          <w:sz w:val="22"/>
          <w:szCs w:val="22"/>
          <w:highlight w:val="yellow"/>
          <w:lang w:val="en-GB"/>
        </w:rPr>
        <w:t>Public International Law</w:t>
      </w:r>
      <w:r w:rsidR="00991428" w:rsidRPr="000B502B">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5B4A7C"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5B4A7C">
        <w:rPr>
          <w:rFonts w:ascii="Avenir Next" w:eastAsiaTheme="minorHAnsi" w:hAnsi="Avenir Next" w:cs="Arial"/>
          <w:sz w:val="22"/>
          <w:szCs w:val="22"/>
          <w:lang w:val="en-GB"/>
        </w:rPr>
        <w:t>World Bank Principles for Effective Insolvency and Creditor Rights Systems</w:t>
      </w:r>
      <w:r w:rsidR="00991428" w:rsidRPr="005B4A7C">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0B502B"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0B502B">
        <w:rPr>
          <w:rFonts w:ascii="Avenir Next" w:eastAsiaTheme="minorHAnsi" w:hAnsi="Avenir Next" w:cs="Arial"/>
          <w:sz w:val="22"/>
          <w:szCs w:val="22"/>
          <w:lang w:val="en-GB"/>
        </w:rPr>
        <w:t>Private International Law</w:t>
      </w:r>
      <w:r w:rsidR="00991428" w:rsidRPr="000B502B">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C03E7E" w:rsidRDefault="005A0CCA" w:rsidP="006D01C2">
      <w:pPr>
        <w:pStyle w:val="ListParagraph"/>
        <w:numPr>
          <w:ilvl w:val="0"/>
          <w:numId w:val="18"/>
        </w:numPr>
        <w:ind w:left="426"/>
        <w:jc w:val="both"/>
        <w:rPr>
          <w:rFonts w:ascii="Avenir Next" w:hAnsi="Avenir Next" w:cs="Arial"/>
          <w:sz w:val="22"/>
          <w:szCs w:val="22"/>
          <w:highlight w:val="yellow"/>
          <w:lang w:val="en-GB"/>
        </w:rPr>
      </w:pPr>
      <w:r w:rsidRPr="00C03E7E">
        <w:rPr>
          <w:rFonts w:ascii="Avenir Next" w:hAnsi="Avenir Next" w:cs="Arial"/>
          <w:sz w:val="22"/>
          <w:szCs w:val="22"/>
          <w:highlight w:val="yellow"/>
          <w:lang w:val="en-GB"/>
        </w:rPr>
        <w:t>ALI</w:t>
      </w:r>
      <w:r w:rsidR="003E0B16" w:rsidRPr="00C03E7E">
        <w:rPr>
          <w:rFonts w:ascii="Avenir Next" w:hAnsi="Avenir Next" w:cs="Arial"/>
          <w:sz w:val="22"/>
          <w:szCs w:val="22"/>
          <w:highlight w:val="yellow"/>
          <w:lang w:val="en-GB"/>
        </w:rPr>
        <w:t xml:space="preserve"> </w:t>
      </w:r>
      <w:r w:rsidRPr="00C03E7E">
        <w:rPr>
          <w:rFonts w:ascii="Avenir Next" w:hAnsi="Avenir Next" w:cs="Arial"/>
          <w:sz w:val="22"/>
          <w:szCs w:val="22"/>
          <w:highlight w:val="yellow"/>
          <w:lang w:val="en-GB"/>
        </w:rPr>
        <w:t>/</w:t>
      </w:r>
      <w:r w:rsidR="003E0B16" w:rsidRPr="00C03E7E">
        <w:rPr>
          <w:rFonts w:ascii="Avenir Next" w:hAnsi="Avenir Next" w:cs="Arial"/>
          <w:sz w:val="22"/>
          <w:szCs w:val="22"/>
          <w:highlight w:val="yellow"/>
          <w:lang w:val="en-GB"/>
        </w:rPr>
        <w:t xml:space="preserve"> </w:t>
      </w:r>
      <w:r w:rsidRPr="00C03E7E">
        <w:rPr>
          <w:rFonts w:ascii="Avenir Next" w:hAnsi="Avenir Next" w:cs="Arial"/>
          <w:sz w:val="22"/>
          <w:szCs w:val="22"/>
          <w:highlight w:val="yellow"/>
          <w:lang w:val="en-GB"/>
        </w:rPr>
        <w:t>III Global Guidelines Applicable to Court-to-Court Communication in Cross-Border Cases (2012).</w:t>
      </w:r>
      <w:r w:rsidR="004D1A5A" w:rsidRPr="00C03E7E">
        <w:rPr>
          <w:rFonts w:ascii="Avenir Next" w:hAnsi="Avenir Next" w:cs="Arial"/>
          <w:sz w:val="22"/>
          <w:szCs w:val="22"/>
          <w:highlight w:val="yellow"/>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03E7E" w:rsidRDefault="004D1A5A" w:rsidP="006D01C2">
      <w:pPr>
        <w:pStyle w:val="ListParagraph"/>
        <w:numPr>
          <w:ilvl w:val="0"/>
          <w:numId w:val="18"/>
        </w:numPr>
        <w:ind w:left="426"/>
        <w:jc w:val="both"/>
        <w:rPr>
          <w:rFonts w:ascii="Avenir Next" w:hAnsi="Avenir Next" w:cs="Arial"/>
          <w:sz w:val="22"/>
          <w:szCs w:val="22"/>
          <w:lang w:val="en-GB"/>
        </w:rPr>
      </w:pPr>
      <w:r w:rsidRPr="00C03E7E">
        <w:rPr>
          <w:rFonts w:ascii="Avenir Next" w:hAnsi="Avenir Next" w:cs="Arial"/>
          <w:sz w:val="22"/>
          <w:szCs w:val="22"/>
          <w:lang w:val="en-GB"/>
        </w:rPr>
        <w:t>UNCITRAL Model Law on Cross-border Insolvency (1997)</w:t>
      </w:r>
      <w:r w:rsidR="00912C79" w:rsidRPr="00C03E7E">
        <w:rPr>
          <w:rFonts w:ascii="Avenir Next" w:hAnsi="Avenir Next" w:cs="Arial"/>
          <w:sz w:val="22"/>
          <w:szCs w:val="22"/>
          <w:lang w:val="en-GB"/>
        </w:rPr>
        <w:t>.</w:t>
      </w:r>
      <w:r w:rsidRPr="00C03E7E">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03E7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03E7E">
        <w:rPr>
          <w:rFonts w:ascii="Avenir Next" w:hAnsi="Avenir Next" w:cs="Arial"/>
          <w:sz w:val="22"/>
          <w:szCs w:val="22"/>
          <w:highlight w:val="yellow"/>
          <w:lang w:val="en-GB"/>
        </w:rPr>
        <w:t>Havana Convention on Private International Law (1928)</w:t>
      </w:r>
      <w:r w:rsidRPr="00C03E7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4501F3" w:rsidRDefault="0082483F" w:rsidP="006D01C2">
      <w:pPr>
        <w:pStyle w:val="ListParagraph"/>
        <w:numPr>
          <w:ilvl w:val="0"/>
          <w:numId w:val="20"/>
        </w:numPr>
        <w:ind w:left="426"/>
        <w:jc w:val="both"/>
        <w:rPr>
          <w:rFonts w:ascii="Avenir Next" w:hAnsi="Avenir Next" w:cs="Arial"/>
          <w:sz w:val="22"/>
          <w:szCs w:val="22"/>
          <w:highlight w:val="yellow"/>
          <w:lang w:val="en-GB"/>
        </w:rPr>
      </w:pPr>
      <w:r w:rsidRPr="004501F3">
        <w:rPr>
          <w:rFonts w:ascii="Avenir Next" w:hAnsi="Avenir Next" w:cs="Arial"/>
          <w:sz w:val="22"/>
          <w:szCs w:val="22"/>
          <w:highlight w:val="yellow"/>
          <w:lang w:val="en-GB"/>
        </w:rPr>
        <w:t>A centralised insolvency register of insolvency proceedings opened in member states</w:t>
      </w:r>
      <w:r w:rsidR="003A2F8D" w:rsidRPr="004501F3">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84B9A"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84B9A">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516838A3" w14:textId="04D7BF1B" w:rsidR="00296B9C" w:rsidRDefault="00296B9C" w:rsidP="00296B9C">
      <w:pPr>
        <w:jc w:val="both"/>
        <w:rPr>
          <w:rFonts w:ascii="Avenir Next" w:hAnsi="Avenir Next" w:cs="Arial"/>
          <w:color w:val="7B7B7B" w:themeColor="accent3" w:themeShade="BF"/>
          <w:sz w:val="22"/>
          <w:szCs w:val="22"/>
          <w:lang w:val="en-GB"/>
        </w:rPr>
      </w:pPr>
    </w:p>
    <w:p w14:paraId="6153B41D" w14:textId="6331B8D7" w:rsidR="003172AB" w:rsidRDefault="003172AB" w:rsidP="00296B9C">
      <w:pPr>
        <w:jc w:val="both"/>
        <w:rPr>
          <w:rFonts w:ascii="Avenir Next" w:hAnsi="Avenir Next" w:cs="Arial"/>
          <w:color w:val="7B7B7B" w:themeColor="accent3" w:themeShade="BF"/>
          <w:sz w:val="22"/>
          <w:szCs w:val="22"/>
          <w:lang w:val="en-GB"/>
        </w:rPr>
      </w:pPr>
    </w:p>
    <w:p w14:paraId="57B8023B" w14:textId="070691C8" w:rsidR="00B55E6B" w:rsidRDefault="00B55E6B" w:rsidP="003172AB">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Wessels defines international insolvency law as: ”[i]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Pr>
          <w:rStyle w:val="FootnoteReference"/>
          <w:rFonts w:ascii="Avenir Next" w:hAnsi="Avenir Next" w:cs="Arial"/>
          <w:color w:val="000000" w:themeColor="text1"/>
          <w:sz w:val="22"/>
          <w:szCs w:val="22"/>
          <w:lang w:val="en-GB"/>
        </w:rPr>
        <w:footnoteReference w:id="1"/>
      </w:r>
    </w:p>
    <w:p w14:paraId="08BBFEE6" w14:textId="4E02AD1D" w:rsidR="003172AB" w:rsidRPr="00884B9A" w:rsidRDefault="00B55E6B" w:rsidP="003172AB">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w:t>
      </w:r>
      <w:r w:rsidR="003172AB" w:rsidRPr="00884B9A">
        <w:rPr>
          <w:rFonts w:ascii="Avenir Next" w:hAnsi="Avenir Next" w:cs="Arial"/>
          <w:color w:val="000000" w:themeColor="text1"/>
          <w:sz w:val="22"/>
          <w:szCs w:val="22"/>
          <w:lang w:val="en-GB"/>
        </w:rPr>
        <w:t>International or Cross Border Insolvency regulates how debtors who are financially distressed be treated where such debtors have creditors or assets in more than one country. International or Cross Border Insolvency is concerned more with companies that become insolvent and operate in more than one country.</w:t>
      </w:r>
      <w:r w:rsidR="00974CBC">
        <w:rPr>
          <w:rStyle w:val="FootnoteReference"/>
          <w:rFonts w:ascii="Avenir Next" w:hAnsi="Avenir Next" w:cs="Arial"/>
          <w:color w:val="000000" w:themeColor="text1"/>
          <w:sz w:val="22"/>
          <w:szCs w:val="22"/>
          <w:lang w:val="en-GB"/>
        </w:rPr>
        <w:footnoteReference w:id="2"/>
      </w:r>
    </w:p>
    <w:p w14:paraId="2F2E808B" w14:textId="77777777" w:rsidR="003172AB" w:rsidRPr="00884B9A" w:rsidRDefault="003172AB" w:rsidP="003172AB">
      <w:pPr>
        <w:jc w:val="both"/>
        <w:rPr>
          <w:rFonts w:ascii="Avenir Next" w:hAnsi="Avenir Next" w:cs="Arial"/>
          <w:color w:val="000000" w:themeColor="text1"/>
          <w:sz w:val="22"/>
          <w:szCs w:val="22"/>
          <w:lang w:val="en-GB"/>
        </w:rPr>
      </w:pPr>
    </w:p>
    <w:p w14:paraId="058CF710" w14:textId="77777777" w:rsidR="003172AB" w:rsidRDefault="003172AB" w:rsidP="00296B9C">
      <w:pPr>
        <w:jc w:val="both"/>
        <w:rPr>
          <w:rFonts w:ascii="Avenir Next" w:hAnsi="Avenir Next" w:cs="Arial"/>
          <w:color w:val="7B7B7B" w:themeColor="accent3" w:themeShade="BF"/>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693CAC49" w:rsidR="00DE03AF"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r w:rsidR="00974CBC">
        <w:rPr>
          <w:rStyle w:val="FootnoteReference"/>
          <w:rFonts w:ascii="Avenir Next" w:hAnsi="Avenir Next" w:cs="Arial"/>
          <w:sz w:val="22"/>
          <w:szCs w:val="22"/>
          <w:lang w:val="en-GB"/>
        </w:rPr>
        <w:footnoteReference w:id="3"/>
      </w:r>
    </w:p>
    <w:p w14:paraId="64ABD9BE" w14:textId="2FCD4336" w:rsidR="00006962" w:rsidRDefault="00006962" w:rsidP="00C053F7">
      <w:pPr>
        <w:jc w:val="both"/>
        <w:rPr>
          <w:rFonts w:ascii="Avenir Next" w:hAnsi="Avenir Next" w:cs="Arial"/>
          <w:sz w:val="22"/>
          <w:szCs w:val="22"/>
          <w:lang w:val="en-GB"/>
        </w:rPr>
      </w:pPr>
    </w:p>
    <w:p w14:paraId="70984BC0" w14:textId="1D9EFC7D" w:rsidR="00006962" w:rsidRDefault="00006962" w:rsidP="00C053F7">
      <w:pPr>
        <w:jc w:val="both"/>
        <w:rPr>
          <w:rFonts w:ascii="Avenir Next" w:hAnsi="Avenir Next" w:cs="Arial"/>
          <w:sz w:val="22"/>
          <w:szCs w:val="22"/>
          <w:lang w:val="en-GB"/>
        </w:rPr>
      </w:pPr>
    </w:p>
    <w:tbl>
      <w:tblPr>
        <w:tblStyle w:val="TableGrid"/>
        <w:tblW w:w="0" w:type="auto"/>
        <w:tblLook w:val="04A0" w:firstRow="1" w:lastRow="0" w:firstColumn="1" w:lastColumn="0" w:noHBand="0" w:noVBand="1"/>
      </w:tblPr>
      <w:tblGrid>
        <w:gridCol w:w="9016"/>
      </w:tblGrid>
      <w:tr w:rsidR="00C13183" w:rsidRPr="00884B9A" w14:paraId="25C33680" w14:textId="77777777" w:rsidTr="00C13183">
        <w:tc>
          <w:tcPr>
            <w:tcW w:w="9016" w:type="dxa"/>
          </w:tcPr>
          <w:tbl>
            <w:tblPr>
              <w:tblStyle w:val="TableGrid"/>
              <w:tblW w:w="13524" w:type="dxa"/>
              <w:tblLook w:val="04A0" w:firstRow="1" w:lastRow="0" w:firstColumn="1" w:lastColumn="0" w:noHBand="0" w:noVBand="1"/>
            </w:tblPr>
            <w:tblGrid>
              <w:gridCol w:w="4508"/>
              <w:gridCol w:w="4508"/>
              <w:gridCol w:w="4508"/>
            </w:tblGrid>
            <w:tr w:rsidR="00884B9A" w:rsidRPr="00884B9A" w14:paraId="07521FCF" w14:textId="77777777" w:rsidTr="00EE170D">
              <w:tc>
                <w:tcPr>
                  <w:tcW w:w="4508" w:type="dxa"/>
                </w:tcPr>
                <w:p w14:paraId="780628E7" w14:textId="0360715F" w:rsidR="00C13183" w:rsidRPr="00884B9A" w:rsidRDefault="00C13183" w:rsidP="00EE170D">
                  <w:p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Universality </w:t>
                  </w:r>
                  <w:r w:rsidRPr="00884B9A">
                    <w:rPr>
                      <w:rFonts w:ascii="Avenir Next" w:hAnsi="Avenir Next" w:cs="Arial"/>
                      <w:color w:val="000000" w:themeColor="text1"/>
                      <w:sz w:val="22"/>
                      <w:szCs w:val="22"/>
                      <w:lang w:val="en-GB"/>
                    </w:rPr>
                    <w:tab/>
                  </w:r>
                  <w:r w:rsidRPr="00884B9A">
                    <w:rPr>
                      <w:rFonts w:ascii="Avenir Next" w:hAnsi="Avenir Next" w:cs="Arial"/>
                      <w:color w:val="000000" w:themeColor="text1"/>
                      <w:sz w:val="22"/>
                      <w:szCs w:val="22"/>
                      <w:lang w:val="en-GB"/>
                    </w:rPr>
                    <w:tab/>
                  </w:r>
                  <w:r w:rsidRPr="00884B9A">
                    <w:rPr>
                      <w:rFonts w:ascii="Avenir Next" w:hAnsi="Avenir Next" w:cs="Arial"/>
                      <w:color w:val="000000" w:themeColor="text1"/>
                      <w:sz w:val="22"/>
                      <w:szCs w:val="22"/>
                      <w:lang w:val="en-GB"/>
                    </w:rPr>
                    <w:tab/>
                  </w:r>
                </w:p>
              </w:tc>
              <w:tc>
                <w:tcPr>
                  <w:tcW w:w="4508" w:type="dxa"/>
                </w:tcPr>
                <w:p w14:paraId="1F5C2D2A" w14:textId="132687ED" w:rsidR="00C13183" w:rsidRPr="00884B9A" w:rsidRDefault="00C13183" w:rsidP="00EE170D">
                  <w:p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Territoriality </w:t>
                  </w:r>
                </w:p>
              </w:tc>
              <w:tc>
                <w:tcPr>
                  <w:tcW w:w="4508" w:type="dxa"/>
                </w:tcPr>
                <w:p w14:paraId="2E3D78DA"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1AFDDE02" w14:textId="77777777" w:rsidTr="00EE170D">
              <w:tc>
                <w:tcPr>
                  <w:tcW w:w="4508" w:type="dxa"/>
                </w:tcPr>
                <w:p w14:paraId="749B0F27" w14:textId="37E495C4" w:rsidR="00C13183" w:rsidRPr="00884B9A" w:rsidRDefault="00C13183" w:rsidP="00EE170D">
                  <w:pPr>
                    <w:pStyle w:val="ListParagraph"/>
                    <w:numPr>
                      <w:ilvl w:val="0"/>
                      <w:numId w:val="23"/>
                    </w:num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In this approach Cross Border Insolvency are administered pursuant to a single               global regime in insolvency and all </w:t>
                  </w:r>
                  <w:r w:rsidR="005D5692" w:rsidRPr="00884B9A">
                    <w:rPr>
                      <w:rFonts w:ascii="Avenir Next" w:hAnsi="Avenir Next" w:cs="Arial"/>
                      <w:color w:val="000000" w:themeColor="text1"/>
                      <w:sz w:val="22"/>
                      <w:szCs w:val="22"/>
                      <w:lang w:val="en-GB"/>
                    </w:rPr>
                    <w:t>debtors’</w:t>
                  </w:r>
                  <w:r w:rsidRPr="00884B9A">
                    <w:rPr>
                      <w:rFonts w:ascii="Avenir Next" w:hAnsi="Avenir Next" w:cs="Arial"/>
                      <w:color w:val="000000" w:themeColor="text1"/>
                      <w:sz w:val="22"/>
                      <w:szCs w:val="22"/>
                      <w:lang w:val="en-GB"/>
                    </w:rPr>
                    <w:t xml:space="preserve"> assets are distributed by the </w:t>
                  </w:r>
                </w:p>
                <w:p w14:paraId="7BA14BE4" w14:textId="77777777" w:rsidR="00C13183" w:rsidRPr="00884B9A" w:rsidRDefault="00C13183" w:rsidP="00EE170D">
                  <w:p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               only insolvency practitioner, no matter </w:t>
                  </w:r>
                </w:p>
                <w:p w14:paraId="75E96C6D" w14:textId="37E07E7B" w:rsidR="00C13183" w:rsidRPr="00884B9A" w:rsidRDefault="00C13183" w:rsidP="00EE170D">
                  <w:p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         </w:t>
                  </w:r>
                  <w:r w:rsidR="005D5692" w:rsidRPr="00884B9A">
                    <w:rPr>
                      <w:rFonts w:ascii="Avenir Next" w:hAnsi="Avenir Next" w:cs="Arial"/>
                      <w:color w:val="000000" w:themeColor="text1"/>
                      <w:sz w:val="22"/>
                      <w:szCs w:val="22"/>
                      <w:lang w:val="en-GB"/>
                    </w:rPr>
                    <w:t xml:space="preserve">    </w:t>
                  </w:r>
                  <w:r w:rsidRPr="00884B9A">
                    <w:rPr>
                      <w:rFonts w:ascii="Avenir Next" w:hAnsi="Avenir Next" w:cs="Arial"/>
                      <w:color w:val="000000" w:themeColor="text1"/>
                      <w:sz w:val="22"/>
                      <w:szCs w:val="22"/>
                      <w:lang w:val="en-GB"/>
                    </w:rPr>
                    <w:t xml:space="preserve"> where the assets or creditors are </w:t>
                  </w:r>
                  <w:r w:rsidR="005D5692" w:rsidRPr="00884B9A">
                    <w:rPr>
                      <w:rFonts w:ascii="Avenir Next" w:hAnsi="Avenir Next" w:cs="Arial"/>
                      <w:color w:val="000000" w:themeColor="text1"/>
                      <w:sz w:val="22"/>
                      <w:szCs w:val="22"/>
                      <w:lang w:val="en-GB"/>
                    </w:rPr>
                    <w:t xml:space="preserve">         </w:t>
                  </w:r>
                  <w:r w:rsidR="00DD24DE" w:rsidRPr="00884B9A">
                    <w:rPr>
                      <w:rFonts w:ascii="Avenir Next" w:hAnsi="Avenir Next" w:cs="Arial"/>
                      <w:color w:val="000000" w:themeColor="text1"/>
                      <w:sz w:val="22"/>
                      <w:szCs w:val="22"/>
                      <w:lang w:val="en-GB"/>
                    </w:rPr>
                    <w:t xml:space="preserve">   </w:t>
                  </w:r>
                  <w:r w:rsidRPr="00884B9A">
                    <w:rPr>
                      <w:rFonts w:ascii="Avenir Next" w:hAnsi="Avenir Next" w:cs="Arial"/>
                      <w:color w:val="000000" w:themeColor="text1"/>
                      <w:sz w:val="22"/>
                      <w:szCs w:val="22"/>
                      <w:lang w:val="en-GB"/>
                    </w:rPr>
                    <w:t>located.</w:t>
                  </w:r>
                </w:p>
              </w:tc>
              <w:tc>
                <w:tcPr>
                  <w:tcW w:w="4508" w:type="dxa"/>
                </w:tcPr>
                <w:p w14:paraId="16F18284" w14:textId="389173D9" w:rsidR="00C13183" w:rsidRPr="00884B9A" w:rsidRDefault="00C13183" w:rsidP="00C13183">
                  <w:pPr>
                    <w:pStyle w:val="ListParagraph"/>
                    <w:numPr>
                      <w:ilvl w:val="0"/>
                      <w:numId w:val="24"/>
                    </w:num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In approach each country </w:t>
                  </w:r>
                  <w:r w:rsidR="005D5692" w:rsidRPr="00884B9A">
                    <w:rPr>
                      <w:rFonts w:ascii="Avenir Next" w:hAnsi="Avenir Next" w:cs="Arial"/>
                      <w:color w:val="000000" w:themeColor="text1"/>
                      <w:sz w:val="22"/>
                      <w:szCs w:val="22"/>
                      <w:lang w:val="en-GB"/>
                    </w:rPr>
                    <w:t>exercises</w:t>
                  </w:r>
                  <w:r w:rsidRPr="00884B9A">
                    <w:rPr>
                      <w:rFonts w:ascii="Avenir Next" w:hAnsi="Avenir Next" w:cs="Arial"/>
                      <w:color w:val="000000" w:themeColor="text1"/>
                      <w:sz w:val="22"/>
                      <w:szCs w:val="22"/>
                      <w:lang w:val="en-GB"/>
                    </w:rPr>
                    <w:t xml:space="preserve"> its own domestic insolvency laws in respect to all the </w:t>
                  </w:r>
                  <w:r w:rsidR="003C606C" w:rsidRPr="00884B9A">
                    <w:rPr>
                      <w:rFonts w:ascii="Avenir Next" w:hAnsi="Avenir Next" w:cs="Arial"/>
                      <w:color w:val="000000" w:themeColor="text1"/>
                      <w:sz w:val="22"/>
                      <w:szCs w:val="22"/>
                      <w:lang w:val="en-GB"/>
                    </w:rPr>
                    <w:t>debtor’s</w:t>
                  </w:r>
                  <w:r w:rsidRPr="00884B9A">
                    <w:rPr>
                      <w:rFonts w:ascii="Avenir Next" w:hAnsi="Avenir Next" w:cs="Arial"/>
                      <w:color w:val="000000" w:themeColor="text1"/>
                      <w:sz w:val="22"/>
                      <w:szCs w:val="22"/>
                      <w:lang w:val="en-GB"/>
                    </w:rPr>
                    <w:t xml:space="preserve"> property and all creditors that are located within its jurisdiction. </w:t>
                  </w:r>
                </w:p>
              </w:tc>
              <w:tc>
                <w:tcPr>
                  <w:tcW w:w="4508" w:type="dxa"/>
                </w:tcPr>
                <w:p w14:paraId="4A28D19A"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7F3EF8A9" w14:textId="77777777" w:rsidTr="00EE170D">
              <w:trPr>
                <w:trHeight w:val="145"/>
              </w:trPr>
              <w:tc>
                <w:tcPr>
                  <w:tcW w:w="4508" w:type="dxa"/>
                </w:tcPr>
                <w:p w14:paraId="183ABD22"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207682FE"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7D8C023E"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0BA59871" w14:textId="77777777" w:rsidTr="00EE170D">
              <w:tc>
                <w:tcPr>
                  <w:tcW w:w="4508" w:type="dxa"/>
                </w:tcPr>
                <w:p w14:paraId="2DD65A37" w14:textId="601E12F8" w:rsidR="00C13183" w:rsidRPr="00884B9A" w:rsidRDefault="00523416" w:rsidP="00523416">
                  <w:pPr>
                    <w:pStyle w:val="ListParagraph"/>
                    <w:numPr>
                      <w:ilvl w:val="0"/>
                      <w:numId w:val="24"/>
                    </w:num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Ideally only one form should have jurisdiction and the chosen state could be the centre </w:t>
                  </w:r>
                  <w:r w:rsidR="00DD24DE" w:rsidRPr="00884B9A">
                    <w:rPr>
                      <w:rFonts w:ascii="Avenir Next" w:hAnsi="Avenir Next" w:cs="Arial"/>
                      <w:color w:val="000000" w:themeColor="text1"/>
                      <w:sz w:val="22"/>
                      <w:szCs w:val="22"/>
                      <w:lang w:val="en-GB"/>
                    </w:rPr>
                    <w:t>of the debtor’s interest.</w:t>
                  </w:r>
                  <w:r w:rsidR="00C13183" w:rsidRPr="00884B9A">
                    <w:rPr>
                      <w:rFonts w:ascii="Avenir Next" w:hAnsi="Avenir Next" w:cs="Arial"/>
                      <w:color w:val="000000" w:themeColor="text1"/>
                      <w:sz w:val="22"/>
                      <w:szCs w:val="22"/>
                      <w:lang w:val="en-GB"/>
                    </w:rPr>
                    <w:t xml:space="preserve">    </w:t>
                  </w:r>
                </w:p>
              </w:tc>
              <w:tc>
                <w:tcPr>
                  <w:tcW w:w="4508" w:type="dxa"/>
                </w:tcPr>
                <w:p w14:paraId="134FBC56" w14:textId="61BFF59D" w:rsidR="00C13183" w:rsidRPr="00884B9A" w:rsidRDefault="003C606C" w:rsidP="003C606C">
                  <w:pPr>
                    <w:ind w:left="232"/>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 2. Proceedings may commence in every        jurisdiction</w:t>
                  </w:r>
                  <w:r w:rsidR="00862A70" w:rsidRPr="00884B9A">
                    <w:rPr>
                      <w:rFonts w:ascii="Avenir Next" w:hAnsi="Avenir Next" w:cs="Arial"/>
                      <w:color w:val="000000" w:themeColor="text1"/>
                      <w:sz w:val="22"/>
                      <w:szCs w:val="22"/>
                      <w:lang w:val="en-GB"/>
                    </w:rPr>
                    <w:t>(multiple)</w:t>
                  </w:r>
                  <w:r w:rsidRPr="00884B9A">
                    <w:rPr>
                      <w:rFonts w:ascii="Avenir Next" w:hAnsi="Avenir Next" w:cs="Arial"/>
                      <w:color w:val="000000" w:themeColor="text1"/>
                      <w:sz w:val="22"/>
                      <w:szCs w:val="22"/>
                      <w:lang w:val="en-GB"/>
                    </w:rPr>
                    <w:t xml:space="preserve"> where the debtor holds assets, </w:t>
                  </w:r>
                  <w:r w:rsidR="00862A70" w:rsidRPr="00884B9A">
                    <w:rPr>
                      <w:rFonts w:ascii="Avenir Next" w:hAnsi="Avenir Next" w:cs="Arial"/>
                      <w:color w:val="000000" w:themeColor="text1"/>
                      <w:sz w:val="22"/>
                      <w:szCs w:val="22"/>
                      <w:lang w:val="en-GB"/>
                    </w:rPr>
                    <w:t xml:space="preserve">but </w:t>
                  </w:r>
                  <w:r w:rsidRPr="00884B9A">
                    <w:rPr>
                      <w:rFonts w:ascii="Avenir Next" w:hAnsi="Avenir Next" w:cs="Arial"/>
                      <w:color w:val="000000" w:themeColor="text1"/>
                      <w:sz w:val="22"/>
                      <w:szCs w:val="22"/>
                      <w:lang w:val="en-GB"/>
                    </w:rPr>
                    <w:t>there should be territorially limited and restricted to the property within the state where the proceedings are opened.</w:t>
                  </w:r>
                </w:p>
              </w:tc>
              <w:tc>
                <w:tcPr>
                  <w:tcW w:w="4508" w:type="dxa"/>
                </w:tcPr>
                <w:p w14:paraId="74F8E63D"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0D679228" w14:textId="77777777" w:rsidTr="00EE170D">
              <w:tc>
                <w:tcPr>
                  <w:tcW w:w="4508" w:type="dxa"/>
                </w:tcPr>
                <w:p w14:paraId="6AD5D847" w14:textId="6616C45D" w:rsidR="00C13183" w:rsidRPr="00884B9A" w:rsidRDefault="00DD24DE" w:rsidP="00DD24DE">
                  <w:pPr>
                    <w:pStyle w:val="ListParagraph"/>
                    <w:numPr>
                      <w:ilvl w:val="0"/>
                      <w:numId w:val="24"/>
                    </w:numPr>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Premised on all assets being included in the proceedings, and all creditors worldwide can participate with all claims being treated as equal.</w:t>
                  </w:r>
                </w:p>
              </w:tc>
              <w:tc>
                <w:tcPr>
                  <w:tcW w:w="4508" w:type="dxa"/>
                </w:tcPr>
                <w:p w14:paraId="6B12B084" w14:textId="7422664F" w:rsidR="00C13183" w:rsidRPr="00884B9A" w:rsidRDefault="00862A70" w:rsidP="00862A70">
                  <w:pPr>
                    <w:ind w:left="232"/>
                    <w:jc w:val="both"/>
                    <w:rPr>
                      <w:rFonts w:ascii="Avenir Next" w:hAnsi="Avenir Next" w:cs="Arial"/>
                      <w:color w:val="000000" w:themeColor="text1"/>
                      <w:sz w:val="22"/>
                      <w:szCs w:val="22"/>
                      <w:lang w:val="en-GB"/>
                    </w:rPr>
                  </w:pPr>
                  <w:r w:rsidRPr="00884B9A">
                    <w:rPr>
                      <w:rFonts w:ascii="Avenir Next" w:hAnsi="Avenir Next" w:cs="Arial"/>
                      <w:color w:val="000000" w:themeColor="text1"/>
                      <w:sz w:val="22"/>
                      <w:szCs w:val="22"/>
                      <w:lang w:val="en-GB"/>
                    </w:rPr>
                    <w:t xml:space="preserve">   3. National Interest should be protected         before consideration being given to creditors abroad.</w:t>
                  </w:r>
                </w:p>
                <w:p w14:paraId="28D70299" w14:textId="007030F4" w:rsidR="00862A70" w:rsidRPr="00884B9A" w:rsidRDefault="00862A70" w:rsidP="00862A70">
                  <w:pPr>
                    <w:rPr>
                      <w:color w:val="000000" w:themeColor="text1"/>
                      <w:lang w:val="en-GB"/>
                    </w:rPr>
                  </w:pPr>
                </w:p>
              </w:tc>
              <w:tc>
                <w:tcPr>
                  <w:tcW w:w="4508" w:type="dxa"/>
                </w:tcPr>
                <w:p w14:paraId="5B8B6326"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32947FCA" w14:textId="77777777" w:rsidTr="00EE170D">
              <w:tc>
                <w:tcPr>
                  <w:tcW w:w="4508" w:type="dxa"/>
                </w:tcPr>
                <w:p w14:paraId="595ECAD7"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249890CB"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0BF78ACD"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4BD9F66B" w14:textId="77777777" w:rsidTr="00EE170D">
              <w:tc>
                <w:tcPr>
                  <w:tcW w:w="4508" w:type="dxa"/>
                </w:tcPr>
                <w:p w14:paraId="05F72D65"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76953A54"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55EBA306" w14:textId="77777777" w:rsidR="00C13183" w:rsidRPr="00884B9A" w:rsidRDefault="00C13183" w:rsidP="00EE170D">
                  <w:pPr>
                    <w:jc w:val="both"/>
                    <w:rPr>
                      <w:rFonts w:ascii="Avenir Next" w:hAnsi="Avenir Next" w:cs="Arial"/>
                      <w:color w:val="000000" w:themeColor="text1"/>
                      <w:sz w:val="22"/>
                      <w:szCs w:val="22"/>
                      <w:lang w:val="en-GB"/>
                    </w:rPr>
                  </w:pPr>
                </w:p>
              </w:tc>
            </w:tr>
            <w:tr w:rsidR="00884B9A" w:rsidRPr="00884B9A" w14:paraId="65C341D3" w14:textId="77777777" w:rsidTr="00EE170D">
              <w:tc>
                <w:tcPr>
                  <w:tcW w:w="4508" w:type="dxa"/>
                </w:tcPr>
                <w:p w14:paraId="03CF4D87"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42DDE1AD" w14:textId="77777777" w:rsidR="00C13183" w:rsidRPr="00884B9A" w:rsidRDefault="00C13183" w:rsidP="00EE170D">
                  <w:pPr>
                    <w:jc w:val="both"/>
                    <w:rPr>
                      <w:rFonts w:ascii="Avenir Next" w:hAnsi="Avenir Next" w:cs="Arial"/>
                      <w:color w:val="000000" w:themeColor="text1"/>
                      <w:sz w:val="22"/>
                      <w:szCs w:val="22"/>
                      <w:lang w:val="en-GB"/>
                    </w:rPr>
                  </w:pPr>
                </w:p>
              </w:tc>
              <w:tc>
                <w:tcPr>
                  <w:tcW w:w="4508" w:type="dxa"/>
                </w:tcPr>
                <w:p w14:paraId="55277513" w14:textId="77777777" w:rsidR="00C13183" w:rsidRPr="00884B9A" w:rsidRDefault="00C13183" w:rsidP="00EE170D">
                  <w:pPr>
                    <w:jc w:val="both"/>
                    <w:rPr>
                      <w:rFonts w:ascii="Avenir Next" w:hAnsi="Avenir Next" w:cs="Arial"/>
                      <w:color w:val="000000" w:themeColor="text1"/>
                      <w:sz w:val="22"/>
                      <w:szCs w:val="22"/>
                      <w:lang w:val="en-GB"/>
                    </w:rPr>
                  </w:pPr>
                </w:p>
              </w:tc>
            </w:tr>
          </w:tbl>
          <w:p w14:paraId="0EC13963" w14:textId="77777777" w:rsidR="00C13183" w:rsidRPr="00884B9A" w:rsidRDefault="00C13183">
            <w:pPr>
              <w:rPr>
                <w:color w:val="000000" w:themeColor="text1"/>
              </w:rPr>
            </w:pPr>
          </w:p>
        </w:tc>
      </w:tr>
    </w:tbl>
    <w:p w14:paraId="77490513" w14:textId="4754968C" w:rsidR="00006962" w:rsidRPr="00884B9A" w:rsidRDefault="00006962" w:rsidP="00C053F7">
      <w:pPr>
        <w:jc w:val="both"/>
        <w:rPr>
          <w:rFonts w:ascii="Avenir Next" w:hAnsi="Avenir Next" w:cs="Arial"/>
          <w:color w:val="000000" w:themeColor="text1"/>
          <w:sz w:val="22"/>
          <w:szCs w:val="22"/>
          <w:lang w:val="en-GB"/>
        </w:rPr>
      </w:pPr>
    </w:p>
    <w:p w14:paraId="13206163" w14:textId="5C44D55A" w:rsidR="00006962" w:rsidRDefault="00006962" w:rsidP="00C053F7">
      <w:pPr>
        <w:jc w:val="both"/>
        <w:rPr>
          <w:rFonts w:ascii="Avenir Next" w:hAnsi="Avenir Next" w:cs="Arial"/>
          <w:sz w:val="22"/>
          <w:szCs w:val="22"/>
          <w:lang w:val="en-GB"/>
        </w:rPr>
      </w:pPr>
    </w:p>
    <w:p w14:paraId="57B9B4FC" w14:textId="0A6118D8" w:rsidR="00006962" w:rsidRDefault="00006962" w:rsidP="00C053F7">
      <w:pPr>
        <w:jc w:val="both"/>
        <w:rPr>
          <w:rFonts w:ascii="Avenir Next" w:hAnsi="Avenir Next" w:cs="Arial"/>
          <w:sz w:val="22"/>
          <w:szCs w:val="22"/>
          <w:lang w:val="en-GB"/>
        </w:rPr>
      </w:pPr>
    </w:p>
    <w:p w14:paraId="4A02BC28" w14:textId="65F93261" w:rsidR="00006962" w:rsidRDefault="00006962" w:rsidP="00C053F7">
      <w:pPr>
        <w:jc w:val="both"/>
        <w:rPr>
          <w:rFonts w:ascii="Avenir Next" w:hAnsi="Avenir Next" w:cs="Arial"/>
          <w:sz w:val="22"/>
          <w:szCs w:val="22"/>
          <w:lang w:val="en-GB"/>
        </w:rPr>
      </w:pPr>
    </w:p>
    <w:p w14:paraId="34516371" w14:textId="493FD811" w:rsidR="00C72848" w:rsidRPr="00827D56" w:rsidRDefault="00F7081D" w:rsidP="00C053F7">
      <w:pPr>
        <w:ind w:left="720" w:hanging="720"/>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w:t>
      </w:r>
      <w:r w:rsidR="00C72848" w:rsidRPr="00827D56">
        <w:rPr>
          <w:rFonts w:ascii="Avenir Next Demi Bold" w:hAnsi="Avenir Next Demi Bold" w:cs="Arial"/>
          <w:b/>
          <w:bCs/>
          <w:sz w:val="22"/>
          <w:szCs w:val="22"/>
          <w:lang w:val="en-GB"/>
        </w:rPr>
        <w:t xml:space="preserve">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57025F03" w14:textId="7AD68920" w:rsidR="004A4484" w:rsidRPr="00861140" w:rsidRDefault="00C3225F" w:rsidP="004A4484">
      <w:pPr>
        <w:pStyle w:val="ListParagraph"/>
        <w:numPr>
          <w:ilvl w:val="0"/>
          <w:numId w:val="26"/>
        </w:numPr>
        <w:rPr>
          <w:rFonts w:ascii="Avenir Next" w:hAnsi="Avenir Next" w:cs="Arial"/>
          <w:bCs/>
          <w:sz w:val="22"/>
          <w:szCs w:val="22"/>
          <w:lang w:val="en-GB"/>
        </w:rPr>
      </w:pPr>
      <w:r w:rsidRPr="00861140">
        <w:rPr>
          <w:rFonts w:ascii="Avenir Next" w:hAnsi="Avenir Next" w:cs="Arial"/>
          <w:bCs/>
          <w:sz w:val="22"/>
          <w:szCs w:val="22"/>
          <w:lang w:val="en-GB"/>
        </w:rPr>
        <w:t>The financial restructuring committee (FRC) formed</w:t>
      </w:r>
      <w:r w:rsidR="004A4484" w:rsidRPr="00861140">
        <w:rPr>
          <w:rFonts w:ascii="Avenir Next" w:hAnsi="Avenir Next" w:cs="Arial"/>
          <w:bCs/>
          <w:sz w:val="22"/>
          <w:szCs w:val="22"/>
          <w:lang w:val="en-GB"/>
        </w:rPr>
        <w:t xml:space="preserve"> </w:t>
      </w:r>
      <w:r w:rsidRPr="00861140">
        <w:rPr>
          <w:rFonts w:ascii="Avenir Next" w:hAnsi="Avenir Next" w:cs="Arial"/>
          <w:bCs/>
          <w:sz w:val="22"/>
          <w:szCs w:val="22"/>
          <w:lang w:val="en-GB"/>
        </w:rPr>
        <w:t xml:space="preserve">a consultative council </w:t>
      </w:r>
      <w:r w:rsidR="004A4484" w:rsidRPr="00861140">
        <w:rPr>
          <w:rFonts w:ascii="Avenir Next" w:hAnsi="Avenir Next" w:cs="Arial"/>
          <w:bCs/>
          <w:sz w:val="22"/>
          <w:szCs w:val="22"/>
          <w:lang w:val="en-GB"/>
        </w:rPr>
        <w:t xml:space="preserve">for the </w:t>
      </w:r>
      <w:r w:rsidR="00861140" w:rsidRPr="00861140">
        <w:rPr>
          <w:rFonts w:ascii="Avenir Next" w:hAnsi="Avenir Next" w:cs="Arial"/>
          <w:bCs/>
          <w:sz w:val="22"/>
          <w:szCs w:val="22"/>
          <w:lang w:val="en-GB"/>
        </w:rPr>
        <w:t>purpose:</w:t>
      </w:r>
      <w:r w:rsidR="004A4484" w:rsidRPr="00861140">
        <w:rPr>
          <w:rFonts w:ascii="Avenir Next" w:hAnsi="Avenir Next" w:cs="Arial"/>
          <w:bCs/>
          <w:sz w:val="22"/>
          <w:szCs w:val="22"/>
          <w:lang w:val="en-GB"/>
        </w:rPr>
        <w:t>-</w:t>
      </w:r>
    </w:p>
    <w:p w14:paraId="38266B0A" w14:textId="77777777" w:rsidR="004A4484" w:rsidRPr="00861140" w:rsidRDefault="004A4484" w:rsidP="004A4484">
      <w:pPr>
        <w:pStyle w:val="ListParagraph"/>
        <w:numPr>
          <w:ilvl w:val="2"/>
          <w:numId w:val="26"/>
        </w:numPr>
        <w:rPr>
          <w:rFonts w:ascii="Avenir Next" w:hAnsi="Avenir Next" w:cs="Arial"/>
          <w:bCs/>
          <w:sz w:val="22"/>
          <w:szCs w:val="22"/>
          <w:lang w:val="en-GB"/>
        </w:rPr>
      </w:pPr>
      <w:r w:rsidRPr="00861140">
        <w:rPr>
          <w:rFonts w:ascii="Avenir Next" w:hAnsi="Avenir Next" w:cs="Arial"/>
          <w:bCs/>
          <w:sz w:val="22"/>
          <w:szCs w:val="22"/>
          <w:lang w:val="en-GB"/>
        </w:rPr>
        <w:t>To study the development of the financial reorganisation service</w:t>
      </w:r>
    </w:p>
    <w:p w14:paraId="4747073D" w14:textId="2242D437" w:rsidR="004A4484" w:rsidRPr="00861140" w:rsidRDefault="004A4484" w:rsidP="004A4484">
      <w:pPr>
        <w:pStyle w:val="ListParagraph"/>
        <w:numPr>
          <w:ilvl w:val="2"/>
          <w:numId w:val="26"/>
        </w:numPr>
        <w:rPr>
          <w:rFonts w:ascii="Avenir Next" w:hAnsi="Avenir Next" w:cs="Arial"/>
          <w:bCs/>
          <w:sz w:val="22"/>
          <w:szCs w:val="22"/>
          <w:lang w:val="en-GB"/>
        </w:rPr>
      </w:pPr>
      <w:r w:rsidRPr="00861140">
        <w:rPr>
          <w:rFonts w:ascii="Avenir Next" w:hAnsi="Avenir Next" w:cs="Arial"/>
          <w:bCs/>
          <w:sz w:val="22"/>
          <w:szCs w:val="22"/>
          <w:lang w:val="en-GB"/>
        </w:rPr>
        <w:t>consultations with experts in the field of financial re-organisation of defaulting companies.</w:t>
      </w:r>
      <w:r w:rsidR="00974CBC">
        <w:rPr>
          <w:rStyle w:val="FootnoteReference"/>
          <w:rFonts w:ascii="Avenir Next" w:hAnsi="Avenir Next" w:cs="Arial"/>
          <w:bCs/>
          <w:sz w:val="22"/>
          <w:szCs w:val="22"/>
          <w:lang w:val="en-GB"/>
        </w:rPr>
        <w:footnoteReference w:id="4"/>
      </w:r>
    </w:p>
    <w:p w14:paraId="1F0BA91B" w14:textId="3734988F" w:rsidR="00910517" w:rsidRPr="00861140" w:rsidRDefault="00910517" w:rsidP="00874172">
      <w:pPr>
        <w:pStyle w:val="ListParagraph"/>
        <w:numPr>
          <w:ilvl w:val="0"/>
          <w:numId w:val="26"/>
        </w:numPr>
        <w:rPr>
          <w:rFonts w:ascii="Avenir Next" w:hAnsi="Avenir Next" w:cs="Arial"/>
          <w:bCs/>
          <w:sz w:val="22"/>
          <w:szCs w:val="22"/>
          <w:lang w:val="en-GB"/>
        </w:rPr>
      </w:pPr>
      <w:r w:rsidRPr="00861140">
        <w:rPr>
          <w:rFonts w:ascii="Avenir Next" w:hAnsi="Avenir Next" w:cs="Arial"/>
          <w:bCs/>
          <w:sz w:val="22"/>
          <w:szCs w:val="22"/>
          <w:lang w:val="en-GB"/>
        </w:rPr>
        <w:t>In February 2018 Saudi Arabia approved a new bankruptcy law and it has been predicted by analysts that this should help attract foreign investment, boost credit growth and allow the SME Sector to grow due to these processes of unwinding insolvent companies become easier.</w:t>
      </w:r>
      <w:r w:rsidR="00974CBC">
        <w:rPr>
          <w:rStyle w:val="FootnoteReference"/>
          <w:rFonts w:ascii="Avenir Next" w:hAnsi="Avenir Next" w:cs="Arial"/>
          <w:bCs/>
          <w:sz w:val="22"/>
          <w:szCs w:val="22"/>
          <w:lang w:val="en-GB"/>
        </w:rPr>
        <w:footnoteReference w:id="5"/>
      </w:r>
    </w:p>
    <w:p w14:paraId="005CABB8" w14:textId="4B10B739" w:rsidR="00910517" w:rsidRPr="00861140" w:rsidRDefault="00861140" w:rsidP="00874172">
      <w:pPr>
        <w:pStyle w:val="ListParagraph"/>
        <w:numPr>
          <w:ilvl w:val="0"/>
          <w:numId w:val="26"/>
        </w:numPr>
        <w:rPr>
          <w:rFonts w:ascii="Avenir Next" w:hAnsi="Avenir Next" w:cs="Arial"/>
          <w:bCs/>
          <w:sz w:val="22"/>
          <w:szCs w:val="22"/>
          <w:lang w:val="en-GB"/>
        </w:rPr>
      </w:pPr>
      <w:r w:rsidRPr="00861140">
        <w:rPr>
          <w:rFonts w:ascii="Avenir Next" w:hAnsi="Avenir Next" w:cs="Arial"/>
          <w:bCs/>
          <w:sz w:val="22"/>
          <w:szCs w:val="22"/>
          <w:lang w:val="en-GB"/>
        </w:rPr>
        <w:t xml:space="preserve">The Dubai International Finance Centre </w:t>
      </w:r>
      <w:r w:rsidRPr="00861140">
        <w:rPr>
          <w:rFonts w:ascii="Avenir Next" w:hAnsi="Avenir Next" w:cs="Arial"/>
          <w:bCs/>
          <w:sz w:val="22"/>
          <w:szCs w:val="22"/>
          <w:lang w:val="en-GB"/>
        </w:rPr>
        <w:t>(DIFC)</w:t>
      </w:r>
      <w:r w:rsidRPr="00861140">
        <w:rPr>
          <w:rFonts w:ascii="Avenir Next" w:hAnsi="Avenir Next" w:cs="Arial"/>
          <w:bCs/>
          <w:sz w:val="22"/>
          <w:szCs w:val="22"/>
          <w:lang w:val="en-GB"/>
        </w:rPr>
        <w:t>, the leading international financial hub in the Middle East, Africa and South Asia region</w:t>
      </w:r>
      <w:r w:rsidRPr="00861140">
        <w:rPr>
          <w:rFonts w:ascii="Avenir Next" w:hAnsi="Avenir Next" w:cs="Arial"/>
          <w:bCs/>
          <w:sz w:val="22"/>
          <w:szCs w:val="22"/>
          <w:lang w:val="en-GB"/>
        </w:rPr>
        <w:t xml:space="preserve"> announced o</w:t>
      </w:r>
      <w:r w:rsidR="00910517" w:rsidRPr="00861140">
        <w:rPr>
          <w:rFonts w:ascii="Avenir Next" w:hAnsi="Avenir Next" w:cs="Arial"/>
          <w:bCs/>
          <w:sz w:val="22"/>
          <w:szCs w:val="22"/>
          <w:lang w:val="en-GB"/>
        </w:rPr>
        <w:t xml:space="preserve">n 30 May 2019 the New DIFC Insolvency Law, Law No. 1 of </w:t>
      </w:r>
      <w:r w:rsidRPr="00861140">
        <w:rPr>
          <w:rFonts w:ascii="Avenir Next" w:hAnsi="Avenir Next" w:cs="Arial"/>
          <w:bCs/>
          <w:sz w:val="22"/>
          <w:szCs w:val="22"/>
          <w:lang w:val="en-GB"/>
        </w:rPr>
        <w:t>2019,</w:t>
      </w:r>
      <w:r w:rsidR="00910517" w:rsidRPr="00861140">
        <w:rPr>
          <w:rFonts w:ascii="Avenir Next" w:hAnsi="Avenir Next" w:cs="Arial"/>
          <w:bCs/>
          <w:sz w:val="22"/>
          <w:szCs w:val="22"/>
          <w:lang w:val="en-GB"/>
        </w:rPr>
        <w:t xml:space="preserve"> was enacted</w:t>
      </w:r>
      <w:r w:rsidRPr="00861140">
        <w:rPr>
          <w:rFonts w:ascii="Avenir Next" w:hAnsi="Avenir Next" w:cs="Arial"/>
          <w:bCs/>
          <w:sz w:val="22"/>
          <w:szCs w:val="22"/>
          <w:lang w:val="en-GB"/>
        </w:rPr>
        <w:t>. The enacted law compliments the DIFC’s</w:t>
      </w:r>
      <w:r w:rsidRPr="00861140">
        <w:rPr>
          <w:rFonts w:ascii="Avenir Next" w:hAnsi="Avenir Next" w:cs="Arial"/>
          <w:bCs/>
          <w:szCs w:val="20"/>
          <w:lang w:val="en-GB"/>
        </w:rPr>
        <w:t xml:space="preserve"> </w:t>
      </w:r>
      <w:r w:rsidRPr="00861140">
        <w:rPr>
          <w:rFonts w:ascii="Avenir Next" w:hAnsi="Avenir Next" w:cs="Arial"/>
          <w:bCs/>
          <w:sz w:val="22"/>
          <w:szCs w:val="22"/>
          <w:lang w:val="en-GB"/>
        </w:rPr>
        <w:t>commitment to international best practice, with the insolvency law aiming to balance the needs of all stakeholders in relation to bankruptcy and distressed related situations in the DIFC and assisting the facilitation of a more efficient and effect bankruptcy restructuring regime.</w:t>
      </w:r>
      <w:r w:rsidR="00974CBC">
        <w:rPr>
          <w:rStyle w:val="FootnoteReference"/>
          <w:rFonts w:ascii="Avenir Next" w:hAnsi="Avenir Next" w:cs="Arial"/>
          <w:bCs/>
          <w:sz w:val="22"/>
          <w:szCs w:val="22"/>
          <w:lang w:val="en-GB"/>
        </w:rPr>
        <w:footnoteReference w:id="6"/>
      </w:r>
    </w:p>
    <w:p w14:paraId="608DD0BD" w14:textId="52F9A002" w:rsidR="00286AE6" w:rsidRPr="00861140" w:rsidRDefault="00286AE6" w:rsidP="003172AB">
      <w:pPr>
        <w:rPr>
          <w:rFonts w:ascii="Avenir Next" w:hAnsi="Avenir Next" w:cs="Arial"/>
          <w:bCs/>
          <w:sz w:val="22"/>
          <w:szCs w:val="22"/>
          <w:lang w:val="en-GB"/>
        </w:rPr>
      </w:pPr>
    </w:p>
    <w:p w14:paraId="4D7C4BF6" w14:textId="77777777" w:rsidR="00861140" w:rsidRPr="00861140" w:rsidRDefault="00861140" w:rsidP="003172AB">
      <w:pPr>
        <w:rPr>
          <w:rFonts w:ascii="Avenir Next" w:hAnsi="Avenir Next" w:cs="Arial"/>
          <w:bCs/>
          <w:sz w:val="22"/>
          <w:szCs w:val="22"/>
          <w:lang w:val="en-GB"/>
        </w:rPr>
      </w:pP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28A661EC" w14:textId="44DB4873" w:rsidR="00884B9A" w:rsidRDefault="00884B9A" w:rsidP="00C053F7">
      <w:pPr>
        <w:ind w:left="720" w:hanging="720"/>
        <w:jc w:val="both"/>
        <w:rPr>
          <w:rFonts w:ascii="Avenir Next" w:hAnsi="Avenir Next" w:cs="Arial"/>
          <w:sz w:val="22"/>
          <w:szCs w:val="22"/>
          <w:lang w:val="en-GB"/>
        </w:rPr>
      </w:pPr>
    </w:p>
    <w:p w14:paraId="40FC3561" w14:textId="05BB2BD0" w:rsidR="006C1C92" w:rsidRDefault="00884B9A" w:rsidP="00884B9A">
      <w:pPr>
        <w:jc w:val="both"/>
        <w:rPr>
          <w:rFonts w:ascii="Avenir Next" w:hAnsi="Avenir Next" w:cs="Arial"/>
          <w:sz w:val="22"/>
          <w:szCs w:val="22"/>
          <w:lang w:val="en-GB"/>
        </w:rPr>
      </w:pPr>
      <w:r>
        <w:rPr>
          <w:rFonts w:ascii="Avenir Next" w:hAnsi="Avenir Next" w:cs="Arial"/>
          <w:sz w:val="22"/>
          <w:szCs w:val="22"/>
          <w:lang w:val="en-GB"/>
        </w:rPr>
        <w:t xml:space="preserve">For an individual </w:t>
      </w:r>
      <w:r w:rsidR="006C1C92">
        <w:rPr>
          <w:rFonts w:ascii="Avenir Next" w:hAnsi="Avenir Next" w:cs="Arial"/>
          <w:sz w:val="22"/>
          <w:szCs w:val="22"/>
          <w:lang w:val="en-GB"/>
        </w:rPr>
        <w:t>the difference regarding objectives of insolvency are :-</w:t>
      </w:r>
    </w:p>
    <w:p w14:paraId="00A9F6B4" w14:textId="00263948" w:rsidR="006C1C92" w:rsidRDefault="006C1C92" w:rsidP="006C1C92">
      <w:pPr>
        <w:pStyle w:val="ListParagraph"/>
        <w:numPr>
          <w:ilvl w:val="0"/>
          <w:numId w:val="28"/>
        </w:numPr>
        <w:jc w:val="both"/>
        <w:rPr>
          <w:rFonts w:ascii="Avenir Next" w:hAnsi="Avenir Next" w:cs="Arial"/>
          <w:sz w:val="22"/>
          <w:szCs w:val="22"/>
          <w:lang w:val="en-GB"/>
        </w:rPr>
      </w:pPr>
      <w:r w:rsidRPr="006C1C92">
        <w:rPr>
          <w:rFonts w:ascii="Avenir Next" w:hAnsi="Avenir Next" w:cs="Arial"/>
          <w:sz w:val="22"/>
          <w:szCs w:val="22"/>
          <w:lang w:val="en-GB"/>
        </w:rPr>
        <w:t>to protect the debtor from harassment by his creditors</w:t>
      </w:r>
      <w:r w:rsidR="008A48A7">
        <w:rPr>
          <w:rFonts w:ascii="Avenir Next" w:hAnsi="Avenir Next" w:cs="Arial"/>
          <w:sz w:val="22"/>
          <w:szCs w:val="22"/>
          <w:lang w:val="en-GB"/>
        </w:rPr>
        <w:t>;</w:t>
      </w:r>
    </w:p>
    <w:p w14:paraId="65FBFAA6" w14:textId="7129A3E8" w:rsidR="006C1C92" w:rsidRDefault="006C1C92" w:rsidP="006C1C92">
      <w:pPr>
        <w:pStyle w:val="ListParagraph"/>
        <w:numPr>
          <w:ilvl w:val="0"/>
          <w:numId w:val="28"/>
        </w:numPr>
        <w:jc w:val="both"/>
        <w:rPr>
          <w:rFonts w:ascii="Avenir Next" w:hAnsi="Avenir Next" w:cs="Arial"/>
          <w:sz w:val="22"/>
          <w:szCs w:val="22"/>
          <w:lang w:val="en-GB"/>
        </w:rPr>
      </w:pPr>
      <w:r w:rsidRPr="006C1C92">
        <w:rPr>
          <w:rFonts w:ascii="Avenir Next" w:hAnsi="Avenir Next" w:cs="Arial"/>
          <w:sz w:val="22"/>
          <w:szCs w:val="22"/>
          <w:lang w:val="en-GB"/>
        </w:rPr>
        <w:t>to enable the debtor to make a fresh start when the debtor may be less blameworthy for his state of affairs</w:t>
      </w:r>
      <w:r w:rsidR="008A48A7">
        <w:rPr>
          <w:rFonts w:ascii="Avenir Next" w:hAnsi="Avenir Next" w:cs="Arial"/>
          <w:sz w:val="22"/>
          <w:szCs w:val="22"/>
          <w:lang w:val="en-GB"/>
        </w:rPr>
        <w:t>;</w:t>
      </w:r>
    </w:p>
    <w:p w14:paraId="35852508" w14:textId="09B73F0D" w:rsidR="00884B9A" w:rsidRDefault="006C1C92" w:rsidP="002B13E5">
      <w:pPr>
        <w:pStyle w:val="ListParagraph"/>
        <w:numPr>
          <w:ilvl w:val="0"/>
          <w:numId w:val="28"/>
        </w:numPr>
        <w:jc w:val="both"/>
        <w:rPr>
          <w:rFonts w:ascii="Avenir Next" w:hAnsi="Avenir Next" w:cs="Arial"/>
          <w:sz w:val="22"/>
          <w:szCs w:val="22"/>
          <w:lang w:val="en-GB"/>
        </w:rPr>
      </w:pPr>
      <w:r w:rsidRPr="006C1C92">
        <w:rPr>
          <w:rFonts w:ascii="Avenir Next" w:hAnsi="Avenir Next" w:cs="Arial"/>
          <w:sz w:val="22"/>
          <w:szCs w:val="22"/>
          <w:lang w:val="en-GB"/>
        </w:rPr>
        <w:t xml:space="preserve">to reduce indebtedness by making contributions from present </w:t>
      </w:r>
      <w:r>
        <w:rPr>
          <w:rFonts w:ascii="Avenir Next" w:hAnsi="Avenir Next" w:cs="Arial"/>
          <w:sz w:val="22"/>
          <w:szCs w:val="22"/>
          <w:lang w:val="en-GB"/>
        </w:rPr>
        <w:t>and future income to the estate while at estate while at simultaneously taking his personal circumstances into account.</w:t>
      </w:r>
      <w:r w:rsidR="00974CBC">
        <w:rPr>
          <w:rStyle w:val="FootnoteReference"/>
          <w:rFonts w:ascii="Avenir Next" w:hAnsi="Avenir Next" w:cs="Arial"/>
          <w:sz w:val="22"/>
          <w:szCs w:val="22"/>
          <w:lang w:val="en-GB"/>
        </w:rPr>
        <w:footnoteReference w:id="7"/>
      </w:r>
    </w:p>
    <w:p w14:paraId="1AE2B447" w14:textId="3EB45A65" w:rsidR="006C1C92" w:rsidRDefault="006C1C92" w:rsidP="006C1C92">
      <w:pPr>
        <w:jc w:val="both"/>
        <w:rPr>
          <w:rFonts w:ascii="Avenir Next" w:hAnsi="Avenir Next" w:cs="Arial"/>
          <w:sz w:val="22"/>
          <w:szCs w:val="22"/>
          <w:lang w:val="en-GB"/>
        </w:rPr>
      </w:pPr>
      <w:r>
        <w:rPr>
          <w:rFonts w:ascii="Avenir Next" w:hAnsi="Avenir Next" w:cs="Arial"/>
          <w:sz w:val="22"/>
          <w:szCs w:val="22"/>
          <w:lang w:val="en-GB"/>
        </w:rPr>
        <w:t>For a corporation the differences regarding objectives</w:t>
      </w:r>
      <w:r w:rsidR="008A48A7">
        <w:rPr>
          <w:rFonts w:ascii="Avenir Next" w:hAnsi="Avenir Next" w:cs="Arial"/>
          <w:sz w:val="22"/>
          <w:szCs w:val="22"/>
          <w:lang w:val="en-GB"/>
        </w:rPr>
        <w:t xml:space="preserve"> of insolvency</w:t>
      </w:r>
      <w:r>
        <w:rPr>
          <w:rFonts w:ascii="Avenir Next" w:hAnsi="Avenir Next" w:cs="Arial"/>
          <w:sz w:val="22"/>
          <w:szCs w:val="22"/>
          <w:lang w:val="en-GB"/>
        </w:rPr>
        <w:t xml:space="preserve"> are:-</w:t>
      </w:r>
    </w:p>
    <w:p w14:paraId="27FC9D13" w14:textId="29D7AA08" w:rsidR="008A48A7" w:rsidRDefault="008A48A7" w:rsidP="008A48A7">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Try to save the business or viable parts, where it may be possible, it may not be the company;</w:t>
      </w:r>
    </w:p>
    <w:p w14:paraId="39EDBC93" w14:textId="68A047B4" w:rsidR="008A48A7" w:rsidRPr="008A48A7" w:rsidRDefault="008A48A7" w:rsidP="008A48A7">
      <w:pPr>
        <w:pStyle w:val="ListParagraph"/>
        <w:numPr>
          <w:ilvl w:val="0"/>
          <w:numId w:val="29"/>
        </w:numPr>
        <w:jc w:val="both"/>
        <w:rPr>
          <w:rFonts w:ascii="Avenir Next" w:hAnsi="Avenir Next" w:cs="Arial"/>
          <w:sz w:val="22"/>
          <w:szCs w:val="22"/>
          <w:lang w:val="en-GB"/>
        </w:rPr>
      </w:pPr>
      <w:r>
        <w:rPr>
          <w:rFonts w:ascii="Avenir Next" w:hAnsi="Avenir Next" w:cs="Arial"/>
          <w:sz w:val="22"/>
          <w:szCs w:val="22"/>
          <w:lang w:val="en-GB"/>
        </w:rPr>
        <w:t>If there were any abuse by Directors or Officers, personal liability on the responsible person can be imposed.</w:t>
      </w:r>
      <w:r w:rsidR="00B55E6B">
        <w:rPr>
          <w:rStyle w:val="FootnoteReference"/>
          <w:rFonts w:ascii="Avenir Next" w:hAnsi="Avenir Next" w:cs="Arial"/>
          <w:sz w:val="22"/>
          <w:szCs w:val="22"/>
          <w:lang w:val="en-GB"/>
        </w:rPr>
        <w:footnoteReference w:id="8"/>
      </w:r>
    </w:p>
    <w:p w14:paraId="6584022B" w14:textId="77777777" w:rsidR="006C1C92" w:rsidRPr="006C1C92" w:rsidRDefault="006C1C92" w:rsidP="006C1C92">
      <w:pPr>
        <w:jc w:val="both"/>
        <w:rPr>
          <w:rFonts w:ascii="Avenir Next" w:hAnsi="Avenir Next" w:cs="Arial"/>
          <w:sz w:val="22"/>
          <w:szCs w:val="22"/>
          <w:lang w:val="en-GB"/>
        </w:rPr>
      </w:pPr>
    </w:p>
    <w:p w14:paraId="32052F33" w14:textId="77777777" w:rsidR="006C1C92" w:rsidRPr="006C1C92" w:rsidRDefault="006C1C92" w:rsidP="006C1C92">
      <w:pPr>
        <w:pStyle w:val="ListParagraph"/>
        <w:jc w:val="both"/>
        <w:rPr>
          <w:rFonts w:ascii="Avenir Next" w:hAnsi="Avenir Next" w:cs="Arial"/>
          <w:sz w:val="22"/>
          <w:szCs w:val="22"/>
          <w:lang w:val="en-GB"/>
        </w:rPr>
      </w:pPr>
    </w:p>
    <w:p w14:paraId="2EECB210" w14:textId="77777777" w:rsidR="00884B9A" w:rsidRPr="00827D56" w:rsidRDefault="00884B9A"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171A370C"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B573AAE" w:rsidR="00DF75F8" w:rsidRDefault="00DF75F8" w:rsidP="00C053F7">
      <w:pPr>
        <w:jc w:val="both"/>
        <w:rPr>
          <w:rFonts w:ascii="Avenir Next" w:hAnsi="Avenir Next" w:cs="Arial"/>
          <w:sz w:val="22"/>
          <w:szCs w:val="22"/>
          <w:lang w:val="en-GB"/>
        </w:rPr>
      </w:pPr>
    </w:p>
    <w:p w14:paraId="792CB224" w14:textId="4C3F4946" w:rsidR="00371A8D" w:rsidRDefault="00371A8D" w:rsidP="00C053F7">
      <w:pPr>
        <w:jc w:val="both"/>
        <w:rPr>
          <w:rFonts w:ascii="Avenir Next" w:hAnsi="Avenir Next" w:cs="Arial"/>
          <w:sz w:val="22"/>
          <w:szCs w:val="22"/>
          <w:lang w:val="en-GB"/>
        </w:rPr>
      </w:pPr>
      <w:r>
        <w:rPr>
          <w:rFonts w:ascii="Avenir Next" w:hAnsi="Avenir Next" w:cs="Arial"/>
          <w:sz w:val="22"/>
          <w:szCs w:val="22"/>
          <w:lang w:val="en-GB"/>
        </w:rPr>
        <w:t>Due to the growth in the international trade and investment the corp</w:t>
      </w:r>
      <w:r w:rsidR="00FF31A4">
        <w:rPr>
          <w:rFonts w:ascii="Avenir Next" w:hAnsi="Avenir Next" w:cs="Arial"/>
          <w:sz w:val="22"/>
          <w:szCs w:val="22"/>
          <w:lang w:val="en-GB"/>
        </w:rPr>
        <w:t>or</w:t>
      </w:r>
      <w:r>
        <w:rPr>
          <w:rFonts w:ascii="Avenir Next" w:hAnsi="Avenir Next" w:cs="Arial"/>
          <w:sz w:val="22"/>
          <w:szCs w:val="22"/>
          <w:lang w:val="en-GB"/>
        </w:rPr>
        <w:t xml:space="preserve">ate entities have increased incidence having businesses, </w:t>
      </w:r>
      <w:r w:rsidR="00694B2E">
        <w:rPr>
          <w:rFonts w:ascii="Avenir Next" w:hAnsi="Avenir Next" w:cs="Arial"/>
          <w:sz w:val="22"/>
          <w:szCs w:val="22"/>
          <w:lang w:val="en-GB"/>
        </w:rPr>
        <w:t>assets,</w:t>
      </w:r>
      <w:r>
        <w:rPr>
          <w:rFonts w:ascii="Avenir Next" w:hAnsi="Avenir Next" w:cs="Arial"/>
          <w:sz w:val="22"/>
          <w:szCs w:val="22"/>
          <w:lang w:val="en-GB"/>
        </w:rPr>
        <w:t xml:space="preserve"> debtors and creditors in more than one country</w:t>
      </w:r>
      <w:r w:rsidR="007806D0">
        <w:rPr>
          <w:rFonts w:ascii="Avenir Next" w:hAnsi="Avenir Next" w:cs="Arial"/>
          <w:sz w:val="22"/>
          <w:szCs w:val="22"/>
          <w:lang w:val="en-GB"/>
        </w:rPr>
        <w:t xml:space="preserve">. The disadvantage of this global </w:t>
      </w:r>
      <w:r w:rsidR="00694B2E">
        <w:rPr>
          <w:rFonts w:ascii="Avenir Next" w:hAnsi="Avenir Next" w:cs="Arial"/>
          <w:sz w:val="22"/>
          <w:szCs w:val="22"/>
          <w:lang w:val="en-GB"/>
        </w:rPr>
        <w:t>marketplace</w:t>
      </w:r>
      <w:r w:rsidR="007806D0">
        <w:rPr>
          <w:rFonts w:ascii="Avenir Next" w:hAnsi="Avenir Next" w:cs="Arial"/>
          <w:sz w:val="22"/>
          <w:szCs w:val="22"/>
          <w:lang w:val="en-GB"/>
        </w:rPr>
        <w:t xml:space="preserve"> is that it brings a corresponding risk of cross border insolvency with business failure.</w:t>
      </w:r>
    </w:p>
    <w:p w14:paraId="6C8F6E61" w14:textId="558A6B49" w:rsidR="00371A8D" w:rsidRDefault="00371A8D" w:rsidP="00C053F7">
      <w:pPr>
        <w:jc w:val="both"/>
        <w:rPr>
          <w:rFonts w:ascii="Avenir Next" w:hAnsi="Avenir Next" w:cs="Arial"/>
          <w:sz w:val="22"/>
          <w:szCs w:val="22"/>
          <w:lang w:val="en-GB"/>
        </w:rPr>
      </w:pPr>
    </w:p>
    <w:p w14:paraId="4818859A" w14:textId="1F5293B8" w:rsidR="007806D0" w:rsidRPr="00786508" w:rsidRDefault="007806D0" w:rsidP="00C053F7">
      <w:pPr>
        <w:jc w:val="both"/>
        <w:rPr>
          <w:rFonts w:ascii="Arial" w:hAnsi="Arial" w:cs="Arial"/>
          <w:sz w:val="22"/>
          <w:szCs w:val="22"/>
        </w:rPr>
      </w:pPr>
      <w:r w:rsidRPr="00786508">
        <w:rPr>
          <w:rFonts w:ascii="Arial" w:hAnsi="Arial" w:cs="Arial"/>
          <w:sz w:val="22"/>
          <w:szCs w:val="22"/>
        </w:rPr>
        <w:t>Cross Border insolvency proceedings can be inefficient in that it can be prolonged and expensive due to the following</w:t>
      </w:r>
      <w:r w:rsidR="00B55E6B">
        <w:rPr>
          <w:rStyle w:val="FootnoteReference"/>
          <w:rFonts w:ascii="Arial" w:hAnsi="Arial" w:cs="Arial"/>
          <w:sz w:val="22"/>
          <w:szCs w:val="22"/>
        </w:rPr>
        <w:footnoteReference w:id="9"/>
      </w:r>
      <w:r w:rsidRPr="00786508">
        <w:rPr>
          <w:rFonts w:ascii="Arial" w:hAnsi="Arial" w:cs="Arial"/>
          <w:sz w:val="22"/>
          <w:szCs w:val="22"/>
        </w:rPr>
        <w:t>:</w:t>
      </w:r>
    </w:p>
    <w:p w14:paraId="3F14B354" w14:textId="623E345E" w:rsidR="007806D0" w:rsidRPr="00786508" w:rsidRDefault="007806D0" w:rsidP="007806D0">
      <w:pPr>
        <w:pStyle w:val="ListParagraph"/>
        <w:numPr>
          <w:ilvl w:val="0"/>
          <w:numId w:val="31"/>
        </w:numPr>
        <w:jc w:val="both"/>
        <w:rPr>
          <w:rFonts w:ascii="Arial" w:hAnsi="Arial" w:cs="Arial"/>
          <w:sz w:val="22"/>
          <w:szCs w:val="22"/>
          <w:lang w:val="en-GB"/>
        </w:rPr>
      </w:pPr>
      <w:r w:rsidRPr="00786508">
        <w:rPr>
          <w:rFonts w:ascii="Arial" w:hAnsi="Arial" w:cs="Arial"/>
          <w:sz w:val="22"/>
          <w:szCs w:val="22"/>
        </w:rPr>
        <w:t xml:space="preserve">Rules in different languages in different countries; </w:t>
      </w:r>
      <w:r w:rsidRPr="00786508">
        <w:rPr>
          <w:rFonts w:ascii="Arial" w:hAnsi="Arial" w:cs="Arial"/>
          <w:sz w:val="22"/>
          <w:szCs w:val="22"/>
          <w:lang w:val="en-GB"/>
        </w:rPr>
        <w:t>The difficulties faced in finding a common insolvency language</w:t>
      </w:r>
      <w:r w:rsidRPr="00786508">
        <w:rPr>
          <w:rFonts w:ascii="Arial" w:hAnsi="Arial" w:cs="Arial"/>
          <w:sz w:val="22"/>
          <w:szCs w:val="22"/>
          <w:lang w:val="en-GB"/>
        </w:rPr>
        <w:t>.</w:t>
      </w:r>
    </w:p>
    <w:p w14:paraId="6AEDA306" w14:textId="445AEDCC" w:rsidR="007806D0" w:rsidRPr="00786508" w:rsidRDefault="007806D0" w:rsidP="007806D0">
      <w:pPr>
        <w:pStyle w:val="ListParagraph"/>
        <w:numPr>
          <w:ilvl w:val="0"/>
          <w:numId w:val="30"/>
        </w:numPr>
        <w:jc w:val="both"/>
        <w:rPr>
          <w:rFonts w:ascii="Arial" w:hAnsi="Arial" w:cs="Arial"/>
          <w:sz w:val="22"/>
          <w:szCs w:val="22"/>
        </w:rPr>
      </w:pPr>
      <w:r w:rsidRPr="00786508">
        <w:rPr>
          <w:rFonts w:ascii="Arial" w:hAnsi="Arial" w:cs="Arial"/>
          <w:sz w:val="22"/>
          <w:szCs w:val="22"/>
        </w:rPr>
        <w:t xml:space="preserve">Different legal systems not necessarily uniform and </w:t>
      </w:r>
      <w:r w:rsidR="00694B2E" w:rsidRPr="00786508">
        <w:rPr>
          <w:rFonts w:ascii="Arial" w:hAnsi="Arial" w:cs="Arial"/>
          <w:sz w:val="22"/>
          <w:szCs w:val="22"/>
        </w:rPr>
        <w:t>consistent;</w:t>
      </w:r>
    </w:p>
    <w:p w14:paraId="582E3FA7" w14:textId="087C016B" w:rsidR="007806D0" w:rsidRPr="00786508" w:rsidRDefault="007806D0" w:rsidP="007806D0">
      <w:pPr>
        <w:pStyle w:val="ListParagraph"/>
        <w:numPr>
          <w:ilvl w:val="0"/>
          <w:numId w:val="30"/>
        </w:numPr>
        <w:jc w:val="both"/>
        <w:rPr>
          <w:rFonts w:ascii="Arial" w:hAnsi="Arial" w:cs="Arial"/>
          <w:sz w:val="22"/>
          <w:szCs w:val="22"/>
        </w:rPr>
      </w:pPr>
      <w:r w:rsidRPr="00786508">
        <w:rPr>
          <w:rFonts w:ascii="Arial" w:hAnsi="Arial" w:cs="Arial"/>
          <w:sz w:val="22"/>
          <w:szCs w:val="22"/>
        </w:rPr>
        <w:t>Insolvency proceedings are governed by many jurisdictions;</w:t>
      </w:r>
      <w:r w:rsidR="0033579A" w:rsidRPr="00786508">
        <w:rPr>
          <w:rFonts w:ascii="Arial" w:hAnsi="Arial" w:cs="Arial"/>
          <w:sz w:val="22"/>
          <w:szCs w:val="22"/>
        </w:rPr>
        <w:t xml:space="preserve"> decisions on which jurisdictions may proceedings be implemented.</w:t>
      </w:r>
    </w:p>
    <w:p w14:paraId="36960500" w14:textId="0AFA3083" w:rsidR="007806D0" w:rsidRPr="00786508" w:rsidRDefault="007806D0" w:rsidP="007806D0">
      <w:pPr>
        <w:pStyle w:val="ListParagraph"/>
        <w:numPr>
          <w:ilvl w:val="0"/>
          <w:numId w:val="30"/>
        </w:numPr>
        <w:jc w:val="both"/>
        <w:rPr>
          <w:rFonts w:ascii="Arial" w:hAnsi="Arial" w:cs="Arial"/>
          <w:sz w:val="22"/>
          <w:szCs w:val="22"/>
        </w:rPr>
      </w:pPr>
      <w:r w:rsidRPr="00786508">
        <w:rPr>
          <w:rFonts w:ascii="Arial" w:hAnsi="Arial" w:cs="Arial"/>
          <w:sz w:val="22"/>
          <w:szCs w:val="22"/>
        </w:rPr>
        <w:t>Various conflict of law issues arises, recognition of courts decisions and regulations of foreign jurisdictions;</w:t>
      </w:r>
      <w:r w:rsidR="0033579A" w:rsidRPr="00786508">
        <w:rPr>
          <w:rFonts w:ascii="Arial" w:hAnsi="Arial" w:cs="Arial"/>
          <w:sz w:val="22"/>
          <w:szCs w:val="22"/>
        </w:rPr>
        <w:t xml:space="preserve"> may have an impact on the position of the creditor and may be more complex.</w:t>
      </w:r>
    </w:p>
    <w:p w14:paraId="55D87D82" w14:textId="6727F7D0" w:rsidR="007806D0" w:rsidRPr="00786508" w:rsidRDefault="007806D0" w:rsidP="007806D0">
      <w:pPr>
        <w:pStyle w:val="ListParagraph"/>
        <w:numPr>
          <w:ilvl w:val="0"/>
          <w:numId w:val="30"/>
        </w:numPr>
        <w:jc w:val="both"/>
        <w:rPr>
          <w:rFonts w:ascii="Arial" w:hAnsi="Arial" w:cs="Arial"/>
          <w:sz w:val="22"/>
          <w:szCs w:val="22"/>
        </w:rPr>
      </w:pPr>
      <w:r w:rsidRPr="00786508">
        <w:rPr>
          <w:rFonts w:ascii="Arial" w:hAnsi="Arial" w:cs="Arial"/>
          <w:sz w:val="22"/>
          <w:szCs w:val="22"/>
        </w:rPr>
        <w:t>Enforcement</w:t>
      </w:r>
      <w:r w:rsidR="0033579A" w:rsidRPr="00786508">
        <w:rPr>
          <w:rFonts w:ascii="Arial" w:hAnsi="Arial" w:cs="Arial"/>
          <w:sz w:val="22"/>
          <w:szCs w:val="22"/>
        </w:rPr>
        <w:t xml:space="preserve">, what </w:t>
      </w:r>
      <w:r w:rsidR="002E7DA6" w:rsidRPr="00786508">
        <w:rPr>
          <w:rFonts w:ascii="Arial" w:hAnsi="Arial" w:cs="Arial"/>
          <w:sz w:val="22"/>
          <w:szCs w:val="22"/>
        </w:rPr>
        <w:t xml:space="preserve">international effects that may be accorded to proceedings conducted at the applicable forum. </w:t>
      </w:r>
    </w:p>
    <w:p w14:paraId="263D2D90" w14:textId="77777777" w:rsidR="007806D0" w:rsidRPr="00786508" w:rsidRDefault="007806D0" w:rsidP="007806D0">
      <w:pPr>
        <w:pStyle w:val="ListParagraph"/>
        <w:jc w:val="both"/>
        <w:rPr>
          <w:rFonts w:ascii="Arial" w:hAnsi="Arial" w:cs="Arial"/>
          <w:sz w:val="22"/>
          <w:szCs w:val="22"/>
        </w:rPr>
      </w:pPr>
    </w:p>
    <w:p w14:paraId="0DC64D87" w14:textId="0B98E6A0" w:rsidR="00371A8D" w:rsidRPr="00786508" w:rsidRDefault="00371A8D" w:rsidP="00C053F7">
      <w:pPr>
        <w:jc w:val="both"/>
        <w:rPr>
          <w:rFonts w:ascii="Arial" w:hAnsi="Arial" w:cs="Arial"/>
          <w:sz w:val="22"/>
          <w:szCs w:val="22"/>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33F30628"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r w:rsidR="009E316B">
        <w:rPr>
          <w:rFonts w:ascii="Avenir Next" w:hAnsi="Avenir Next" w:cs="Arial"/>
          <w:sz w:val="22"/>
          <w:szCs w:val="22"/>
          <w:lang w:val="en-GB"/>
        </w:rPr>
        <w:t xml:space="preserve"> </w:t>
      </w:r>
    </w:p>
    <w:p w14:paraId="09C25253" w14:textId="77777777" w:rsidR="00694B2E" w:rsidRDefault="00694B2E" w:rsidP="006661B8">
      <w:pPr>
        <w:ind w:left="567" w:hanging="720"/>
        <w:jc w:val="both"/>
        <w:rPr>
          <w:rFonts w:ascii="Avenir Next" w:hAnsi="Avenir Next" w:cs="Arial"/>
          <w:sz w:val="22"/>
          <w:szCs w:val="22"/>
          <w:lang w:val="en-GB"/>
        </w:rPr>
      </w:pPr>
    </w:p>
    <w:p w14:paraId="7CC8C8D4" w14:textId="77777777" w:rsidR="00694B2E" w:rsidRDefault="00694B2E" w:rsidP="006661B8">
      <w:pPr>
        <w:ind w:left="567" w:hanging="720"/>
        <w:jc w:val="both"/>
        <w:rPr>
          <w:rFonts w:ascii="Avenir Next" w:hAnsi="Avenir Next" w:cs="Arial"/>
          <w:sz w:val="22"/>
          <w:szCs w:val="22"/>
          <w:lang w:val="en-GB"/>
        </w:rPr>
      </w:pPr>
    </w:p>
    <w:p w14:paraId="131BB8DC" w14:textId="128C54EE" w:rsidR="00E1292C" w:rsidRDefault="00731070" w:rsidP="00694B2E">
      <w:pPr>
        <w:ind w:left="567" w:hanging="567"/>
        <w:jc w:val="both"/>
        <w:rPr>
          <w:rFonts w:ascii="Avenir Next" w:hAnsi="Avenir Next" w:cs="Arial"/>
          <w:sz w:val="22"/>
          <w:szCs w:val="22"/>
          <w:lang w:val="en-GB"/>
        </w:rPr>
      </w:pPr>
      <w:r>
        <w:rPr>
          <w:rFonts w:ascii="Avenir Next" w:hAnsi="Avenir Next" w:cs="Arial"/>
          <w:sz w:val="22"/>
          <w:szCs w:val="22"/>
          <w:lang w:val="en-GB"/>
        </w:rPr>
        <w:t>UNCITRAL</w:t>
      </w:r>
      <w:r w:rsidR="009E316B">
        <w:rPr>
          <w:rFonts w:ascii="Avenir Next" w:hAnsi="Avenir Next" w:cs="Arial"/>
          <w:sz w:val="22"/>
          <w:szCs w:val="22"/>
          <w:lang w:val="en-GB"/>
        </w:rPr>
        <w:t xml:space="preserve"> prom</w:t>
      </w:r>
      <w:r w:rsidR="007E06B1">
        <w:rPr>
          <w:rFonts w:ascii="Avenir Next" w:hAnsi="Avenir Next" w:cs="Arial"/>
          <w:sz w:val="22"/>
          <w:szCs w:val="22"/>
          <w:lang w:val="en-GB"/>
        </w:rPr>
        <w:t xml:space="preserve">ulgated a </w:t>
      </w:r>
      <w:r w:rsidR="007E06B1" w:rsidRPr="007E06B1">
        <w:rPr>
          <w:rFonts w:ascii="Avenir Next" w:hAnsi="Avenir Next" w:cs="Arial"/>
          <w:i/>
          <w:iCs/>
          <w:sz w:val="22"/>
          <w:szCs w:val="22"/>
          <w:lang w:val="en-GB"/>
        </w:rPr>
        <w:t>Legislative Guide on Insolvency Law</w:t>
      </w:r>
      <w:r w:rsidR="007E06B1">
        <w:rPr>
          <w:rFonts w:ascii="Avenir Next" w:hAnsi="Avenir Next" w:cs="Arial"/>
          <w:sz w:val="22"/>
          <w:szCs w:val="22"/>
          <w:lang w:val="en-GB"/>
        </w:rPr>
        <w:t xml:space="preserve"> in 2004. </w:t>
      </w:r>
      <w:r w:rsidR="00B55E6B">
        <w:rPr>
          <w:rStyle w:val="FootnoteReference"/>
          <w:rFonts w:ascii="Avenir Next" w:hAnsi="Avenir Next" w:cs="Arial"/>
          <w:sz w:val="22"/>
          <w:szCs w:val="22"/>
          <w:lang w:val="en-GB"/>
        </w:rPr>
        <w:footnoteReference w:id="10"/>
      </w:r>
    </w:p>
    <w:p w14:paraId="3BBA1C48" w14:textId="644203C8" w:rsidR="009E316B" w:rsidRDefault="007E06B1" w:rsidP="00694B2E">
      <w:pPr>
        <w:jc w:val="both"/>
        <w:rPr>
          <w:rFonts w:ascii="Avenir Next" w:hAnsi="Avenir Next" w:cs="Arial"/>
          <w:sz w:val="22"/>
          <w:szCs w:val="22"/>
          <w:lang w:val="en-GB"/>
        </w:rPr>
      </w:pPr>
      <w:r>
        <w:rPr>
          <w:rFonts w:ascii="Avenir Next" w:hAnsi="Avenir Next" w:cs="Arial"/>
          <w:sz w:val="22"/>
          <w:szCs w:val="22"/>
          <w:lang w:val="en-GB"/>
        </w:rPr>
        <w:t xml:space="preserve">The World Bank also produced guidelines on regulations of insolvency, </w:t>
      </w:r>
      <w:r w:rsidRPr="007E06B1">
        <w:rPr>
          <w:rFonts w:ascii="Avenir Next" w:hAnsi="Avenir Next" w:cs="Arial"/>
          <w:i/>
          <w:iCs/>
          <w:sz w:val="22"/>
          <w:szCs w:val="22"/>
          <w:lang w:val="en-GB"/>
        </w:rPr>
        <w:t>Principles for Effective Insolvency and Creditor/Debtor Regimes</w:t>
      </w:r>
      <w:r>
        <w:rPr>
          <w:rFonts w:ascii="Avenir Next" w:hAnsi="Avenir Next" w:cs="Arial"/>
          <w:i/>
          <w:iCs/>
          <w:sz w:val="22"/>
          <w:szCs w:val="22"/>
          <w:lang w:val="en-GB"/>
        </w:rPr>
        <w:t>.</w:t>
      </w:r>
      <w:r w:rsidR="00E1292C">
        <w:rPr>
          <w:rFonts w:ascii="Avenir Next" w:hAnsi="Avenir Next" w:cs="Arial"/>
          <w:i/>
          <w:iCs/>
          <w:sz w:val="22"/>
          <w:szCs w:val="22"/>
          <w:lang w:val="en-GB"/>
        </w:rPr>
        <w:t xml:space="preserve"> </w:t>
      </w:r>
      <w:r w:rsidR="00E1292C">
        <w:rPr>
          <w:rFonts w:ascii="Avenir Next" w:hAnsi="Avenir Next" w:cs="Arial"/>
          <w:sz w:val="22"/>
          <w:szCs w:val="22"/>
          <w:lang w:val="en-GB"/>
        </w:rPr>
        <w:t>These principles have been revised in 2005, 2011, 2015, and in April 2021. The International Monet</w:t>
      </w:r>
      <w:r w:rsidR="007B7A6D">
        <w:rPr>
          <w:rFonts w:ascii="Avenir Next" w:hAnsi="Avenir Next" w:cs="Arial"/>
          <w:sz w:val="22"/>
          <w:szCs w:val="22"/>
          <w:lang w:val="en-GB"/>
        </w:rPr>
        <w:t>a</w:t>
      </w:r>
      <w:r w:rsidR="00E1292C">
        <w:rPr>
          <w:rFonts w:ascii="Avenir Next" w:hAnsi="Avenir Next" w:cs="Arial"/>
          <w:sz w:val="22"/>
          <w:szCs w:val="22"/>
          <w:lang w:val="en-GB"/>
        </w:rPr>
        <w:t xml:space="preserve">ry Fund and the World Bank requires </w:t>
      </w:r>
      <w:r w:rsidR="007B7A6D">
        <w:rPr>
          <w:rFonts w:ascii="Avenir Next" w:hAnsi="Avenir Next" w:cs="Arial"/>
          <w:sz w:val="22"/>
          <w:szCs w:val="22"/>
          <w:lang w:val="en-GB"/>
        </w:rPr>
        <w:t>bankruptcy</w:t>
      </w:r>
      <w:r w:rsidR="00E1292C">
        <w:rPr>
          <w:rFonts w:ascii="Avenir Next" w:hAnsi="Avenir Next" w:cs="Arial"/>
          <w:sz w:val="22"/>
          <w:szCs w:val="22"/>
          <w:lang w:val="en-GB"/>
        </w:rPr>
        <w:t xml:space="preserve"> reforms sometimes in developing countries as a condition of loan support and these principles gains significance in that context. They refer countries to the Legislative Guide </w:t>
      </w:r>
      <w:r w:rsidR="00694B2E">
        <w:rPr>
          <w:rFonts w:ascii="Avenir Next" w:hAnsi="Avenir Next" w:cs="Arial"/>
          <w:sz w:val="22"/>
          <w:szCs w:val="22"/>
          <w:lang w:val="en-GB"/>
        </w:rPr>
        <w:t>on Insolvency</w:t>
      </w:r>
      <w:r w:rsidR="00E1292C">
        <w:rPr>
          <w:rFonts w:ascii="Avenir Next" w:hAnsi="Avenir Next" w:cs="Arial"/>
          <w:sz w:val="22"/>
          <w:szCs w:val="22"/>
          <w:lang w:val="en-GB"/>
        </w:rPr>
        <w:t xml:space="preserve"> Law and the World Bank principles which promotes a convergence of the insolvency laws. </w:t>
      </w:r>
    </w:p>
    <w:p w14:paraId="55DD94DD" w14:textId="77777777" w:rsidR="00E1292C" w:rsidRPr="00E1292C" w:rsidRDefault="00E1292C" w:rsidP="006661B8">
      <w:pPr>
        <w:ind w:left="567" w:hanging="720"/>
        <w:jc w:val="both"/>
        <w:rPr>
          <w:rFonts w:ascii="Avenir Next" w:hAnsi="Avenir Next" w:cs="Arial"/>
          <w:sz w:val="22"/>
          <w:szCs w:val="22"/>
          <w:lang w:val="en-GB"/>
        </w:rPr>
      </w:pPr>
    </w:p>
    <w:p w14:paraId="53A0DA1A" w14:textId="49398DB1" w:rsidR="007E06B1" w:rsidRDefault="00E1292C" w:rsidP="0093512B">
      <w:pPr>
        <w:jc w:val="both"/>
        <w:rPr>
          <w:rFonts w:ascii="Avenir Next" w:hAnsi="Avenir Next" w:cs="Arial"/>
          <w:sz w:val="22"/>
          <w:szCs w:val="22"/>
          <w:lang w:val="en-GB"/>
        </w:rPr>
      </w:pPr>
      <w:r w:rsidRPr="00E1292C">
        <w:rPr>
          <w:rFonts w:ascii="Avenir Next" w:hAnsi="Avenir Next" w:cs="Arial"/>
          <w:sz w:val="22"/>
          <w:szCs w:val="22"/>
          <w:lang w:val="en-GB"/>
        </w:rPr>
        <w:t>Legislative Guide on Insolvency Law</w:t>
      </w:r>
      <w:r w:rsidRPr="00E1292C">
        <w:rPr>
          <w:rFonts w:ascii="Avenir Next" w:hAnsi="Avenir Next" w:cs="Arial"/>
          <w:sz w:val="22"/>
          <w:szCs w:val="22"/>
          <w:lang w:val="en-GB"/>
        </w:rPr>
        <w:t xml:space="preserve"> and </w:t>
      </w:r>
      <w:r w:rsidRPr="00E1292C">
        <w:rPr>
          <w:rFonts w:ascii="Avenir Next" w:hAnsi="Avenir Next" w:cs="Arial"/>
          <w:sz w:val="22"/>
          <w:szCs w:val="22"/>
          <w:lang w:val="en-GB"/>
        </w:rPr>
        <w:t>Principles for Effective Insolvency and Creditor/Debtor Regimes</w:t>
      </w:r>
      <w:r>
        <w:rPr>
          <w:rFonts w:ascii="Avenir Next" w:hAnsi="Avenir Next" w:cs="Arial"/>
          <w:sz w:val="22"/>
          <w:szCs w:val="22"/>
          <w:lang w:val="en-GB"/>
        </w:rPr>
        <w:t xml:space="preserve"> forms the international best </w:t>
      </w:r>
      <w:r w:rsidR="00E132A4">
        <w:rPr>
          <w:rFonts w:ascii="Avenir Next" w:hAnsi="Avenir Next" w:cs="Arial"/>
          <w:sz w:val="22"/>
          <w:szCs w:val="22"/>
          <w:lang w:val="en-GB"/>
        </w:rPr>
        <w:t>practise</w:t>
      </w:r>
      <w:r>
        <w:rPr>
          <w:rFonts w:ascii="Avenir Next" w:hAnsi="Avenir Next" w:cs="Arial"/>
          <w:sz w:val="22"/>
          <w:szCs w:val="22"/>
          <w:lang w:val="en-GB"/>
        </w:rPr>
        <w:t xml:space="preserve"> standard for insolvency regimes.</w:t>
      </w:r>
    </w:p>
    <w:p w14:paraId="3FFDA667" w14:textId="00E594DD" w:rsidR="003A3807" w:rsidRDefault="003A3807" w:rsidP="006661B8">
      <w:pPr>
        <w:ind w:left="567" w:hanging="720"/>
        <w:jc w:val="both"/>
        <w:rPr>
          <w:rFonts w:ascii="Avenir Next" w:hAnsi="Avenir Next" w:cs="Arial"/>
          <w:sz w:val="22"/>
          <w:szCs w:val="22"/>
          <w:lang w:val="en-GB"/>
        </w:rPr>
      </w:pPr>
    </w:p>
    <w:p w14:paraId="12F3C15C" w14:textId="66507FAF" w:rsidR="003A3807" w:rsidRDefault="003A3807" w:rsidP="0093512B">
      <w:pPr>
        <w:jc w:val="both"/>
        <w:rPr>
          <w:rFonts w:ascii="Avenir Next" w:hAnsi="Avenir Next" w:cs="Arial"/>
          <w:sz w:val="22"/>
          <w:szCs w:val="22"/>
          <w:lang w:val="en-GB"/>
        </w:rPr>
      </w:pPr>
      <w:r>
        <w:rPr>
          <w:rFonts w:ascii="Avenir Next" w:hAnsi="Avenir Next" w:cs="Arial"/>
          <w:sz w:val="22"/>
          <w:szCs w:val="22"/>
          <w:lang w:val="en-GB"/>
        </w:rPr>
        <w:t xml:space="preserve">There are various international instruments </w:t>
      </w:r>
      <w:r w:rsidR="007B7A6D">
        <w:rPr>
          <w:rFonts w:ascii="Avenir Next" w:hAnsi="Avenir Next" w:cs="Arial"/>
          <w:sz w:val="22"/>
          <w:szCs w:val="22"/>
          <w:lang w:val="en-GB"/>
        </w:rPr>
        <w:t>that</w:t>
      </w:r>
      <w:r>
        <w:rPr>
          <w:rFonts w:ascii="Avenir Next" w:hAnsi="Avenir Next" w:cs="Arial"/>
          <w:sz w:val="22"/>
          <w:szCs w:val="22"/>
          <w:lang w:val="en-GB"/>
        </w:rPr>
        <w:t xml:space="preserve"> </w:t>
      </w:r>
      <w:r w:rsidR="007B7A6D">
        <w:rPr>
          <w:rFonts w:ascii="Avenir Next" w:hAnsi="Avenir Next" w:cs="Arial"/>
          <w:sz w:val="22"/>
          <w:szCs w:val="22"/>
          <w:lang w:val="en-GB"/>
        </w:rPr>
        <w:t>have</w:t>
      </w:r>
      <w:r>
        <w:rPr>
          <w:rFonts w:ascii="Avenir Next" w:hAnsi="Avenir Next" w:cs="Arial"/>
          <w:sz w:val="22"/>
          <w:szCs w:val="22"/>
          <w:lang w:val="en-GB"/>
        </w:rPr>
        <w:t xml:space="preserve"> been developed to encourage closer co-operation and co-ordination of  concurrent proceedings and promote recognition and enforcement, </w:t>
      </w:r>
      <w:proofErr w:type="spellStart"/>
      <w:r>
        <w:rPr>
          <w:rFonts w:ascii="Avenir Next" w:hAnsi="Avenir Next" w:cs="Arial"/>
          <w:sz w:val="22"/>
          <w:szCs w:val="22"/>
          <w:lang w:val="en-GB"/>
        </w:rPr>
        <w:t>eg</w:t>
      </w:r>
      <w:proofErr w:type="spellEnd"/>
      <w:r>
        <w:rPr>
          <w:rFonts w:ascii="Avenir Next" w:hAnsi="Avenir Next" w:cs="Arial"/>
          <w:sz w:val="22"/>
          <w:szCs w:val="22"/>
          <w:lang w:val="en-GB"/>
        </w:rPr>
        <w:t>, European guidelines on Communication and cooperation</w:t>
      </w:r>
      <w:r w:rsidR="00694B2E">
        <w:rPr>
          <w:rFonts w:ascii="Avenir Next" w:hAnsi="Avenir Next" w:cs="Arial"/>
          <w:sz w:val="22"/>
          <w:szCs w:val="22"/>
          <w:lang w:val="en-GB"/>
        </w:rPr>
        <w:t xml:space="preserve"> </w:t>
      </w:r>
      <w:r>
        <w:rPr>
          <w:rFonts w:ascii="Avenir Next" w:hAnsi="Avenir Next" w:cs="Arial"/>
          <w:sz w:val="22"/>
          <w:szCs w:val="22"/>
          <w:lang w:val="en-GB"/>
        </w:rPr>
        <w:t>(2007)</w:t>
      </w:r>
    </w:p>
    <w:p w14:paraId="2C4D9B79" w14:textId="20963B68" w:rsidR="003A3807" w:rsidRDefault="003A3807" w:rsidP="0093512B">
      <w:pPr>
        <w:jc w:val="both"/>
        <w:rPr>
          <w:rFonts w:ascii="Avenir Next" w:hAnsi="Avenir Next" w:cs="Arial"/>
          <w:sz w:val="22"/>
          <w:szCs w:val="22"/>
          <w:lang w:val="en-GB"/>
        </w:rPr>
      </w:pPr>
      <w:r>
        <w:rPr>
          <w:rFonts w:ascii="Avenir Next" w:hAnsi="Avenir Next" w:cs="Arial"/>
          <w:sz w:val="22"/>
          <w:szCs w:val="22"/>
          <w:lang w:val="en-GB"/>
        </w:rPr>
        <w:t xml:space="preserve">ALI – III Global Principles for cooperation in International Insolvency Cases and </w:t>
      </w:r>
      <w:r w:rsidR="007B7A6D">
        <w:rPr>
          <w:rFonts w:ascii="Avenir Next" w:hAnsi="Avenir Next" w:cs="Arial"/>
          <w:sz w:val="22"/>
          <w:szCs w:val="22"/>
          <w:lang w:val="en-GB"/>
        </w:rPr>
        <w:t>G</w:t>
      </w:r>
      <w:r>
        <w:rPr>
          <w:rFonts w:ascii="Avenir Next" w:hAnsi="Avenir Next" w:cs="Arial"/>
          <w:sz w:val="22"/>
          <w:szCs w:val="22"/>
          <w:lang w:val="en-GB"/>
        </w:rPr>
        <w:t>lobal Guidelines A</w:t>
      </w:r>
      <w:r w:rsidR="007B7A6D">
        <w:rPr>
          <w:rFonts w:ascii="Avenir Next" w:hAnsi="Avenir Next" w:cs="Arial"/>
          <w:sz w:val="22"/>
          <w:szCs w:val="22"/>
          <w:lang w:val="en-GB"/>
        </w:rPr>
        <w:t>pplicable</w:t>
      </w:r>
      <w:r>
        <w:rPr>
          <w:rFonts w:ascii="Avenir Next" w:hAnsi="Avenir Next" w:cs="Arial"/>
          <w:sz w:val="22"/>
          <w:szCs w:val="22"/>
          <w:lang w:val="en-GB"/>
        </w:rPr>
        <w:t xml:space="preserve"> to Court to Court Communication in Cross </w:t>
      </w:r>
      <w:r w:rsidR="00694B2E">
        <w:rPr>
          <w:rFonts w:ascii="Avenir Next" w:hAnsi="Avenir Next" w:cs="Arial"/>
          <w:sz w:val="22"/>
          <w:szCs w:val="22"/>
          <w:lang w:val="en-GB"/>
        </w:rPr>
        <w:t>Border Cases</w:t>
      </w:r>
      <w:r>
        <w:rPr>
          <w:rFonts w:ascii="Avenir Next" w:hAnsi="Avenir Next" w:cs="Arial"/>
          <w:sz w:val="22"/>
          <w:szCs w:val="22"/>
          <w:lang w:val="en-GB"/>
        </w:rPr>
        <w:t xml:space="preserve"> (2012).</w:t>
      </w:r>
    </w:p>
    <w:p w14:paraId="38523B83" w14:textId="77777777" w:rsidR="003A3807" w:rsidRDefault="003A3807" w:rsidP="003A3807">
      <w:pPr>
        <w:ind w:left="567" w:hanging="720"/>
        <w:jc w:val="both"/>
        <w:rPr>
          <w:rFonts w:ascii="Avenir Next" w:hAnsi="Avenir Next" w:cs="Arial"/>
          <w:sz w:val="22"/>
          <w:szCs w:val="22"/>
          <w:lang w:val="en-GB"/>
        </w:rPr>
      </w:pPr>
    </w:p>
    <w:p w14:paraId="028C94CA" w14:textId="77777777" w:rsidR="003A3807" w:rsidRDefault="003A3807" w:rsidP="006661B8">
      <w:pPr>
        <w:ind w:left="567" w:hanging="720"/>
        <w:jc w:val="both"/>
        <w:rPr>
          <w:rFonts w:ascii="Avenir Next" w:hAnsi="Avenir Next" w:cs="Arial"/>
          <w:sz w:val="22"/>
          <w:szCs w:val="22"/>
          <w:lang w:val="en-GB"/>
        </w:rPr>
      </w:pPr>
    </w:p>
    <w:p w14:paraId="32D70FEB" w14:textId="2DA538C5" w:rsidR="00E1292C" w:rsidRDefault="00E1292C" w:rsidP="006661B8">
      <w:pPr>
        <w:ind w:left="567" w:hanging="720"/>
        <w:jc w:val="both"/>
        <w:rPr>
          <w:rFonts w:ascii="Avenir Next" w:hAnsi="Avenir Next" w:cs="Arial"/>
          <w:sz w:val="22"/>
          <w:szCs w:val="22"/>
          <w:lang w:val="en-GB"/>
        </w:rPr>
      </w:pPr>
    </w:p>
    <w:p w14:paraId="01A2DF7D" w14:textId="0D3FFBF5" w:rsidR="003A3807" w:rsidRDefault="004C778A" w:rsidP="0093512B">
      <w:pPr>
        <w:jc w:val="both"/>
        <w:rPr>
          <w:rFonts w:ascii="Avenir Next" w:hAnsi="Avenir Next" w:cs="Arial"/>
          <w:sz w:val="22"/>
          <w:szCs w:val="22"/>
          <w:lang w:val="en-GB"/>
        </w:rPr>
      </w:pPr>
      <w:r>
        <w:rPr>
          <w:rFonts w:ascii="Avenir Next" w:hAnsi="Avenir Next" w:cs="Arial"/>
          <w:sz w:val="22"/>
          <w:szCs w:val="22"/>
          <w:lang w:val="en-GB"/>
        </w:rPr>
        <w:t xml:space="preserve">In my opinion there could be a significant impact on the </w:t>
      </w:r>
      <w:r>
        <w:rPr>
          <w:rFonts w:ascii="Avenir Next" w:hAnsi="Avenir Next" w:cs="Arial"/>
          <w:sz w:val="22"/>
          <w:szCs w:val="22"/>
          <w:lang w:val="en-GB"/>
        </w:rPr>
        <w:t>international</w:t>
      </w:r>
      <w:r>
        <w:rPr>
          <w:rFonts w:ascii="Avenir Next" w:hAnsi="Avenir Next" w:cs="Arial"/>
          <w:sz w:val="22"/>
          <w:szCs w:val="22"/>
          <w:lang w:val="en-GB"/>
        </w:rPr>
        <w:t xml:space="preserve"> insolvency issues </w:t>
      </w:r>
      <w:r w:rsidR="007B7A6D">
        <w:rPr>
          <w:rFonts w:ascii="Avenir Next" w:hAnsi="Avenir Next" w:cs="Arial"/>
          <w:sz w:val="22"/>
          <w:szCs w:val="22"/>
          <w:lang w:val="en-GB"/>
        </w:rPr>
        <w:t>due to the fact that</w:t>
      </w:r>
      <w:r w:rsidR="0093512B">
        <w:rPr>
          <w:rFonts w:ascii="Avenir Next" w:hAnsi="Avenir Next" w:cs="Arial"/>
          <w:sz w:val="22"/>
          <w:szCs w:val="22"/>
          <w:lang w:val="en-GB"/>
        </w:rPr>
        <w:t xml:space="preserve"> </w:t>
      </w:r>
      <w:r w:rsidR="007B7A6D">
        <w:rPr>
          <w:rFonts w:ascii="Avenir Next" w:hAnsi="Avenir Next" w:cs="Arial"/>
          <w:sz w:val="22"/>
          <w:szCs w:val="22"/>
          <w:lang w:val="en-GB"/>
        </w:rPr>
        <w:t>t</w:t>
      </w:r>
      <w:r>
        <w:rPr>
          <w:rFonts w:ascii="Avenir Next" w:hAnsi="Avenir Next" w:cs="Arial"/>
          <w:sz w:val="22"/>
          <w:szCs w:val="22"/>
          <w:lang w:val="en-GB"/>
        </w:rPr>
        <w:t>hese guidelines addresses issues that arise in international insolvency law and with the adoption of the UNCITRAL Model Law on cross border Insolvency</w:t>
      </w:r>
      <w:r w:rsidR="003A3807">
        <w:rPr>
          <w:rFonts w:ascii="Avenir Next" w:hAnsi="Avenir Next" w:cs="Arial"/>
          <w:sz w:val="22"/>
          <w:szCs w:val="22"/>
          <w:lang w:val="en-GB"/>
        </w:rPr>
        <w:t xml:space="preserve"> increasing by a number of states, this assists to achieve a more uniform </w:t>
      </w:r>
      <w:r w:rsidR="007B7A6D">
        <w:rPr>
          <w:rFonts w:ascii="Avenir Next" w:hAnsi="Avenir Next" w:cs="Arial"/>
          <w:sz w:val="22"/>
          <w:szCs w:val="22"/>
          <w:lang w:val="en-GB"/>
        </w:rPr>
        <w:t>recognition</w:t>
      </w:r>
      <w:r w:rsidR="003A3807">
        <w:rPr>
          <w:rFonts w:ascii="Avenir Next" w:hAnsi="Avenir Next" w:cs="Arial"/>
          <w:sz w:val="22"/>
          <w:szCs w:val="22"/>
          <w:lang w:val="en-GB"/>
        </w:rPr>
        <w:t xml:space="preserve"> laws across these states.</w:t>
      </w:r>
      <w:r w:rsidR="007B7A6D">
        <w:rPr>
          <w:rFonts w:ascii="Avenir Next" w:hAnsi="Avenir Next" w:cs="Arial"/>
          <w:sz w:val="22"/>
          <w:szCs w:val="22"/>
          <w:lang w:val="en-GB"/>
        </w:rPr>
        <w:t xml:space="preserve"> </w:t>
      </w:r>
    </w:p>
    <w:p w14:paraId="7F21873E" w14:textId="77777777" w:rsidR="00E1292C" w:rsidRPr="00E1292C" w:rsidRDefault="00E1292C" w:rsidP="006661B8">
      <w:pPr>
        <w:ind w:left="567"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BAC2B6B" w14:textId="63BE8A6B" w:rsidR="009B0723" w:rsidRPr="00827D56" w:rsidRDefault="00DF75F8" w:rsidP="00786508">
      <w:pPr>
        <w:keepNext/>
        <w:jc w:val="both"/>
        <w:rPr>
          <w:rFonts w:ascii="Avenir Next" w:hAnsi="Avenir Next" w:cs="Arial"/>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449DBE56" w14:textId="77777777" w:rsidR="0093512B" w:rsidRDefault="0093512B"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4361017E" w:rsidR="002F75A3" w:rsidRDefault="002F75A3" w:rsidP="00C053F7">
      <w:pPr>
        <w:jc w:val="both"/>
        <w:rPr>
          <w:rFonts w:ascii="Avenir Next" w:hAnsi="Avenir Next" w:cs="Arial"/>
          <w:sz w:val="22"/>
          <w:szCs w:val="22"/>
          <w:lang w:val="en-GB"/>
        </w:rPr>
      </w:pPr>
    </w:p>
    <w:p w14:paraId="7B830E0B" w14:textId="434A7BB5" w:rsidR="002A255B" w:rsidRDefault="002A255B" w:rsidP="00C053F7">
      <w:pPr>
        <w:jc w:val="both"/>
        <w:rPr>
          <w:rFonts w:ascii="Avenir Next" w:hAnsi="Avenir Next" w:cs="Arial"/>
          <w:sz w:val="22"/>
          <w:szCs w:val="22"/>
          <w:lang w:val="en-GB"/>
        </w:rPr>
      </w:pPr>
      <w:r>
        <w:rPr>
          <w:rFonts w:ascii="Avenir Next" w:hAnsi="Avenir Next" w:cs="Arial"/>
          <w:sz w:val="22"/>
          <w:szCs w:val="22"/>
          <w:lang w:val="en-GB"/>
        </w:rPr>
        <w:t xml:space="preserve">Consideration being given to the facts in the matter, the UNCITRAL Model Law on Cross Border Insolvency was adopted by Utopia without modification.  This means that the local laws relating to insolvency </w:t>
      </w:r>
      <w:r w:rsidR="007D3F4D">
        <w:rPr>
          <w:rFonts w:ascii="Avenir Next" w:hAnsi="Avenir Next" w:cs="Arial"/>
          <w:sz w:val="22"/>
          <w:szCs w:val="22"/>
          <w:lang w:val="en-GB"/>
        </w:rPr>
        <w:t xml:space="preserve">is being </w:t>
      </w:r>
      <w:r w:rsidR="00731070">
        <w:rPr>
          <w:rFonts w:ascii="Avenir Next" w:hAnsi="Avenir Next" w:cs="Arial"/>
          <w:sz w:val="22"/>
          <w:szCs w:val="22"/>
          <w:lang w:val="en-GB"/>
        </w:rPr>
        <w:t>applied.</w:t>
      </w:r>
      <w:r w:rsidR="001D1739">
        <w:rPr>
          <w:rFonts w:ascii="Avenir Next" w:hAnsi="Avenir Next" w:cs="Arial"/>
          <w:sz w:val="22"/>
          <w:szCs w:val="22"/>
          <w:lang w:val="en-GB"/>
        </w:rPr>
        <w:t xml:space="preserve"> </w:t>
      </w:r>
      <w:r w:rsidR="00B55E6B">
        <w:rPr>
          <w:rStyle w:val="FootnoteReference"/>
          <w:rFonts w:ascii="Avenir Next" w:hAnsi="Avenir Next" w:cs="Arial"/>
          <w:sz w:val="22"/>
          <w:szCs w:val="22"/>
          <w:lang w:val="en-GB"/>
        </w:rPr>
        <w:footnoteReference w:id="11"/>
      </w:r>
    </w:p>
    <w:p w14:paraId="5FB7A362" w14:textId="2303D02D" w:rsidR="002A255B" w:rsidRDefault="002A255B" w:rsidP="00C053F7">
      <w:pPr>
        <w:jc w:val="both"/>
        <w:rPr>
          <w:rFonts w:ascii="Avenir Next" w:hAnsi="Avenir Next" w:cs="Arial"/>
          <w:sz w:val="22"/>
          <w:szCs w:val="22"/>
          <w:lang w:val="en-GB"/>
        </w:rPr>
      </w:pPr>
    </w:p>
    <w:p w14:paraId="64562590" w14:textId="2B578221" w:rsidR="002A255B" w:rsidRDefault="002A255B" w:rsidP="00C053F7">
      <w:pPr>
        <w:jc w:val="both"/>
        <w:rPr>
          <w:rFonts w:ascii="Avenir Next" w:hAnsi="Avenir Next" w:cs="Arial"/>
          <w:sz w:val="22"/>
          <w:szCs w:val="22"/>
          <w:lang w:val="en-GB"/>
        </w:rPr>
      </w:pPr>
      <w:r>
        <w:rPr>
          <w:rFonts w:ascii="Avenir Next" w:hAnsi="Avenir Next" w:cs="Arial"/>
          <w:sz w:val="22"/>
          <w:szCs w:val="22"/>
          <w:lang w:val="en-GB"/>
        </w:rPr>
        <w:t xml:space="preserve">In absence of any domestic </w:t>
      </w:r>
      <w:r w:rsidR="007D3F4D">
        <w:rPr>
          <w:rFonts w:ascii="Avenir Next" w:hAnsi="Avenir Next" w:cs="Arial"/>
          <w:sz w:val="22"/>
          <w:szCs w:val="22"/>
          <w:lang w:val="en-GB"/>
        </w:rPr>
        <w:t xml:space="preserve">formal treaties, to address the problems arising from </w:t>
      </w:r>
      <w:r w:rsidR="00731070">
        <w:rPr>
          <w:rFonts w:ascii="Avenir Next" w:hAnsi="Avenir Next" w:cs="Arial"/>
          <w:sz w:val="22"/>
          <w:szCs w:val="22"/>
          <w:lang w:val="en-GB"/>
        </w:rPr>
        <w:t>international</w:t>
      </w:r>
      <w:r w:rsidR="007D3F4D">
        <w:rPr>
          <w:rFonts w:ascii="Avenir Next" w:hAnsi="Avenir Next" w:cs="Arial"/>
          <w:sz w:val="22"/>
          <w:szCs w:val="22"/>
          <w:lang w:val="en-GB"/>
        </w:rPr>
        <w:t xml:space="preserve"> insolvencies the UNCITRAL Practice Guide on Cross Border Insolvency Cooperation (2009) encourages insolvency practitioners to develop on a </w:t>
      </w:r>
      <w:r w:rsidR="00786508">
        <w:rPr>
          <w:rFonts w:ascii="Avenir Next" w:hAnsi="Avenir Next" w:cs="Arial"/>
          <w:sz w:val="22"/>
          <w:szCs w:val="22"/>
          <w:lang w:val="en-GB"/>
        </w:rPr>
        <w:t>case-by-case</w:t>
      </w:r>
      <w:r w:rsidR="007D3F4D">
        <w:rPr>
          <w:rFonts w:ascii="Avenir Next" w:hAnsi="Avenir Next" w:cs="Arial"/>
          <w:sz w:val="22"/>
          <w:szCs w:val="22"/>
          <w:lang w:val="en-GB"/>
        </w:rPr>
        <w:t xml:space="preserve"> basis, formulating strategies and techniques for resolving conflicts when the courts of different states </w:t>
      </w:r>
      <w:r w:rsidR="00786508">
        <w:rPr>
          <w:rFonts w:ascii="Avenir Next" w:hAnsi="Avenir Next" w:cs="Arial"/>
          <w:sz w:val="22"/>
          <w:szCs w:val="22"/>
          <w:lang w:val="en-GB"/>
        </w:rPr>
        <w:t>attempt</w:t>
      </w:r>
      <w:r w:rsidR="007D3F4D">
        <w:rPr>
          <w:rFonts w:ascii="Avenir Next" w:hAnsi="Avenir Next" w:cs="Arial"/>
          <w:sz w:val="22"/>
          <w:szCs w:val="22"/>
          <w:lang w:val="en-GB"/>
        </w:rPr>
        <w:t xml:space="preserve"> to apply different laws and try to enforce different requirements.</w:t>
      </w:r>
    </w:p>
    <w:p w14:paraId="282F08E2" w14:textId="617CE4D0" w:rsidR="00731070" w:rsidRDefault="001D1739" w:rsidP="00C053F7">
      <w:pPr>
        <w:jc w:val="both"/>
        <w:rPr>
          <w:rFonts w:ascii="Avenir Next" w:hAnsi="Avenir Next" w:cs="Arial"/>
          <w:sz w:val="22"/>
          <w:szCs w:val="22"/>
          <w:lang w:val="en-GB"/>
        </w:rPr>
      </w:pPr>
      <w:r>
        <w:rPr>
          <w:rFonts w:ascii="Avenir Next" w:hAnsi="Avenir Next" w:cs="Arial"/>
          <w:sz w:val="22"/>
          <w:szCs w:val="22"/>
          <w:lang w:val="en-GB"/>
        </w:rPr>
        <w:t xml:space="preserve">Whilst </w:t>
      </w:r>
      <w:r w:rsidR="007A0903">
        <w:rPr>
          <w:rFonts w:ascii="Avenir Next" w:hAnsi="Avenir Next" w:cs="Arial"/>
          <w:sz w:val="22"/>
          <w:szCs w:val="22"/>
          <w:lang w:val="en-GB"/>
        </w:rPr>
        <w:t xml:space="preserve"> these </w:t>
      </w:r>
      <w:r>
        <w:rPr>
          <w:rFonts w:ascii="Avenir Next" w:hAnsi="Avenir Next" w:cs="Arial"/>
          <w:sz w:val="22"/>
          <w:szCs w:val="22"/>
          <w:lang w:val="en-GB"/>
        </w:rPr>
        <w:t xml:space="preserve">agreements are not adopted in all </w:t>
      </w:r>
      <w:r w:rsidR="00845610">
        <w:rPr>
          <w:rFonts w:ascii="Avenir Next" w:hAnsi="Avenir Next" w:cs="Arial"/>
          <w:sz w:val="22"/>
          <w:szCs w:val="22"/>
          <w:lang w:val="en-GB"/>
        </w:rPr>
        <w:t>instances,</w:t>
      </w:r>
      <w:r>
        <w:rPr>
          <w:rFonts w:ascii="Avenir Next" w:hAnsi="Avenir Next" w:cs="Arial"/>
          <w:sz w:val="22"/>
          <w:szCs w:val="22"/>
          <w:lang w:val="en-GB"/>
        </w:rPr>
        <w:t xml:space="preserve"> even though proposed and some parties refused to participate</w:t>
      </w:r>
      <w:r w:rsidR="0079112C">
        <w:rPr>
          <w:rFonts w:ascii="Avenir Next" w:hAnsi="Avenir Next" w:cs="Arial"/>
          <w:sz w:val="22"/>
          <w:szCs w:val="22"/>
          <w:lang w:val="en-GB"/>
        </w:rPr>
        <w:t xml:space="preserve"> but </w:t>
      </w:r>
      <w:r w:rsidR="00786508">
        <w:rPr>
          <w:rFonts w:ascii="Avenir Next" w:hAnsi="Avenir Next" w:cs="Arial"/>
          <w:sz w:val="22"/>
          <w:szCs w:val="22"/>
          <w:lang w:val="en-GB"/>
        </w:rPr>
        <w:t>because</w:t>
      </w:r>
      <w:r w:rsidR="0079112C">
        <w:rPr>
          <w:rFonts w:ascii="Avenir Next" w:hAnsi="Avenir Next" w:cs="Arial"/>
          <w:sz w:val="22"/>
          <w:szCs w:val="22"/>
          <w:lang w:val="en-GB"/>
        </w:rPr>
        <w:t xml:space="preserve"> Utopia has adopted the </w:t>
      </w:r>
      <w:r w:rsidR="0079112C">
        <w:rPr>
          <w:rFonts w:ascii="Avenir Next" w:hAnsi="Avenir Next" w:cs="Arial"/>
          <w:sz w:val="22"/>
          <w:szCs w:val="22"/>
          <w:lang w:val="en-GB"/>
        </w:rPr>
        <w:t>UNCITRAL Model Law on Cross Border Insolvency</w:t>
      </w:r>
      <w:r w:rsidR="0079112C">
        <w:rPr>
          <w:rFonts w:ascii="Avenir Next" w:hAnsi="Avenir Next" w:cs="Arial"/>
          <w:sz w:val="22"/>
          <w:szCs w:val="22"/>
          <w:lang w:val="en-GB"/>
        </w:rPr>
        <w:t xml:space="preserve"> means that it can increasingly provide a framework for agreements to aid and co-operate and communicate.</w:t>
      </w:r>
    </w:p>
    <w:p w14:paraId="58AD6AE9" w14:textId="0FEB4D88" w:rsidR="0079112C" w:rsidRDefault="0079112C" w:rsidP="00C053F7">
      <w:pPr>
        <w:jc w:val="both"/>
        <w:rPr>
          <w:rFonts w:ascii="Avenir Next" w:hAnsi="Avenir Next" w:cs="Arial"/>
          <w:sz w:val="22"/>
          <w:szCs w:val="22"/>
          <w:lang w:val="en-GB"/>
        </w:rPr>
      </w:pPr>
    </w:p>
    <w:p w14:paraId="6E0808B0" w14:textId="0F62EE16" w:rsidR="0079112C" w:rsidRDefault="0011516B" w:rsidP="0079112C">
      <w:pPr>
        <w:jc w:val="both"/>
        <w:rPr>
          <w:rFonts w:ascii="Avenir Next" w:hAnsi="Avenir Next" w:cs="Arial"/>
          <w:sz w:val="22"/>
          <w:szCs w:val="22"/>
          <w:lang w:val="en-GB"/>
        </w:rPr>
      </w:pPr>
      <w:r>
        <w:rPr>
          <w:rFonts w:ascii="Avenir Next" w:hAnsi="Avenir Next" w:cs="Arial"/>
          <w:sz w:val="22"/>
          <w:szCs w:val="22"/>
          <w:lang w:val="en-GB"/>
        </w:rPr>
        <w:t xml:space="preserve">Nadir had its company incorporated in </w:t>
      </w:r>
      <w:r w:rsidRPr="00827D56">
        <w:rPr>
          <w:rFonts w:ascii="Avenir Next" w:hAnsi="Avenir Next" w:cs="Arial"/>
          <w:sz w:val="22"/>
          <w:szCs w:val="22"/>
          <w:lang w:val="en-GB"/>
        </w:rPr>
        <w:t>Erewhon</w:t>
      </w:r>
      <w:r>
        <w:rPr>
          <w:rFonts w:ascii="Avenir Next" w:hAnsi="Avenir Next" w:cs="Arial"/>
          <w:sz w:val="22"/>
          <w:szCs w:val="22"/>
          <w:lang w:val="en-GB"/>
        </w:rPr>
        <w:t xml:space="preserve"> before moving to Utopia </w:t>
      </w:r>
      <w:r>
        <w:rPr>
          <w:rFonts w:ascii="Avenir Next" w:hAnsi="Avenir Next" w:cs="Arial"/>
          <w:sz w:val="22"/>
          <w:szCs w:val="22"/>
          <w:lang w:val="en-GB"/>
        </w:rPr>
        <w:t>its registration and head office to Utopia one month ago.</w:t>
      </w:r>
      <w:r>
        <w:rPr>
          <w:rFonts w:ascii="Avenir Next" w:hAnsi="Avenir Next" w:cs="Arial"/>
          <w:sz w:val="22"/>
          <w:szCs w:val="22"/>
          <w:lang w:val="en-GB"/>
        </w:rPr>
        <w:t xml:space="preserve"> </w:t>
      </w:r>
      <w:r w:rsidR="0079112C">
        <w:rPr>
          <w:rFonts w:ascii="Avenir Next" w:hAnsi="Avenir Next" w:cs="Arial"/>
          <w:sz w:val="22"/>
          <w:szCs w:val="22"/>
          <w:lang w:val="en-GB"/>
        </w:rPr>
        <w:t>Due to Nadir moving its registration and head office to Utopia one month ago the COMI</w:t>
      </w:r>
      <w:r w:rsidR="0079112C">
        <w:rPr>
          <w:rFonts w:ascii="Avenir Next" w:hAnsi="Avenir Next" w:cs="Arial"/>
          <w:sz w:val="22"/>
          <w:szCs w:val="22"/>
          <w:lang w:val="en-GB"/>
        </w:rPr>
        <w:t xml:space="preserve"> must be </w:t>
      </w:r>
      <w:r w:rsidR="0079112C">
        <w:rPr>
          <w:rFonts w:ascii="Avenir Next" w:hAnsi="Avenir Next" w:cs="Arial"/>
          <w:sz w:val="22"/>
          <w:szCs w:val="22"/>
          <w:lang w:val="en-GB"/>
        </w:rPr>
        <w:t>determine</w:t>
      </w:r>
      <w:r w:rsidR="0079112C">
        <w:rPr>
          <w:rFonts w:ascii="Avenir Next" w:hAnsi="Avenir Next" w:cs="Arial"/>
          <w:sz w:val="22"/>
          <w:szCs w:val="22"/>
          <w:lang w:val="en-GB"/>
        </w:rPr>
        <w:t>d.</w:t>
      </w:r>
      <w:r w:rsidR="007A0903">
        <w:rPr>
          <w:rStyle w:val="FootnoteReference"/>
          <w:rFonts w:ascii="Avenir Next" w:hAnsi="Avenir Next" w:cs="Arial"/>
          <w:sz w:val="22"/>
          <w:szCs w:val="22"/>
          <w:lang w:val="en-GB"/>
        </w:rPr>
        <w:footnoteReference w:id="12"/>
      </w:r>
    </w:p>
    <w:p w14:paraId="45424BBD" w14:textId="77777777" w:rsidR="0079112C" w:rsidRDefault="0079112C" w:rsidP="0079112C">
      <w:pPr>
        <w:jc w:val="both"/>
        <w:rPr>
          <w:rFonts w:ascii="Avenir Next" w:hAnsi="Avenir Next" w:cs="Arial"/>
          <w:sz w:val="22"/>
          <w:szCs w:val="22"/>
          <w:lang w:val="en-GB"/>
        </w:rPr>
      </w:pPr>
    </w:p>
    <w:p w14:paraId="2EC427CD" w14:textId="2F8FD311" w:rsidR="0079112C" w:rsidRDefault="007461BB" w:rsidP="0079112C">
      <w:pPr>
        <w:jc w:val="both"/>
        <w:rPr>
          <w:rFonts w:ascii="Avenir Next" w:hAnsi="Avenir Next" w:cs="Arial"/>
          <w:sz w:val="22"/>
          <w:szCs w:val="22"/>
          <w:lang w:val="en-GB"/>
        </w:rPr>
      </w:pPr>
      <w:r>
        <w:rPr>
          <w:rFonts w:ascii="Avenir Next" w:hAnsi="Avenir Next" w:cs="Arial"/>
          <w:sz w:val="22"/>
          <w:szCs w:val="22"/>
          <w:lang w:val="en-GB"/>
        </w:rPr>
        <w:t xml:space="preserve">Universalism is an approach that allows for more than one insolvency proceedings pending and or originating in different states to be dealt with under the provisions of one insolvency law. The law of the main proceedings will apply when the debtor has its centre of main interest (COMI). But since global consensus on this was never </w:t>
      </w:r>
      <w:r w:rsidR="0079112C">
        <w:rPr>
          <w:rFonts w:ascii="Avenir Next" w:hAnsi="Avenir Next" w:cs="Arial"/>
          <w:sz w:val="22"/>
          <w:szCs w:val="22"/>
          <w:lang w:val="en-GB"/>
        </w:rPr>
        <w:t>reached,</w:t>
      </w:r>
      <w:r>
        <w:rPr>
          <w:rFonts w:ascii="Avenir Next" w:hAnsi="Avenir Next" w:cs="Arial"/>
          <w:sz w:val="22"/>
          <w:szCs w:val="22"/>
          <w:lang w:val="en-GB"/>
        </w:rPr>
        <w:t xml:space="preserve"> a “modified universalism” has emerged. This approach can be adopted, where the “main proceeding” opened in the state where the centre of main interest has been determined and is supported by the secondary proceeding in another state. In these </w:t>
      </w:r>
      <w:r w:rsidR="0079112C">
        <w:rPr>
          <w:rFonts w:ascii="Avenir Next" w:hAnsi="Avenir Next" w:cs="Arial"/>
          <w:sz w:val="22"/>
          <w:szCs w:val="22"/>
          <w:lang w:val="en-GB"/>
        </w:rPr>
        <w:t>instances,</w:t>
      </w:r>
      <w:r>
        <w:rPr>
          <w:rFonts w:ascii="Avenir Next" w:hAnsi="Avenir Next" w:cs="Arial"/>
          <w:sz w:val="22"/>
          <w:szCs w:val="22"/>
          <w:lang w:val="en-GB"/>
        </w:rPr>
        <w:t xml:space="preserve"> the court dealing with the respective proceedings are supposed to co-operate with each other. </w:t>
      </w:r>
      <w:r w:rsidR="00727E4C">
        <w:rPr>
          <w:rFonts w:ascii="Avenir Next" w:hAnsi="Avenir Next" w:cs="Arial"/>
          <w:sz w:val="22"/>
          <w:szCs w:val="22"/>
          <w:lang w:val="en-GB"/>
        </w:rPr>
        <w:t>This can further be incorporated with the Internationalist principle based on the circumstances of each case and on co-ordination between the states where the debtor has property and or contractual interest.</w:t>
      </w:r>
      <w:r w:rsidR="00B55E6B">
        <w:rPr>
          <w:rStyle w:val="FootnoteReference"/>
          <w:rFonts w:ascii="Avenir Next" w:hAnsi="Avenir Next" w:cs="Arial"/>
          <w:sz w:val="22"/>
          <w:szCs w:val="22"/>
          <w:lang w:val="en-GB"/>
        </w:rPr>
        <w:footnoteReference w:id="13"/>
      </w:r>
    </w:p>
    <w:p w14:paraId="0F786500" w14:textId="77777777" w:rsidR="0079112C" w:rsidRDefault="0079112C" w:rsidP="0079112C">
      <w:pPr>
        <w:jc w:val="both"/>
        <w:rPr>
          <w:rFonts w:ascii="Avenir Next" w:hAnsi="Avenir Next" w:cs="Arial"/>
          <w:sz w:val="22"/>
          <w:szCs w:val="22"/>
          <w:lang w:val="en-GB"/>
        </w:rPr>
      </w:pPr>
    </w:p>
    <w:p w14:paraId="4A89F95B" w14:textId="734B49C7" w:rsidR="0079112C" w:rsidRDefault="0079112C" w:rsidP="0079112C">
      <w:pPr>
        <w:jc w:val="both"/>
        <w:rPr>
          <w:rFonts w:ascii="Avenir Next" w:hAnsi="Avenir Next" w:cs="Arial"/>
          <w:sz w:val="22"/>
          <w:szCs w:val="22"/>
          <w:lang w:val="en-GB"/>
        </w:rPr>
      </w:pPr>
      <w:r>
        <w:rPr>
          <w:rFonts w:ascii="Avenir Next" w:hAnsi="Avenir Next" w:cs="Arial"/>
          <w:sz w:val="22"/>
          <w:szCs w:val="22"/>
          <w:lang w:val="en-GB"/>
        </w:rPr>
        <w:t xml:space="preserve">A secondary procedure may be opened if a state where assets of the </w:t>
      </w:r>
      <w:r w:rsidR="00786508">
        <w:rPr>
          <w:rFonts w:ascii="Avenir Next" w:hAnsi="Avenir Next" w:cs="Arial"/>
          <w:sz w:val="22"/>
          <w:szCs w:val="22"/>
          <w:lang w:val="en-GB"/>
        </w:rPr>
        <w:t>debtor (not</w:t>
      </w:r>
      <w:r>
        <w:rPr>
          <w:rFonts w:ascii="Avenir Next" w:hAnsi="Avenir Next" w:cs="Arial"/>
          <w:sz w:val="22"/>
          <w:szCs w:val="22"/>
          <w:lang w:val="en-GB"/>
        </w:rPr>
        <w:t xml:space="preserve"> stated where Nadir’s assets are, if </w:t>
      </w:r>
      <w:r w:rsidR="00786508">
        <w:rPr>
          <w:rFonts w:ascii="Avenir Next" w:hAnsi="Avenir Next" w:cs="Arial"/>
          <w:sz w:val="22"/>
          <w:szCs w:val="22"/>
          <w:lang w:val="en-GB"/>
        </w:rPr>
        <w:t>any) are</w:t>
      </w:r>
      <w:r>
        <w:rPr>
          <w:rFonts w:ascii="Avenir Next" w:hAnsi="Avenir Next" w:cs="Arial"/>
          <w:sz w:val="22"/>
          <w:szCs w:val="22"/>
          <w:lang w:val="en-GB"/>
        </w:rPr>
        <w:t xml:space="preserve"> </w:t>
      </w:r>
      <w:r>
        <w:rPr>
          <w:rFonts w:ascii="Avenir Next" w:hAnsi="Avenir Next" w:cs="Arial"/>
          <w:sz w:val="22"/>
          <w:szCs w:val="22"/>
          <w:lang w:val="en-GB"/>
        </w:rPr>
        <w:t xml:space="preserve">situated </w:t>
      </w:r>
      <w:r w:rsidR="00845610">
        <w:rPr>
          <w:rFonts w:ascii="Avenir Next" w:hAnsi="Avenir Next" w:cs="Arial"/>
          <w:sz w:val="22"/>
          <w:szCs w:val="22"/>
          <w:lang w:val="en-GB"/>
        </w:rPr>
        <w:t>does not follow an approach of universality although a (main proceeding) is opened in the state where the centre of main interest of the debtor is.</w:t>
      </w:r>
    </w:p>
    <w:p w14:paraId="21D98219" w14:textId="3E992872" w:rsidR="0079112C" w:rsidRDefault="0079112C" w:rsidP="00C053F7">
      <w:pPr>
        <w:jc w:val="both"/>
        <w:rPr>
          <w:rFonts w:ascii="Avenir Next" w:hAnsi="Avenir Next" w:cs="Arial"/>
          <w:sz w:val="22"/>
          <w:szCs w:val="22"/>
          <w:lang w:val="en-GB"/>
        </w:rPr>
      </w:pPr>
    </w:p>
    <w:p w14:paraId="14B16AAB" w14:textId="536DDED9" w:rsidR="00845610" w:rsidRDefault="001C2C64" w:rsidP="00C053F7">
      <w:pPr>
        <w:jc w:val="both"/>
        <w:rPr>
          <w:rFonts w:ascii="Avenir Next" w:hAnsi="Avenir Next" w:cs="Arial"/>
          <w:sz w:val="22"/>
          <w:szCs w:val="22"/>
          <w:lang w:val="en-GB"/>
        </w:rPr>
      </w:pPr>
      <w:r>
        <w:rPr>
          <w:rFonts w:ascii="Avenir Next" w:hAnsi="Avenir Next" w:cs="Arial"/>
          <w:sz w:val="22"/>
          <w:szCs w:val="22"/>
          <w:lang w:val="en-GB"/>
        </w:rPr>
        <w:t>Co-</w:t>
      </w:r>
      <w:r w:rsidR="00727E4C">
        <w:rPr>
          <w:rFonts w:ascii="Avenir Next" w:hAnsi="Avenir Next" w:cs="Arial"/>
          <w:sz w:val="22"/>
          <w:szCs w:val="22"/>
          <w:lang w:val="en-GB"/>
        </w:rPr>
        <w:t>operative</w:t>
      </w:r>
      <w:r>
        <w:rPr>
          <w:rFonts w:ascii="Avenir Next" w:hAnsi="Avenir Next" w:cs="Arial"/>
          <w:sz w:val="22"/>
          <w:szCs w:val="22"/>
          <w:lang w:val="en-GB"/>
        </w:rPr>
        <w:t xml:space="preserve"> </w:t>
      </w:r>
      <w:r w:rsidR="00727E4C">
        <w:rPr>
          <w:rFonts w:ascii="Avenir Next" w:hAnsi="Avenir Next" w:cs="Arial"/>
          <w:sz w:val="22"/>
          <w:szCs w:val="22"/>
          <w:lang w:val="en-GB"/>
        </w:rPr>
        <w:t>territorialism is</w:t>
      </w:r>
      <w:r>
        <w:rPr>
          <w:rFonts w:ascii="Avenir Next" w:hAnsi="Avenir Next" w:cs="Arial"/>
          <w:sz w:val="22"/>
          <w:szCs w:val="22"/>
          <w:lang w:val="en-GB"/>
        </w:rPr>
        <w:t xml:space="preserve"> another approach that could be considered as every state has </w:t>
      </w:r>
      <w:r w:rsidR="00C75100">
        <w:rPr>
          <w:rFonts w:ascii="Avenir Next" w:hAnsi="Avenir Next" w:cs="Arial"/>
          <w:sz w:val="22"/>
          <w:szCs w:val="22"/>
          <w:lang w:val="en-GB"/>
        </w:rPr>
        <w:t>jurisdiction,</w:t>
      </w:r>
      <w:r>
        <w:rPr>
          <w:rFonts w:ascii="Avenir Next" w:hAnsi="Avenir Next" w:cs="Arial"/>
          <w:sz w:val="22"/>
          <w:szCs w:val="22"/>
          <w:lang w:val="en-GB"/>
        </w:rPr>
        <w:t xml:space="preserve"> where assets </w:t>
      </w:r>
      <w:r w:rsidR="00786508">
        <w:rPr>
          <w:rFonts w:ascii="Avenir Next" w:hAnsi="Avenir Next" w:cs="Arial"/>
          <w:sz w:val="22"/>
          <w:szCs w:val="22"/>
          <w:lang w:val="en-GB"/>
        </w:rPr>
        <w:t>are in</w:t>
      </w:r>
      <w:r>
        <w:rPr>
          <w:rFonts w:ascii="Avenir Next" w:hAnsi="Avenir Next" w:cs="Arial"/>
          <w:sz w:val="22"/>
          <w:szCs w:val="22"/>
          <w:lang w:val="en-GB"/>
        </w:rPr>
        <w:t xml:space="preserve"> more than one state, and courts can communicate and collaborate with each other.</w:t>
      </w:r>
    </w:p>
    <w:p w14:paraId="4C718A64" w14:textId="3AD6FA7E" w:rsidR="001C2C64" w:rsidRDefault="001C2C64" w:rsidP="00C053F7">
      <w:pPr>
        <w:jc w:val="both"/>
        <w:rPr>
          <w:rFonts w:ascii="Avenir Next" w:hAnsi="Avenir Next" w:cs="Arial"/>
          <w:sz w:val="22"/>
          <w:szCs w:val="22"/>
          <w:lang w:val="en-GB"/>
        </w:rPr>
      </w:pPr>
    </w:p>
    <w:p w14:paraId="64547748" w14:textId="0242F6B2" w:rsidR="001C2C64" w:rsidRDefault="001C2C64" w:rsidP="00C053F7">
      <w:pPr>
        <w:jc w:val="both"/>
        <w:rPr>
          <w:rFonts w:ascii="Avenir Next" w:hAnsi="Avenir Next" w:cs="Arial"/>
          <w:sz w:val="22"/>
          <w:szCs w:val="22"/>
          <w:lang w:val="en-GB"/>
        </w:rPr>
      </w:pPr>
      <w:r>
        <w:rPr>
          <w:rFonts w:ascii="Avenir Next" w:hAnsi="Avenir Next" w:cs="Arial"/>
          <w:sz w:val="22"/>
          <w:szCs w:val="22"/>
          <w:lang w:val="en-GB"/>
        </w:rPr>
        <w:lastRenderedPageBreak/>
        <w:t>Co-operation following a protocol</w:t>
      </w:r>
      <w:r w:rsidR="00727E4C">
        <w:rPr>
          <w:rFonts w:ascii="Avenir Next" w:hAnsi="Avenir Next" w:cs="Arial"/>
          <w:sz w:val="22"/>
          <w:szCs w:val="22"/>
          <w:lang w:val="en-GB"/>
        </w:rPr>
        <w:t xml:space="preserve"> could be another approach. An</w:t>
      </w:r>
      <w:r>
        <w:rPr>
          <w:rFonts w:ascii="Avenir Next" w:hAnsi="Avenir Next" w:cs="Arial"/>
          <w:sz w:val="22"/>
          <w:szCs w:val="22"/>
          <w:lang w:val="en-GB"/>
        </w:rPr>
        <w:t xml:space="preserve"> example the Maxwell </w:t>
      </w:r>
      <w:r w:rsidR="00727E4C">
        <w:rPr>
          <w:rFonts w:ascii="Avenir Next" w:hAnsi="Avenir Next" w:cs="Arial"/>
          <w:sz w:val="22"/>
          <w:szCs w:val="22"/>
          <w:lang w:val="en-GB"/>
        </w:rPr>
        <w:t xml:space="preserve">Case where the Courts in the USA and the UK co-operated with each other by way of Court Orders recognising an agreement/protocol between the </w:t>
      </w:r>
      <w:r w:rsidR="00786508">
        <w:rPr>
          <w:rFonts w:ascii="Avenir Next" w:hAnsi="Avenir Next" w:cs="Arial"/>
          <w:sz w:val="22"/>
          <w:szCs w:val="22"/>
          <w:lang w:val="en-GB"/>
        </w:rPr>
        <w:t>estate’s</w:t>
      </w:r>
      <w:r w:rsidR="00727E4C">
        <w:rPr>
          <w:rFonts w:ascii="Avenir Next" w:hAnsi="Avenir Next" w:cs="Arial"/>
          <w:sz w:val="22"/>
          <w:szCs w:val="22"/>
          <w:lang w:val="en-GB"/>
        </w:rPr>
        <w:t xml:space="preserve"> representatives in the main states where the debtor had most of its interest. </w:t>
      </w:r>
    </w:p>
    <w:p w14:paraId="088F12B4" w14:textId="77777777" w:rsidR="0079112C" w:rsidRDefault="0079112C" w:rsidP="00C053F7">
      <w:pPr>
        <w:jc w:val="both"/>
        <w:rPr>
          <w:rFonts w:ascii="Avenir Next" w:hAnsi="Avenir Next" w:cs="Arial"/>
          <w:sz w:val="22"/>
          <w:szCs w:val="22"/>
          <w:lang w:val="en-GB"/>
        </w:rPr>
      </w:pPr>
    </w:p>
    <w:p w14:paraId="5484EC9E" w14:textId="14D41175" w:rsidR="002A255B" w:rsidRDefault="002A255B" w:rsidP="00C053F7">
      <w:pPr>
        <w:jc w:val="both"/>
        <w:rPr>
          <w:rFonts w:ascii="Avenir Next" w:hAnsi="Avenir Next" w:cs="Arial"/>
          <w:sz w:val="22"/>
          <w:szCs w:val="22"/>
          <w:lang w:val="en-GB"/>
        </w:rPr>
      </w:pPr>
    </w:p>
    <w:p w14:paraId="26AE7D96" w14:textId="77777777" w:rsidR="00731070" w:rsidRPr="00827D56" w:rsidRDefault="00731070" w:rsidP="00C053F7">
      <w:pPr>
        <w:jc w:val="both"/>
        <w:rPr>
          <w:rFonts w:ascii="Avenir Next" w:hAnsi="Avenir Next" w:cs="Arial"/>
          <w:sz w:val="22"/>
          <w:szCs w:val="22"/>
          <w:lang w:val="en-GB"/>
        </w:rPr>
      </w:pPr>
    </w:p>
    <w:p w14:paraId="3BD501D0" w14:textId="77777777" w:rsidR="00827D56" w:rsidRPr="00827D56" w:rsidRDefault="00827D56" w:rsidP="00C053F7">
      <w:pPr>
        <w:jc w:val="both"/>
        <w:rPr>
          <w:rFonts w:ascii="Avenir Next" w:hAnsi="Avenir Next" w:cs="Arial"/>
          <w:sz w:val="22"/>
          <w:szCs w:val="22"/>
          <w:lang w:val="en-GB"/>
        </w:rPr>
      </w:pPr>
    </w:p>
    <w:p w14:paraId="7DC19BDD" w14:textId="2D02115E" w:rsidR="00827D56" w:rsidRPr="00827D56" w:rsidRDefault="00827D56" w:rsidP="00547EDA">
      <w:pPr>
        <w:ind w:left="720"/>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4EB37DBD" w:rsidR="002D3473"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[Type your answer here]</w:t>
      </w:r>
    </w:p>
    <w:p w14:paraId="56EB8B9C" w14:textId="77777777" w:rsidR="007C2C68" w:rsidRPr="00827D56" w:rsidRDefault="007C2C68" w:rsidP="00C053F7">
      <w:pPr>
        <w:autoSpaceDE w:val="0"/>
        <w:autoSpaceDN w:val="0"/>
        <w:adjustRightInd w:val="0"/>
        <w:spacing w:line="276" w:lineRule="auto"/>
        <w:jc w:val="both"/>
        <w:rPr>
          <w:rFonts w:ascii="Avenir Next" w:hAnsi="Avenir Next" w:cs="Arial"/>
          <w:sz w:val="22"/>
          <w:szCs w:val="22"/>
          <w:lang w:val="en-GB"/>
        </w:rPr>
      </w:pPr>
    </w:p>
    <w:p w14:paraId="2DC1F6B2" w14:textId="77777777" w:rsidR="00C75100" w:rsidRDefault="00FC3DAE" w:rsidP="00C75100">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A) </w:t>
      </w:r>
      <w:r w:rsidR="00C75100">
        <w:rPr>
          <w:rFonts w:ascii="Avenir Next" w:hAnsi="Avenir Next" w:cs="Arial"/>
          <w:sz w:val="22"/>
          <w:szCs w:val="22"/>
          <w:lang w:val="en-GB"/>
        </w:rPr>
        <w:t>Yes , should the COMI be determined to be Utopia.</w:t>
      </w:r>
    </w:p>
    <w:p w14:paraId="0521CB55" w14:textId="77777777" w:rsidR="00C75100" w:rsidRPr="00FC3DAE" w:rsidRDefault="00C75100" w:rsidP="00C75100">
      <w:pPr>
        <w:autoSpaceDE w:val="0"/>
        <w:autoSpaceDN w:val="0"/>
        <w:adjustRightInd w:val="0"/>
        <w:spacing w:line="276" w:lineRule="auto"/>
        <w:jc w:val="both"/>
        <w:rPr>
          <w:rFonts w:ascii="Avenir Next" w:hAnsi="Avenir Next" w:cs="Arial"/>
          <w:sz w:val="22"/>
          <w:szCs w:val="22"/>
          <w:lang w:val="en-GB"/>
        </w:rPr>
      </w:pPr>
    </w:p>
    <w:p w14:paraId="1B5E2F08" w14:textId="7C8225FC" w:rsidR="002D3473" w:rsidRPr="00FC3DAE" w:rsidRDefault="002D3473" w:rsidP="00FC3DAE">
      <w:pPr>
        <w:autoSpaceDE w:val="0"/>
        <w:autoSpaceDN w:val="0"/>
        <w:adjustRightInd w:val="0"/>
        <w:spacing w:line="276" w:lineRule="auto"/>
        <w:jc w:val="both"/>
        <w:rPr>
          <w:rFonts w:ascii="Avenir Next" w:hAnsi="Avenir Next" w:cs="Arial"/>
          <w:sz w:val="22"/>
          <w:szCs w:val="22"/>
          <w:lang w:val="en-GB"/>
        </w:rPr>
      </w:pPr>
    </w:p>
    <w:p w14:paraId="6BA7FEA1" w14:textId="2977F6E7" w:rsidR="00FC3DAE" w:rsidRDefault="00FC3DAE" w:rsidP="00FC3DAE">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B) </w:t>
      </w:r>
      <w:r w:rsidR="00C75100">
        <w:rPr>
          <w:rFonts w:ascii="Avenir Next" w:hAnsi="Avenir Next" w:cs="Arial"/>
          <w:sz w:val="22"/>
          <w:szCs w:val="22"/>
          <w:lang w:val="en-GB"/>
        </w:rPr>
        <w:t>No</w:t>
      </w:r>
    </w:p>
    <w:p w14:paraId="7A47D5C1" w14:textId="30E04526" w:rsidR="00C75100" w:rsidRDefault="00C75100" w:rsidP="00FC3DAE">
      <w:pPr>
        <w:autoSpaceDE w:val="0"/>
        <w:autoSpaceDN w:val="0"/>
        <w:adjustRightInd w:val="0"/>
        <w:spacing w:line="276" w:lineRule="auto"/>
        <w:jc w:val="both"/>
        <w:rPr>
          <w:rFonts w:ascii="Avenir Next" w:hAnsi="Avenir Next" w:cs="Arial"/>
          <w:sz w:val="22"/>
          <w:szCs w:val="22"/>
          <w:lang w:val="en-GB"/>
        </w:rPr>
      </w:pPr>
    </w:p>
    <w:p w14:paraId="26C99C59" w14:textId="77777777" w:rsidR="00C75100" w:rsidRPr="00FC3DAE" w:rsidRDefault="00C75100" w:rsidP="00FC3DAE">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03DEBAAF" w14:textId="4F2436E1" w:rsidR="00277A7C" w:rsidRPr="00277A7C"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3B5A3EB7" w:rsidR="0077498C" w:rsidRDefault="0077498C" w:rsidP="00C053F7">
      <w:pPr>
        <w:jc w:val="both"/>
        <w:rPr>
          <w:rFonts w:ascii="Avenir Next" w:hAnsi="Avenir Next" w:cs="Arial"/>
          <w:color w:val="000000" w:themeColor="text1"/>
          <w:sz w:val="22"/>
          <w:szCs w:val="22"/>
          <w:lang w:val="en-GB"/>
        </w:rPr>
      </w:pPr>
    </w:p>
    <w:p w14:paraId="1024B851" w14:textId="6BBFB9FD" w:rsidR="00277A7C" w:rsidRDefault="00277A7C" w:rsidP="00C053F7">
      <w:pPr>
        <w:jc w:val="both"/>
        <w:rPr>
          <w:rFonts w:ascii="Avenir Next" w:hAnsi="Avenir Next" w:cs="Arial"/>
          <w:color w:val="000000" w:themeColor="text1"/>
          <w:sz w:val="22"/>
          <w:szCs w:val="22"/>
          <w:lang w:val="en-GB"/>
        </w:rPr>
      </w:pPr>
    </w:p>
    <w:p w14:paraId="354F1273" w14:textId="4059C3A6" w:rsidR="00277A7C" w:rsidRPr="00FC3DAE" w:rsidRDefault="00823301" w:rsidP="00C053F7">
      <w:pPr>
        <w:jc w:val="both"/>
        <w:rPr>
          <w:rFonts w:ascii="Avenir Next" w:hAnsi="Avenir Next" w:cs="Arial"/>
          <w:color w:val="000000" w:themeColor="text1"/>
          <w:sz w:val="22"/>
          <w:szCs w:val="22"/>
          <w:u w:val="single"/>
          <w:lang w:val="en-GB"/>
        </w:rPr>
      </w:pPr>
      <w:r>
        <w:rPr>
          <w:rFonts w:ascii="Avenir Next" w:hAnsi="Avenir Next" w:cs="Arial"/>
          <w:color w:val="000000" w:themeColor="text1"/>
          <w:sz w:val="22"/>
          <w:szCs w:val="22"/>
          <w:u w:val="single"/>
          <w:lang w:val="en-GB"/>
        </w:rPr>
        <w:t xml:space="preserve">United States – North America </w:t>
      </w:r>
    </w:p>
    <w:p w14:paraId="0F002B58" w14:textId="148B8C57" w:rsidR="001C2C64" w:rsidRDefault="001C2C64" w:rsidP="00C053F7">
      <w:pPr>
        <w:jc w:val="both"/>
        <w:rPr>
          <w:rFonts w:ascii="Avenir Next" w:hAnsi="Avenir Next" w:cs="Arial"/>
          <w:color w:val="000000" w:themeColor="text1"/>
          <w:sz w:val="22"/>
          <w:szCs w:val="22"/>
          <w:lang w:val="en-GB"/>
        </w:rPr>
      </w:pPr>
    </w:p>
    <w:p w14:paraId="793E6E51" w14:textId="030BB8F1" w:rsidR="00C75100" w:rsidRDefault="00C75100" w:rsidP="00C75100">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Difficulties that arise due to the their being no global insolvency court and a  global insolvency law system to deal with cross border insolvency law matters, there are various other difficulties to deal with. </w:t>
      </w:r>
    </w:p>
    <w:p w14:paraId="73C2A7FA" w14:textId="0DB30508" w:rsidR="005D4AE2" w:rsidRDefault="005D4AE2" w:rsidP="00C75100">
      <w:pPr>
        <w:jc w:val="both"/>
        <w:rPr>
          <w:rFonts w:ascii="Avenir Next" w:hAnsi="Avenir Next" w:cs="Arial"/>
          <w:color w:val="000000" w:themeColor="text1"/>
          <w:sz w:val="22"/>
          <w:szCs w:val="22"/>
          <w:lang w:val="en-GB"/>
        </w:rPr>
      </w:pPr>
    </w:p>
    <w:p w14:paraId="2715F611" w14:textId="0A9689E5" w:rsidR="005D4AE2" w:rsidRDefault="005D4AE2" w:rsidP="005D4AE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Four Key international issues facing the insolvency representatives are</w:t>
      </w:r>
      <w:r w:rsidR="007A0903">
        <w:rPr>
          <w:rStyle w:val="FootnoteReference"/>
          <w:rFonts w:ascii="Avenir Next" w:hAnsi="Avenir Next" w:cs="Arial"/>
          <w:color w:val="000000" w:themeColor="text1"/>
          <w:sz w:val="22"/>
          <w:szCs w:val="22"/>
          <w:lang w:val="en-GB"/>
        </w:rPr>
        <w:footnoteReference w:id="14"/>
      </w:r>
      <w:r>
        <w:rPr>
          <w:rFonts w:ascii="Avenir Next" w:hAnsi="Avenir Next" w:cs="Arial"/>
          <w:color w:val="000000" w:themeColor="text1"/>
          <w:sz w:val="22"/>
          <w:szCs w:val="22"/>
          <w:lang w:val="en-GB"/>
        </w:rPr>
        <w:t>:</w:t>
      </w:r>
    </w:p>
    <w:p w14:paraId="108DBD93" w14:textId="77777777" w:rsidR="005D4AE2" w:rsidRDefault="005D4AE2" w:rsidP="005D4AE2">
      <w:pPr>
        <w:jc w:val="both"/>
        <w:rPr>
          <w:rFonts w:ascii="Avenir Next" w:hAnsi="Avenir Next" w:cs="Arial"/>
          <w:color w:val="000000" w:themeColor="text1"/>
          <w:sz w:val="22"/>
          <w:szCs w:val="22"/>
          <w:lang w:val="en-GB"/>
        </w:rPr>
      </w:pPr>
    </w:p>
    <w:p w14:paraId="28AE6A40" w14:textId="07B5D14C" w:rsidR="005D4AE2" w:rsidRPr="00B30E80" w:rsidRDefault="00CC0264" w:rsidP="005D4AE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1. </w:t>
      </w:r>
      <w:r w:rsidR="005D4AE2" w:rsidRPr="00B30E80">
        <w:rPr>
          <w:rFonts w:ascii="Avenir Next" w:hAnsi="Avenir Next" w:cs="Arial"/>
          <w:color w:val="000000" w:themeColor="text1"/>
          <w:sz w:val="22"/>
          <w:szCs w:val="22"/>
          <w:lang w:val="en-GB"/>
        </w:rPr>
        <w:t xml:space="preserve">Access to courts </w:t>
      </w:r>
    </w:p>
    <w:p w14:paraId="27D4BAFB" w14:textId="77777777" w:rsidR="005D4AE2" w:rsidRDefault="005D4AE2" w:rsidP="00C75100">
      <w:pPr>
        <w:jc w:val="both"/>
        <w:rPr>
          <w:rFonts w:ascii="Avenir Next" w:hAnsi="Avenir Next" w:cs="Arial"/>
          <w:color w:val="000000" w:themeColor="text1"/>
          <w:sz w:val="22"/>
          <w:szCs w:val="22"/>
          <w:lang w:val="en-GB"/>
        </w:rPr>
      </w:pPr>
    </w:p>
    <w:p w14:paraId="50A40DFB" w14:textId="18597057" w:rsidR="00C75100" w:rsidRDefault="00B55E6B"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Jurisdiction is raised regarding whether a court will hear and determine a matter. Examination is required of the connection with the jurisdiction of the dispute or the parties.</w:t>
      </w:r>
      <w:r>
        <w:rPr>
          <w:rStyle w:val="FootnoteReference"/>
          <w:rFonts w:ascii="Avenir Next" w:hAnsi="Avenir Next" w:cs="Arial"/>
          <w:color w:val="000000" w:themeColor="text1"/>
          <w:sz w:val="22"/>
          <w:szCs w:val="22"/>
          <w:lang w:val="en-GB"/>
        </w:rPr>
        <w:footnoteReference w:id="15"/>
      </w:r>
      <w:r w:rsidR="00860A35">
        <w:rPr>
          <w:rFonts w:ascii="Avenir Next" w:hAnsi="Avenir Next" w:cs="Arial"/>
          <w:color w:val="000000" w:themeColor="text1"/>
          <w:sz w:val="22"/>
          <w:szCs w:val="22"/>
          <w:lang w:val="en-GB"/>
        </w:rPr>
        <w:t xml:space="preserve"> </w:t>
      </w:r>
      <w:r w:rsidR="00C75100">
        <w:rPr>
          <w:rFonts w:ascii="Avenir Next" w:hAnsi="Avenir Next" w:cs="Arial"/>
          <w:color w:val="000000" w:themeColor="text1"/>
          <w:sz w:val="22"/>
          <w:szCs w:val="22"/>
          <w:lang w:val="en-GB"/>
        </w:rPr>
        <w:t>Chapter 15 Title 11 ,</w:t>
      </w:r>
      <w:r w:rsidR="00832C81">
        <w:rPr>
          <w:rFonts w:ascii="Avenir Next" w:hAnsi="Avenir Next" w:cs="Arial"/>
          <w:color w:val="000000" w:themeColor="text1"/>
          <w:sz w:val="22"/>
          <w:szCs w:val="22"/>
          <w:lang w:val="en-GB"/>
        </w:rPr>
        <w:t xml:space="preserve"> </w:t>
      </w:r>
      <w:r w:rsidR="00C75100">
        <w:rPr>
          <w:rFonts w:ascii="Avenir Next" w:hAnsi="Avenir Next" w:cs="Arial"/>
          <w:color w:val="000000" w:themeColor="text1"/>
          <w:sz w:val="22"/>
          <w:szCs w:val="22"/>
          <w:lang w:val="en-GB"/>
        </w:rPr>
        <w:t xml:space="preserve">The United States Code incorporates </w:t>
      </w:r>
      <w:r w:rsidR="00B30E80">
        <w:rPr>
          <w:rFonts w:ascii="Avenir Next" w:hAnsi="Avenir Next" w:cs="Arial"/>
          <w:color w:val="000000" w:themeColor="text1"/>
          <w:sz w:val="22"/>
          <w:szCs w:val="22"/>
          <w:lang w:val="en-GB"/>
        </w:rPr>
        <w:t xml:space="preserve">the UNCITRAL </w:t>
      </w:r>
      <w:r w:rsidR="00C75100">
        <w:rPr>
          <w:rFonts w:ascii="Avenir Next" w:hAnsi="Avenir Next" w:cs="Arial"/>
          <w:color w:val="000000" w:themeColor="text1"/>
          <w:sz w:val="22"/>
          <w:szCs w:val="22"/>
          <w:lang w:val="en-GB"/>
        </w:rPr>
        <w:t xml:space="preserve">Model Law which was adopted in 2005. Any conflict that arises in connection with cross border insolvencies, this law provides the solutions to same, by allowing the Courts in the US to deal with matters relating to the </w:t>
      </w:r>
      <w:r w:rsidR="00860A35">
        <w:rPr>
          <w:rFonts w:ascii="Avenir Next" w:hAnsi="Avenir Next" w:cs="Arial"/>
          <w:color w:val="000000" w:themeColor="text1"/>
          <w:sz w:val="22"/>
          <w:szCs w:val="22"/>
          <w:lang w:val="en-GB"/>
        </w:rPr>
        <w:t>cross-border</w:t>
      </w:r>
      <w:r w:rsidR="00832C81">
        <w:rPr>
          <w:rFonts w:ascii="Avenir Next" w:hAnsi="Avenir Next" w:cs="Arial"/>
          <w:color w:val="000000" w:themeColor="text1"/>
          <w:sz w:val="22"/>
          <w:szCs w:val="22"/>
          <w:lang w:val="en-GB"/>
        </w:rPr>
        <w:t xml:space="preserve"> insolvencies</w:t>
      </w:r>
      <w:r w:rsidR="00C75100">
        <w:rPr>
          <w:rFonts w:ascii="Avenir Next" w:hAnsi="Avenir Next" w:cs="Arial"/>
          <w:color w:val="000000" w:themeColor="text1"/>
          <w:sz w:val="22"/>
          <w:szCs w:val="22"/>
          <w:lang w:val="en-GB"/>
        </w:rPr>
        <w:t xml:space="preserve">. These proceedings which are permitted under Chapter 15 is less </w:t>
      </w:r>
      <w:r w:rsidR="00832C81">
        <w:rPr>
          <w:rFonts w:ascii="Avenir Next" w:hAnsi="Avenir Next" w:cs="Arial"/>
          <w:color w:val="000000" w:themeColor="text1"/>
          <w:sz w:val="22"/>
          <w:szCs w:val="22"/>
          <w:lang w:val="en-GB"/>
        </w:rPr>
        <w:t>expensive</w:t>
      </w:r>
      <w:r w:rsidR="00C75100">
        <w:rPr>
          <w:rFonts w:ascii="Avenir Next" w:hAnsi="Avenir Next" w:cs="Arial"/>
          <w:color w:val="000000" w:themeColor="text1"/>
          <w:sz w:val="22"/>
          <w:szCs w:val="22"/>
          <w:lang w:val="en-GB"/>
        </w:rPr>
        <w:t xml:space="preserve"> and more efficiently executed as alternate to initiating independent bankruptcy proceedings in the United States. </w:t>
      </w:r>
    </w:p>
    <w:p w14:paraId="230BA2C0" w14:textId="080CB9B8" w:rsidR="00B30E80" w:rsidRDefault="00C75100"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Chapter 15 avoids conflicts and creates mechanisms for cooperation between foreign courts and the US and the representatives regarding proceedings which involves the same debtor.</w:t>
      </w:r>
    </w:p>
    <w:p w14:paraId="1D0EC4C2" w14:textId="6AE96CEF" w:rsidR="00B30E80" w:rsidRDefault="00B30E80" w:rsidP="00C053F7">
      <w:pPr>
        <w:jc w:val="both"/>
        <w:rPr>
          <w:rFonts w:ascii="Avenir Next" w:hAnsi="Avenir Next" w:cs="Arial"/>
          <w:color w:val="000000" w:themeColor="text1"/>
          <w:sz w:val="22"/>
          <w:szCs w:val="22"/>
          <w:lang w:val="en-GB"/>
        </w:rPr>
      </w:pPr>
    </w:p>
    <w:p w14:paraId="17A8D333" w14:textId="77777777" w:rsidR="00B30E80" w:rsidRDefault="00B30E80" w:rsidP="00C053F7">
      <w:pPr>
        <w:jc w:val="both"/>
        <w:rPr>
          <w:rFonts w:ascii="Avenir Next" w:hAnsi="Avenir Next" w:cs="Arial"/>
          <w:color w:val="000000" w:themeColor="text1"/>
          <w:sz w:val="22"/>
          <w:szCs w:val="22"/>
          <w:lang w:val="en-GB"/>
        </w:rPr>
      </w:pPr>
    </w:p>
    <w:p w14:paraId="0823FC7C" w14:textId="38752F06" w:rsidR="00464F48" w:rsidRDefault="00823301" w:rsidP="00C053F7">
      <w:pPr>
        <w:jc w:val="both"/>
        <w:rPr>
          <w:rStyle w:val="Emphasis"/>
          <w:rFonts w:ascii="Avenir Next" w:hAnsi="Avenir Next" w:cs="Arial"/>
          <w:i w:val="0"/>
          <w:iCs w:val="0"/>
          <w:color w:val="000000" w:themeColor="text1"/>
          <w:sz w:val="22"/>
          <w:szCs w:val="22"/>
          <w:lang w:val="en-GB"/>
        </w:rPr>
      </w:pPr>
      <w:r>
        <w:rPr>
          <w:rFonts w:ascii="Avenir Next" w:hAnsi="Avenir Next" w:cs="Arial"/>
          <w:color w:val="000000" w:themeColor="text1"/>
          <w:sz w:val="22"/>
          <w:szCs w:val="22"/>
          <w:lang w:val="en-GB"/>
        </w:rPr>
        <w:t>The American</w:t>
      </w:r>
      <w:r w:rsidR="00B30E80">
        <w:rPr>
          <w:rFonts w:ascii="Avenir Next" w:hAnsi="Avenir Next" w:cs="Arial"/>
          <w:color w:val="000000" w:themeColor="text1"/>
          <w:sz w:val="22"/>
          <w:szCs w:val="22"/>
          <w:lang w:val="en-GB"/>
        </w:rPr>
        <w:t xml:space="preserve"> L</w:t>
      </w:r>
      <w:r>
        <w:rPr>
          <w:rFonts w:ascii="Avenir Next" w:hAnsi="Avenir Next" w:cs="Arial"/>
          <w:color w:val="000000" w:themeColor="text1"/>
          <w:sz w:val="22"/>
          <w:szCs w:val="22"/>
          <w:lang w:val="en-GB"/>
        </w:rPr>
        <w:t>aw Institute (ALI) to assist with resolving of international issues between the North American Free Trade Agreement (</w:t>
      </w:r>
      <w:r w:rsidR="00197113">
        <w:rPr>
          <w:rFonts w:ascii="Avenir Next" w:hAnsi="Avenir Next" w:cs="Arial"/>
          <w:color w:val="000000" w:themeColor="text1"/>
          <w:sz w:val="22"/>
          <w:szCs w:val="22"/>
          <w:lang w:val="en-GB"/>
        </w:rPr>
        <w:t>N</w:t>
      </w:r>
      <w:r>
        <w:rPr>
          <w:rFonts w:ascii="Avenir Next" w:hAnsi="Avenir Next" w:cs="Arial"/>
          <w:color w:val="000000" w:themeColor="text1"/>
          <w:sz w:val="22"/>
          <w:szCs w:val="22"/>
          <w:lang w:val="en-GB"/>
        </w:rPr>
        <w:t xml:space="preserve">AFTA) countries of the United States, Canada and Mexico. The ALI project was an initiative to improve co-operation in international insolvencies across the </w:t>
      </w:r>
      <w:r w:rsidR="00197113">
        <w:rPr>
          <w:rFonts w:ascii="Avenir Next" w:hAnsi="Avenir Next" w:cs="Arial"/>
          <w:color w:val="000000" w:themeColor="text1"/>
          <w:sz w:val="22"/>
          <w:szCs w:val="22"/>
          <w:lang w:val="en-GB"/>
        </w:rPr>
        <w:t xml:space="preserve">NAFTA </w:t>
      </w:r>
      <w:r>
        <w:rPr>
          <w:rFonts w:ascii="Avenir Next" w:hAnsi="Avenir Next" w:cs="Arial"/>
          <w:color w:val="000000" w:themeColor="text1"/>
          <w:sz w:val="22"/>
          <w:szCs w:val="22"/>
          <w:lang w:val="en-GB"/>
        </w:rPr>
        <w:t xml:space="preserve"> States. An international statement was prepared by a designated </w:t>
      </w:r>
      <w:r w:rsidR="00860A35">
        <w:rPr>
          <w:rFonts w:ascii="Avenir Next" w:hAnsi="Avenir Next" w:cs="Arial"/>
          <w:color w:val="000000" w:themeColor="text1"/>
          <w:sz w:val="22"/>
          <w:szCs w:val="22"/>
          <w:lang w:val="en-GB"/>
        </w:rPr>
        <w:t>reporter,</w:t>
      </w:r>
      <w:r>
        <w:rPr>
          <w:rFonts w:ascii="Avenir Next" w:hAnsi="Avenir Next" w:cs="Arial"/>
          <w:color w:val="000000" w:themeColor="text1"/>
          <w:sz w:val="22"/>
          <w:szCs w:val="22"/>
          <w:lang w:val="en-GB"/>
        </w:rPr>
        <w:t xml:space="preserve"> Professor Westbrook who formed advisory groups on the relevant country’s insolvency law applicable to international cases. This was approve</w:t>
      </w:r>
      <w:r w:rsidR="00C75100">
        <w:rPr>
          <w:rFonts w:ascii="Avenir Next" w:hAnsi="Avenir Next" w:cs="Arial"/>
          <w:color w:val="000000" w:themeColor="text1"/>
          <w:sz w:val="22"/>
          <w:szCs w:val="22"/>
          <w:lang w:val="en-GB"/>
        </w:rPr>
        <w:t>d</w:t>
      </w:r>
      <w:r>
        <w:rPr>
          <w:rFonts w:ascii="Avenir Next" w:hAnsi="Avenir Next" w:cs="Arial"/>
          <w:color w:val="000000" w:themeColor="text1"/>
          <w:sz w:val="22"/>
          <w:szCs w:val="22"/>
          <w:lang w:val="en-GB"/>
        </w:rPr>
        <w:t xml:space="preserve"> by the ALI Council and members in 2000. </w:t>
      </w:r>
      <w:r w:rsidR="00B30E80" w:rsidRPr="00B30E80">
        <w:rPr>
          <w:rStyle w:val="Emphasis"/>
          <w:rFonts w:ascii="Avenir Next" w:hAnsi="Avenir Next" w:cs="Arial"/>
          <w:i w:val="0"/>
          <w:iCs w:val="0"/>
          <w:color w:val="000000" w:themeColor="text1"/>
          <w:sz w:val="22"/>
          <w:szCs w:val="22"/>
          <w:lang w:val="en-GB"/>
        </w:rPr>
        <w:t>the domestic adoption of ALI – III Global Principals for co-operation in International Insolvency Cases and Global Guidelines Applicable to Court to Court Communication in Cross Border Cases (2012) assist to promote recognition and enforcement of cases</w:t>
      </w:r>
      <w:r w:rsidR="00CC0264">
        <w:rPr>
          <w:rStyle w:val="Emphasis"/>
          <w:rFonts w:ascii="Avenir Next" w:hAnsi="Avenir Next" w:cs="Arial"/>
          <w:i w:val="0"/>
          <w:iCs w:val="0"/>
          <w:color w:val="000000" w:themeColor="text1"/>
          <w:sz w:val="22"/>
          <w:szCs w:val="22"/>
          <w:lang w:val="en-GB"/>
        </w:rPr>
        <w:t>. This principle focuses on insolvencies of corporations</w:t>
      </w:r>
      <w:r w:rsidR="00286D88">
        <w:rPr>
          <w:rStyle w:val="Emphasis"/>
          <w:rFonts w:ascii="Avenir Next" w:hAnsi="Avenir Next" w:cs="Arial"/>
          <w:i w:val="0"/>
          <w:iCs w:val="0"/>
          <w:color w:val="000000" w:themeColor="text1"/>
          <w:sz w:val="22"/>
          <w:szCs w:val="22"/>
          <w:lang w:val="en-GB"/>
        </w:rPr>
        <w:t xml:space="preserve"> and the principles are structured around general, procedural and recommendations for legislations and international agreements.</w:t>
      </w:r>
    </w:p>
    <w:p w14:paraId="5F09F394" w14:textId="1BD255A7" w:rsidR="00286D88" w:rsidRDefault="00286D88" w:rsidP="00C053F7">
      <w:pPr>
        <w:jc w:val="both"/>
        <w:rPr>
          <w:rStyle w:val="Emphasis"/>
          <w:rFonts w:ascii="Avenir Next" w:hAnsi="Avenir Next" w:cs="Arial"/>
          <w:i w:val="0"/>
          <w:iCs w:val="0"/>
          <w:color w:val="000000" w:themeColor="text1"/>
          <w:sz w:val="22"/>
          <w:szCs w:val="22"/>
          <w:lang w:val="en-GB"/>
        </w:rPr>
      </w:pPr>
    </w:p>
    <w:p w14:paraId="6F2C95D2" w14:textId="1C7C954C" w:rsidR="00286D88" w:rsidRDefault="00286D88" w:rsidP="00C053F7">
      <w:pPr>
        <w:jc w:val="both"/>
        <w:rPr>
          <w:rStyle w:val="Emphasis"/>
          <w:rFonts w:ascii="Avenir Next" w:hAnsi="Avenir Next" w:cs="Arial"/>
          <w:i w:val="0"/>
          <w:iCs w:val="0"/>
          <w:color w:val="000000" w:themeColor="text1"/>
          <w:sz w:val="22"/>
          <w:szCs w:val="22"/>
          <w:lang w:val="en-GB"/>
        </w:rPr>
      </w:pPr>
    </w:p>
    <w:p w14:paraId="655F2A7C" w14:textId="77777777" w:rsidR="00786508" w:rsidRDefault="00286D88" w:rsidP="00286D8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2. </w:t>
      </w:r>
      <w:r w:rsidRPr="00286D88">
        <w:rPr>
          <w:rFonts w:ascii="Avenir Next" w:hAnsi="Avenir Next" w:cs="Arial"/>
          <w:color w:val="000000" w:themeColor="text1"/>
          <w:sz w:val="22"/>
          <w:szCs w:val="22"/>
          <w:lang w:val="en-GB"/>
        </w:rPr>
        <w:t>Co-operation and co-</w:t>
      </w:r>
      <w:r w:rsidRPr="00286D88">
        <w:rPr>
          <w:rFonts w:ascii="Avenir Next" w:hAnsi="Avenir Next" w:cs="Arial"/>
          <w:color w:val="000000" w:themeColor="text1"/>
          <w:sz w:val="22"/>
          <w:szCs w:val="22"/>
          <w:lang w:val="en-GB"/>
        </w:rPr>
        <w:t>ordination</w:t>
      </w:r>
      <w:r w:rsidR="00786508">
        <w:rPr>
          <w:rFonts w:ascii="Avenir Next" w:hAnsi="Avenir Next" w:cs="Arial"/>
          <w:color w:val="000000" w:themeColor="text1"/>
          <w:sz w:val="22"/>
          <w:szCs w:val="22"/>
          <w:lang w:val="en-GB"/>
        </w:rPr>
        <w:t xml:space="preserve"> </w:t>
      </w:r>
    </w:p>
    <w:p w14:paraId="04B27117" w14:textId="77777777" w:rsidR="00786508" w:rsidRDefault="00786508" w:rsidP="00286D88">
      <w:pPr>
        <w:jc w:val="both"/>
        <w:rPr>
          <w:rFonts w:ascii="Avenir Next" w:hAnsi="Avenir Next" w:cs="Arial"/>
          <w:color w:val="000000" w:themeColor="text1"/>
          <w:sz w:val="22"/>
          <w:szCs w:val="22"/>
          <w:lang w:val="en-GB"/>
        </w:rPr>
      </w:pPr>
    </w:p>
    <w:p w14:paraId="15ED15AA" w14:textId="4883D5EB" w:rsidR="00286D88" w:rsidRPr="00286D88" w:rsidRDefault="00786508" w:rsidP="00286D8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w:t>
      </w:r>
      <w:r w:rsidR="00286D88" w:rsidRPr="00286D88">
        <w:rPr>
          <w:rFonts w:ascii="Avenir Next" w:hAnsi="Avenir Next" w:cs="Arial"/>
          <w:color w:val="000000" w:themeColor="text1"/>
          <w:sz w:val="22"/>
          <w:szCs w:val="22"/>
          <w:lang w:val="en-GB"/>
        </w:rPr>
        <w:t>here there could be a conflict of law, this principle establishes that Court and Administrators should cooperate in a transnational bankruptcy proceeding were the goal of ensuring the value of the Debtor’s worldwide assets are maximised.  It also furthers the just administration of the proceedings.</w:t>
      </w:r>
    </w:p>
    <w:p w14:paraId="4364E16A" w14:textId="0F612F8F" w:rsidR="00286D88" w:rsidRDefault="00286D88" w:rsidP="00286D88">
      <w:pPr>
        <w:jc w:val="both"/>
        <w:rPr>
          <w:rFonts w:ascii="Avenir Next" w:hAnsi="Avenir Next" w:cs="Arial"/>
          <w:i/>
          <w:iCs/>
          <w:color w:val="000000" w:themeColor="text1"/>
          <w:sz w:val="22"/>
          <w:szCs w:val="22"/>
          <w:lang w:val="en-GB"/>
        </w:rPr>
      </w:pPr>
    </w:p>
    <w:p w14:paraId="1028845D" w14:textId="77777777" w:rsidR="00286D88" w:rsidRDefault="00286D88" w:rsidP="00286D88">
      <w:pPr>
        <w:jc w:val="both"/>
        <w:rPr>
          <w:rFonts w:ascii="Avenir Next" w:hAnsi="Avenir Next" w:cs="Arial"/>
          <w:color w:val="000000" w:themeColor="text1"/>
          <w:sz w:val="22"/>
          <w:szCs w:val="22"/>
          <w:lang w:val="en-GB"/>
        </w:rPr>
      </w:pPr>
    </w:p>
    <w:p w14:paraId="72784FC2" w14:textId="77777777" w:rsidR="00286D88" w:rsidRDefault="00286D88" w:rsidP="00C053F7">
      <w:pPr>
        <w:jc w:val="both"/>
        <w:rPr>
          <w:rStyle w:val="Emphasis"/>
          <w:rFonts w:ascii="Avenir Next" w:hAnsi="Avenir Next" w:cs="Arial"/>
          <w:i w:val="0"/>
          <w:iCs w:val="0"/>
          <w:color w:val="000000" w:themeColor="text1"/>
          <w:sz w:val="22"/>
          <w:szCs w:val="22"/>
          <w:lang w:val="en-GB"/>
        </w:rPr>
      </w:pPr>
    </w:p>
    <w:p w14:paraId="450880D3" w14:textId="7242EAB4" w:rsidR="00286D88" w:rsidRDefault="00286D88" w:rsidP="00C053F7">
      <w:pPr>
        <w:jc w:val="both"/>
        <w:rPr>
          <w:rStyle w:val="Emphasis"/>
          <w:rFonts w:ascii="Avenir Next" w:hAnsi="Avenir Next" w:cs="Arial"/>
          <w:i w:val="0"/>
          <w:iCs w:val="0"/>
          <w:color w:val="000000" w:themeColor="text1"/>
          <w:sz w:val="22"/>
          <w:szCs w:val="22"/>
          <w:lang w:val="en-GB"/>
        </w:rPr>
      </w:pPr>
    </w:p>
    <w:p w14:paraId="39EC37E4" w14:textId="7B0AE199" w:rsidR="00786508" w:rsidRDefault="00786508" w:rsidP="00786508">
      <w:pPr>
        <w:jc w:val="both"/>
        <w:rPr>
          <w:rStyle w:val="Emphasis"/>
          <w:rFonts w:ascii="Avenir Next" w:hAnsi="Avenir Next" w:cs="Arial"/>
          <w:i w:val="0"/>
          <w:iCs w:val="0"/>
          <w:color w:val="000000" w:themeColor="text1"/>
          <w:sz w:val="22"/>
          <w:szCs w:val="22"/>
          <w:lang w:val="en-GB"/>
        </w:rPr>
      </w:pPr>
      <w:r>
        <w:rPr>
          <w:rStyle w:val="Emphasis"/>
          <w:rFonts w:ascii="Avenir Next" w:hAnsi="Avenir Next" w:cs="Arial"/>
          <w:i w:val="0"/>
          <w:iCs w:val="0"/>
          <w:color w:val="000000" w:themeColor="text1"/>
          <w:sz w:val="22"/>
          <w:szCs w:val="22"/>
          <w:lang w:val="en-GB"/>
        </w:rPr>
        <w:t>3.</w:t>
      </w:r>
      <w:r w:rsidR="00286D88" w:rsidRPr="00786508">
        <w:rPr>
          <w:rStyle w:val="Emphasis"/>
          <w:rFonts w:ascii="Avenir Next" w:hAnsi="Avenir Next" w:cs="Arial"/>
          <w:i w:val="0"/>
          <w:iCs w:val="0"/>
          <w:color w:val="000000" w:themeColor="text1"/>
          <w:sz w:val="22"/>
          <w:szCs w:val="22"/>
          <w:lang w:val="en-GB"/>
        </w:rPr>
        <w:t>Recognition and enforcement</w:t>
      </w:r>
    </w:p>
    <w:p w14:paraId="6B23DBC0" w14:textId="77777777" w:rsidR="00786508" w:rsidRDefault="00786508" w:rsidP="00786508">
      <w:pPr>
        <w:jc w:val="both"/>
        <w:rPr>
          <w:rStyle w:val="Emphasis"/>
          <w:rFonts w:ascii="Avenir Next" w:hAnsi="Avenir Next" w:cs="Arial"/>
          <w:i w:val="0"/>
          <w:iCs w:val="0"/>
          <w:color w:val="000000" w:themeColor="text1"/>
          <w:sz w:val="22"/>
          <w:szCs w:val="22"/>
          <w:lang w:val="en-GB"/>
        </w:rPr>
      </w:pPr>
    </w:p>
    <w:p w14:paraId="71E52496" w14:textId="49407DB5" w:rsidR="00286D88" w:rsidRPr="00786508" w:rsidRDefault="00786508" w:rsidP="00786508">
      <w:pPr>
        <w:jc w:val="both"/>
        <w:rPr>
          <w:rStyle w:val="Emphasis"/>
          <w:rFonts w:ascii="Avenir Next" w:hAnsi="Avenir Next" w:cs="Arial"/>
          <w:i w:val="0"/>
          <w:iCs w:val="0"/>
          <w:color w:val="000000" w:themeColor="text1"/>
          <w:sz w:val="22"/>
          <w:szCs w:val="22"/>
          <w:lang w:val="en-GB"/>
        </w:rPr>
      </w:pPr>
      <w:r>
        <w:rPr>
          <w:rStyle w:val="Emphasis"/>
          <w:rFonts w:ascii="Avenir Next" w:hAnsi="Avenir Next" w:cs="Arial"/>
          <w:i w:val="0"/>
          <w:iCs w:val="0"/>
          <w:color w:val="000000" w:themeColor="text1"/>
          <w:sz w:val="22"/>
          <w:szCs w:val="22"/>
          <w:lang w:val="en-GB"/>
        </w:rPr>
        <w:t>I</w:t>
      </w:r>
      <w:r w:rsidR="00286D88" w:rsidRPr="00786508">
        <w:rPr>
          <w:rStyle w:val="Emphasis"/>
          <w:rFonts w:ascii="Avenir Next" w:hAnsi="Avenir Next" w:cs="Arial"/>
          <w:i w:val="0"/>
          <w:iCs w:val="0"/>
          <w:color w:val="000000" w:themeColor="text1"/>
          <w:sz w:val="22"/>
          <w:szCs w:val="22"/>
          <w:lang w:val="en-GB"/>
        </w:rPr>
        <w:t>n this instance the insolvency/bankruptcy of a debtor in a NAFTA country must be given recognition and the appropriate effect under the circumstances in each NAFTA country. The recognition should be granted efficiently and cost effectively with the least amount t of legal formalities.</w:t>
      </w:r>
      <w:r w:rsidR="00B55E6B">
        <w:rPr>
          <w:rStyle w:val="Emphasis"/>
          <w:rFonts w:ascii="Avenir Next" w:hAnsi="Avenir Next" w:cs="Arial"/>
          <w:i w:val="0"/>
          <w:iCs w:val="0"/>
          <w:color w:val="000000" w:themeColor="text1"/>
          <w:sz w:val="22"/>
          <w:szCs w:val="22"/>
          <w:lang w:val="en-GB"/>
        </w:rPr>
        <w:t xml:space="preserve"> Where </w:t>
      </w:r>
    </w:p>
    <w:p w14:paraId="7EB97703" w14:textId="77777777" w:rsidR="00286D88" w:rsidRPr="00286D88" w:rsidRDefault="00286D88" w:rsidP="00286D88">
      <w:pPr>
        <w:jc w:val="both"/>
        <w:rPr>
          <w:rStyle w:val="Emphasis"/>
          <w:rFonts w:ascii="Avenir Next" w:hAnsi="Avenir Next" w:cs="Arial"/>
          <w:i w:val="0"/>
          <w:iCs w:val="0"/>
          <w:color w:val="000000" w:themeColor="text1"/>
          <w:sz w:val="22"/>
          <w:szCs w:val="22"/>
          <w:lang w:val="en-GB"/>
        </w:rPr>
      </w:pPr>
    </w:p>
    <w:p w14:paraId="0C32E33F" w14:textId="77777777" w:rsidR="00286D88" w:rsidRDefault="00286D88" w:rsidP="00C053F7">
      <w:pPr>
        <w:jc w:val="both"/>
        <w:rPr>
          <w:rFonts w:ascii="Avenir Next" w:hAnsi="Avenir Next" w:cs="Arial"/>
          <w:color w:val="000000" w:themeColor="text1"/>
          <w:sz w:val="22"/>
          <w:szCs w:val="22"/>
          <w:lang w:val="en-GB"/>
        </w:rPr>
      </w:pPr>
    </w:p>
    <w:p w14:paraId="6C223D9F" w14:textId="78A2F41F" w:rsidR="00464F48" w:rsidRDefault="00464F48" w:rsidP="00C053F7">
      <w:pPr>
        <w:jc w:val="both"/>
        <w:rPr>
          <w:rFonts w:ascii="Avenir Next" w:hAnsi="Avenir Next" w:cs="Arial"/>
          <w:color w:val="000000" w:themeColor="text1"/>
          <w:sz w:val="22"/>
          <w:szCs w:val="22"/>
          <w:lang w:val="en-GB"/>
        </w:rPr>
      </w:pPr>
    </w:p>
    <w:p w14:paraId="54C16828" w14:textId="77777777" w:rsidR="00602B92" w:rsidRPr="005161B0" w:rsidRDefault="00602B92" w:rsidP="00602B92">
      <w:pPr>
        <w:pStyle w:val="ListParagraph"/>
        <w:jc w:val="both"/>
        <w:rPr>
          <w:rStyle w:val="Emphasis"/>
          <w:rFonts w:ascii="Avenir Next" w:hAnsi="Avenir Next" w:cs="Arial"/>
          <w:color w:val="000000" w:themeColor="text1"/>
          <w:sz w:val="22"/>
          <w:szCs w:val="22"/>
          <w:lang w:val="en-GB"/>
        </w:rPr>
      </w:pPr>
    </w:p>
    <w:p w14:paraId="22D00E15" w14:textId="77777777" w:rsidR="00786508" w:rsidRDefault="00286D88" w:rsidP="00286D8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4.</w:t>
      </w:r>
      <w:r w:rsidR="005161B0" w:rsidRPr="00286D88">
        <w:rPr>
          <w:rFonts w:ascii="Avenir Next" w:hAnsi="Avenir Next" w:cs="Arial"/>
          <w:color w:val="000000" w:themeColor="text1"/>
          <w:sz w:val="22"/>
          <w:szCs w:val="22"/>
          <w:lang w:val="en-GB"/>
        </w:rPr>
        <w:t>Relief</w:t>
      </w:r>
      <w:r w:rsidR="00236A0E">
        <w:rPr>
          <w:rFonts w:ascii="Avenir Next" w:hAnsi="Avenir Next" w:cs="Arial"/>
          <w:color w:val="000000" w:themeColor="text1"/>
          <w:sz w:val="22"/>
          <w:szCs w:val="22"/>
          <w:lang w:val="en-GB"/>
        </w:rPr>
        <w:t xml:space="preserve"> </w:t>
      </w:r>
    </w:p>
    <w:p w14:paraId="2B91724B" w14:textId="77777777" w:rsidR="00786508" w:rsidRDefault="00786508" w:rsidP="00286D88">
      <w:pPr>
        <w:jc w:val="both"/>
        <w:rPr>
          <w:rFonts w:ascii="Avenir Next" w:hAnsi="Avenir Next" w:cs="Arial"/>
          <w:color w:val="000000" w:themeColor="text1"/>
          <w:sz w:val="22"/>
          <w:szCs w:val="22"/>
          <w:lang w:val="en-GB"/>
        </w:rPr>
      </w:pPr>
    </w:p>
    <w:p w14:paraId="01C87914" w14:textId="22B8EE0F" w:rsidR="005161B0" w:rsidRPr="00286D88" w:rsidRDefault="00236A0E" w:rsidP="00286D88">
      <w:pPr>
        <w:jc w:val="both"/>
        <w:rPr>
          <w:rFonts w:ascii="Avenir Next" w:hAnsi="Avenir Next" w:cs="Arial"/>
          <w:i/>
          <w:iCs/>
          <w:color w:val="000000" w:themeColor="text1"/>
          <w:sz w:val="22"/>
          <w:szCs w:val="22"/>
          <w:lang w:val="en-GB"/>
        </w:rPr>
      </w:pPr>
      <w:r>
        <w:rPr>
          <w:rFonts w:ascii="Avenir Next" w:hAnsi="Avenir Next" w:cs="Arial"/>
          <w:color w:val="000000" w:themeColor="text1"/>
          <w:sz w:val="22"/>
          <w:szCs w:val="22"/>
          <w:lang w:val="en-GB"/>
        </w:rPr>
        <w:t xml:space="preserve">One of the basic principles of the Model Law is that the relief that is considered necessary for the orderly and fair conduct of </w:t>
      </w:r>
      <w:r w:rsidR="007C2C68">
        <w:rPr>
          <w:rFonts w:ascii="Avenir Next" w:hAnsi="Avenir Next" w:cs="Arial"/>
          <w:color w:val="000000" w:themeColor="text1"/>
          <w:sz w:val="22"/>
          <w:szCs w:val="22"/>
          <w:lang w:val="en-GB"/>
        </w:rPr>
        <w:t>cross border insolvenc</w:t>
      </w:r>
      <w:r>
        <w:rPr>
          <w:rFonts w:ascii="Avenir Next" w:hAnsi="Avenir Next" w:cs="Arial"/>
          <w:color w:val="000000" w:themeColor="text1"/>
          <w:sz w:val="22"/>
          <w:szCs w:val="22"/>
          <w:lang w:val="en-GB"/>
        </w:rPr>
        <w:t xml:space="preserve">y </w:t>
      </w:r>
      <w:r w:rsidR="007C2C68">
        <w:rPr>
          <w:rFonts w:ascii="Avenir Next" w:hAnsi="Avenir Next" w:cs="Arial"/>
          <w:color w:val="000000" w:themeColor="text1"/>
          <w:sz w:val="22"/>
          <w:szCs w:val="22"/>
          <w:lang w:val="en-GB"/>
        </w:rPr>
        <w:t xml:space="preserve">which is available to assist foreign proceedings. </w:t>
      </w:r>
      <w:r w:rsidR="007C2C68">
        <w:rPr>
          <w:rFonts w:ascii="Avenir Next" w:hAnsi="Avenir Next" w:cs="Arial"/>
          <w:color w:val="000000" w:themeColor="text1"/>
          <w:sz w:val="22"/>
          <w:szCs w:val="22"/>
          <w:lang w:val="en-GB"/>
        </w:rPr>
        <w:lastRenderedPageBreak/>
        <w:t xml:space="preserve">The relief available includes interim relief at the discretion of the court between making of the application for recognition and the decision on that application, an automatic stay upon recognition of the main proceedings and relief at the discretion of the court for both main and concurrent applications following recognition. </w:t>
      </w:r>
    </w:p>
    <w:p w14:paraId="1BD171A2" w14:textId="40614408" w:rsidR="00CC0264" w:rsidRDefault="00CC0264" w:rsidP="00CC0264">
      <w:pPr>
        <w:jc w:val="both"/>
        <w:rPr>
          <w:rFonts w:ascii="Avenir Next" w:hAnsi="Avenir Next" w:cs="Arial"/>
          <w:i/>
          <w:iCs/>
          <w:color w:val="000000" w:themeColor="text1"/>
          <w:sz w:val="22"/>
          <w:szCs w:val="22"/>
          <w:lang w:val="en-GB"/>
        </w:rPr>
      </w:pPr>
    </w:p>
    <w:p w14:paraId="6E7BBA73" w14:textId="77777777" w:rsidR="00CC0264" w:rsidRPr="00CC0264" w:rsidRDefault="00CC0264" w:rsidP="00CC0264">
      <w:pPr>
        <w:jc w:val="both"/>
        <w:rPr>
          <w:rFonts w:ascii="Avenir Next" w:hAnsi="Avenir Next" w:cs="Arial"/>
          <w:i/>
          <w:iCs/>
          <w:color w:val="000000" w:themeColor="text1"/>
          <w:sz w:val="22"/>
          <w:szCs w:val="22"/>
          <w:lang w:val="en-GB"/>
        </w:rPr>
      </w:pPr>
    </w:p>
    <w:p w14:paraId="51F9712A" w14:textId="77777777" w:rsidR="00464F48" w:rsidRPr="00827D56" w:rsidRDefault="00464F48" w:rsidP="00C053F7">
      <w:pPr>
        <w:jc w:val="both"/>
        <w:rPr>
          <w:rFonts w:ascii="Avenir Next" w:hAnsi="Avenir Next" w:cs="Arial"/>
          <w:color w:val="000000" w:themeColor="text1"/>
          <w:sz w:val="22"/>
          <w:szCs w:val="22"/>
          <w:lang w:val="en-GB"/>
        </w:rPr>
      </w:pPr>
    </w:p>
    <w:p w14:paraId="722C1D98" w14:textId="0DF4B225"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F17D" w14:textId="77777777" w:rsidR="002153CE" w:rsidRDefault="002153CE" w:rsidP="00241B44">
      <w:r>
        <w:separator/>
      </w:r>
    </w:p>
  </w:endnote>
  <w:endnote w:type="continuationSeparator" w:id="0">
    <w:p w14:paraId="7197FE01" w14:textId="77777777" w:rsidR="002153CE" w:rsidRDefault="002153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4152069" w:rsidR="00AD6A7D" w:rsidRPr="009634F4" w:rsidRDefault="000B35F2" w:rsidP="00AD6A7D">
    <w:pPr>
      <w:pStyle w:val="Footer"/>
      <w:ind w:right="360"/>
      <w:rPr>
        <w:rFonts w:ascii="Avenir Next" w:hAnsi="Avenir Next" w:cs="Arial"/>
        <w:sz w:val="22"/>
        <w:szCs w:val="22"/>
      </w:rPr>
    </w:pPr>
    <w:r>
      <w:rPr>
        <w:rFonts w:ascii="Avenir Next" w:hAnsi="Avenir Next" w:cs="Arial"/>
        <w:sz w:val="22"/>
        <w:szCs w:val="22"/>
      </w:rPr>
      <w:t>202223-917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0486" w14:textId="77777777" w:rsidR="002153CE" w:rsidRDefault="002153CE" w:rsidP="00241B44">
      <w:r>
        <w:separator/>
      </w:r>
    </w:p>
  </w:footnote>
  <w:footnote w:type="continuationSeparator" w:id="0">
    <w:p w14:paraId="661EF058" w14:textId="77777777" w:rsidR="002153CE" w:rsidRDefault="002153CE" w:rsidP="00241B44">
      <w:r>
        <w:continuationSeparator/>
      </w:r>
    </w:p>
  </w:footnote>
  <w:footnote w:id="1">
    <w:p w14:paraId="221353AA" w14:textId="7DF09B8C" w:rsidR="00B55E6B" w:rsidRPr="00B55E6B" w:rsidRDefault="00B55E6B">
      <w:pPr>
        <w:pStyle w:val="FootnoteText"/>
        <w:rPr>
          <w:lang w:val="en-ZA"/>
        </w:rPr>
      </w:pPr>
      <w:r>
        <w:rPr>
          <w:rStyle w:val="FootnoteReference"/>
        </w:rPr>
        <w:footnoteRef/>
      </w:r>
      <w:r>
        <w:t xml:space="preserve"> </w:t>
      </w:r>
      <w:r>
        <w:t>Guidance Text Mod 1 Introduction to International Insolvency Law, Chapter 5</w:t>
      </w:r>
      <w:r>
        <w:t>, page 34, Wessels</w:t>
      </w:r>
    </w:p>
  </w:footnote>
  <w:footnote w:id="2">
    <w:p w14:paraId="50E4F27E" w14:textId="7CE145B8" w:rsidR="00974CBC" w:rsidRPr="00974CBC" w:rsidRDefault="00974CBC">
      <w:pPr>
        <w:pStyle w:val="FootnoteText"/>
        <w:rPr>
          <w:lang w:val="en-ZA"/>
        </w:rPr>
      </w:pPr>
      <w:r>
        <w:rPr>
          <w:rStyle w:val="FootnoteReference"/>
        </w:rPr>
        <w:footnoteRef/>
      </w:r>
      <w:r>
        <w:t xml:space="preserve"> Guidance Text Mod 1 Introduction to International Insolvency Law, Chapter 5</w:t>
      </w:r>
    </w:p>
  </w:footnote>
  <w:footnote w:id="3">
    <w:p w14:paraId="57AA63E1" w14:textId="46050EAC" w:rsidR="00974CBC" w:rsidRPr="00974CBC" w:rsidRDefault="00974CBC">
      <w:pPr>
        <w:pStyle w:val="FootnoteText"/>
        <w:rPr>
          <w:lang w:val="en-ZA"/>
        </w:rPr>
      </w:pPr>
      <w:r>
        <w:rPr>
          <w:rStyle w:val="FootnoteReference"/>
        </w:rPr>
        <w:footnoteRef/>
      </w:r>
      <w:r>
        <w:t xml:space="preserve"> </w:t>
      </w:r>
      <w:r>
        <w:t>Guidance Text Mod 1 Introduction to International Insolvency Law</w:t>
      </w:r>
      <w:r>
        <w:t xml:space="preserve"> , Chapter 5, 5.2.2</w:t>
      </w:r>
    </w:p>
  </w:footnote>
  <w:footnote w:id="4">
    <w:p w14:paraId="78D3FCF2" w14:textId="15F6C6C8" w:rsidR="00974CBC" w:rsidRPr="00974CBC" w:rsidRDefault="00974CBC">
      <w:pPr>
        <w:pStyle w:val="FootnoteText"/>
        <w:rPr>
          <w:lang w:val="en-ZA"/>
        </w:rPr>
      </w:pPr>
      <w:r>
        <w:rPr>
          <w:rStyle w:val="FootnoteReference"/>
        </w:rPr>
        <w:footnoteRef/>
      </w:r>
      <w:r>
        <w:t xml:space="preserve"> https://www.thenational.ae/business/ecomony/saudi-arabia-approves-landmark-bankruptcy-law-1.707236</w:t>
      </w:r>
    </w:p>
  </w:footnote>
  <w:footnote w:id="5">
    <w:p w14:paraId="77CD7EBC" w14:textId="4E0B76E6" w:rsidR="00974CBC" w:rsidRPr="00974CBC" w:rsidRDefault="00974CBC">
      <w:pPr>
        <w:pStyle w:val="FootnoteText"/>
        <w:rPr>
          <w:lang w:val="en-ZA"/>
        </w:rPr>
      </w:pPr>
      <w:r>
        <w:rPr>
          <w:rStyle w:val="FootnoteReference"/>
        </w:rPr>
        <w:footnoteRef/>
      </w:r>
      <w:r>
        <w:t xml:space="preserve"> </w:t>
      </w:r>
      <w:r>
        <w:rPr>
          <w:lang w:val="en-ZA"/>
        </w:rPr>
        <w:t>https://www.difc.ae/newsroom/news/dubai-internation-financial-centre-enacts-news-insolvency-law/.</w:t>
      </w:r>
    </w:p>
  </w:footnote>
  <w:footnote w:id="6">
    <w:p w14:paraId="5B51F546" w14:textId="3A166F43" w:rsidR="00974CBC" w:rsidRPr="00974CBC" w:rsidRDefault="00974CBC">
      <w:pPr>
        <w:pStyle w:val="FootnoteText"/>
        <w:rPr>
          <w:lang w:val="en-ZA"/>
        </w:rPr>
      </w:pPr>
      <w:r>
        <w:rPr>
          <w:rStyle w:val="FootnoteReference"/>
        </w:rPr>
        <w:footnoteRef/>
      </w:r>
      <w:r>
        <w:t xml:space="preserve"> Hhtps://www.difc.ae/newsroom/news/difc-announced-proposed-new-insolvency-law-regime-public-consultation/.</w:t>
      </w:r>
    </w:p>
  </w:footnote>
  <w:footnote w:id="7">
    <w:p w14:paraId="55FA83CD" w14:textId="1BD7D5DA" w:rsidR="00974CBC" w:rsidRPr="00B55E6B" w:rsidRDefault="00974CBC">
      <w:pPr>
        <w:pStyle w:val="FootnoteText"/>
      </w:pPr>
      <w:r>
        <w:rPr>
          <w:rStyle w:val="FootnoteReference"/>
        </w:rPr>
        <w:footnoteRef/>
      </w:r>
      <w:r>
        <w:t xml:space="preserve"> </w:t>
      </w:r>
      <w:r w:rsidR="00B55E6B">
        <w:t>Guidance Text Mod 1 Introduction to International Insolvency Law</w:t>
      </w:r>
      <w:r w:rsidR="00B55E6B">
        <w:t xml:space="preserve">, page 18 In MA Clarke </w:t>
      </w:r>
      <w:r w:rsidR="00B55E6B" w:rsidRPr="00B55E6B">
        <w:rPr>
          <w:i/>
          <w:iCs/>
        </w:rPr>
        <w:t>et al</w:t>
      </w:r>
      <w:r w:rsidR="00B55E6B">
        <w:t xml:space="preserve"> Commercial Law (Oxford University Press, 2017), chap 28</w:t>
      </w:r>
    </w:p>
    <w:p w14:paraId="378CB1FF" w14:textId="772647C7" w:rsidR="00B55E6B" w:rsidRPr="00974CBC" w:rsidRDefault="00B55E6B">
      <w:pPr>
        <w:pStyle w:val="FootnoteText"/>
        <w:rPr>
          <w:lang w:val="en-ZA"/>
        </w:rPr>
      </w:pPr>
    </w:p>
  </w:footnote>
  <w:footnote w:id="8">
    <w:p w14:paraId="67EBB874" w14:textId="566C99BC" w:rsidR="00B55E6B" w:rsidRPr="00B55E6B" w:rsidRDefault="00B55E6B">
      <w:pPr>
        <w:pStyle w:val="FootnoteText"/>
        <w:rPr>
          <w:lang w:val="en-ZA"/>
        </w:rPr>
      </w:pPr>
      <w:r>
        <w:rPr>
          <w:rStyle w:val="FootnoteReference"/>
        </w:rPr>
        <w:footnoteRef/>
      </w:r>
      <w:r>
        <w:t xml:space="preserve"> </w:t>
      </w:r>
      <w:r>
        <w:t>Guidance Text Mod 1 Introduction to International Insolvency Law, page 1</w:t>
      </w:r>
      <w:r>
        <w:t>9</w:t>
      </w:r>
      <w:r>
        <w:t xml:space="preserve"> In MA Clarke </w:t>
      </w:r>
      <w:r>
        <w:rPr>
          <w:i/>
          <w:iCs/>
        </w:rPr>
        <w:t>et al</w:t>
      </w:r>
      <w:r>
        <w:t xml:space="preserve"> Commercial Law (Oxford </w:t>
      </w:r>
      <w:r>
        <w:t>University</w:t>
      </w:r>
      <w:r>
        <w:t xml:space="preserve"> Press, 2017), chap 28</w:t>
      </w:r>
    </w:p>
  </w:footnote>
  <w:footnote w:id="9">
    <w:p w14:paraId="3DF9CC31" w14:textId="1775801C" w:rsidR="00B55E6B" w:rsidRPr="00B55E6B" w:rsidRDefault="00B55E6B">
      <w:pPr>
        <w:pStyle w:val="FootnoteText"/>
        <w:rPr>
          <w:lang w:val="en-ZA"/>
        </w:rPr>
      </w:pPr>
      <w:r>
        <w:rPr>
          <w:rStyle w:val="FootnoteReference"/>
        </w:rPr>
        <w:footnoteRef/>
      </w:r>
      <w:r>
        <w:t xml:space="preserve"> </w:t>
      </w:r>
      <w:r>
        <w:t xml:space="preserve">Guidance Text Mod 1 Introduction to International Insolvency Law, page </w:t>
      </w:r>
      <w:r>
        <w:t>41 &amp; 42</w:t>
      </w:r>
    </w:p>
  </w:footnote>
  <w:footnote w:id="10">
    <w:p w14:paraId="2CA2E6BC" w14:textId="7F66D7C8" w:rsidR="00B55E6B" w:rsidRPr="00B55E6B" w:rsidRDefault="00B55E6B">
      <w:pPr>
        <w:pStyle w:val="FootnoteText"/>
        <w:rPr>
          <w:lang w:val="en-ZA"/>
        </w:rPr>
      </w:pPr>
      <w:r>
        <w:rPr>
          <w:rStyle w:val="FootnoteReference"/>
        </w:rPr>
        <w:footnoteRef/>
      </w:r>
      <w:r>
        <w:t xml:space="preserve"> </w:t>
      </w:r>
      <w:r>
        <w:rPr>
          <w:lang w:val="en-ZA"/>
        </w:rPr>
        <w:t xml:space="preserve">UNCITRAL </w:t>
      </w:r>
      <w:r w:rsidRPr="00B55E6B">
        <w:rPr>
          <w:rFonts w:ascii="Avenir Next" w:hAnsi="Avenir Next" w:cs="Arial"/>
          <w:sz w:val="22"/>
          <w:szCs w:val="22"/>
          <w:lang w:val="en-GB"/>
        </w:rPr>
        <w:t>Legislative Guide on Insolvency Law</w:t>
      </w:r>
    </w:p>
  </w:footnote>
  <w:footnote w:id="11">
    <w:p w14:paraId="1B78969D" w14:textId="1EEAC4E2" w:rsidR="00B55E6B" w:rsidRPr="00B55E6B" w:rsidRDefault="00B55E6B">
      <w:pPr>
        <w:pStyle w:val="FootnoteText"/>
        <w:rPr>
          <w:lang w:val="en-ZA"/>
        </w:rPr>
      </w:pPr>
      <w:r>
        <w:rPr>
          <w:rStyle w:val="FootnoteReference"/>
        </w:rPr>
        <w:footnoteRef/>
      </w:r>
      <w:r>
        <w:t xml:space="preserve"> UNCITRAL Model Law on Cross-Border Insolvency (1997)</w:t>
      </w:r>
    </w:p>
  </w:footnote>
  <w:footnote w:id="12">
    <w:p w14:paraId="61547265" w14:textId="4D2E76F6" w:rsidR="007A0903" w:rsidRPr="007A0903" w:rsidRDefault="007A0903">
      <w:pPr>
        <w:pStyle w:val="FootnoteText"/>
        <w:rPr>
          <w:lang w:val="en-ZA"/>
        </w:rPr>
      </w:pPr>
      <w:r>
        <w:rPr>
          <w:rStyle w:val="FootnoteReference"/>
        </w:rPr>
        <w:footnoteRef/>
      </w:r>
      <w:r>
        <w:t xml:space="preserve"> The legislative Guide on Insolvency law, Part 2 , 2.12(a)</w:t>
      </w:r>
    </w:p>
  </w:footnote>
  <w:footnote w:id="13">
    <w:p w14:paraId="3BA0F929" w14:textId="170E8D31" w:rsidR="00B55E6B" w:rsidRPr="00B55E6B" w:rsidRDefault="00B55E6B">
      <w:pPr>
        <w:pStyle w:val="FootnoteText"/>
        <w:rPr>
          <w:lang w:val="en-ZA"/>
        </w:rPr>
      </w:pPr>
      <w:r>
        <w:rPr>
          <w:rStyle w:val="FootnoteReference"/>
        </w:rPr>
        <w:footnoteRef/>
      </w:r>
      <w:r>
        <w:t xml:space="preserve"> </w:t>
      </w:r>
      <w:r>
        <w:t xml:space="preserve">Guidance Text Mod 1 Introduction to International Insolvency Law, </w:t>
      </w:r>
      <w:r>
        <w:t>5.2.2</w:t>
      </w:r>
    </w:p>
  </w:footnote>
  <w:footnote w:id="14">
    <w:p w14:paraId="4C34D774" w14:textId="08239348" w:rsidR="007A0903" w:rsidRPr="007A0903" w:rsidRDefault="007A0903">
      <w:pPr>
        <w:pStyle w:val="FootnoteText"/>
        <w:rPr>
          <w:lang w:val="en-ZA"/>
        </w:rPr>
      </w:pPr>
      <w:r>
        <w:rPr>
          <w:rStyle w:val="FootnoteReference"/>
        </w:rPr>
        <w:footnoteRef/>
      </w:r>
      <w:r>
        <w:t xml:space="preserve"> </w:t>
      </w:r>
      <w:hyperlink r:id="rId1" w:history="1">
        <w:r w:rsidRPr="00273A66">
          <w:rPr>
            <w:rStyle w:val="Hyperlink"/>
          </w:rPr>
          <w:t>https://uncitral.un.org/en/texts/insolvency/modellaw/cross-border_insolvency</w:t>
        </w:r>
      </w:hyperlink>
      <w:r>
        <w:t>, Key Provisions</w:t>
      </w:r>
    </w:p>
  </w:footnote>
  <w:footnote w:id="15">
    <w:p w14:paraId="71FD90EB" w14:textId="116ED28E" w:rsidR="00B55E6B" w:rsidRPr="00B55E6B" w:rsidRDefault="00B55E6B">
      <w:pPr>
        <w:pStyle w:val="FootnoteText"/>
        <w:rPr>
          <w:lang w:val="en-ZA"/>
        </w:rPr>
      </w:pPr>
      <w:r>
        <w:rPr>
          <w:rStyle w:val="FootnoteReference"/>
        </w:rPr>
        <w:footnoteRef/>
      </w:r>
      <w:r>
        <w:t xml:space="preserve"> </w:t>
      </w:r>
      <w:r>
        <w:t>Guidance Text Mod 1 Introduction to International Insolvency Law</w:t>
      </w:r>
      <w:r>
        <w:t>, 6.1.1, page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8A7"/>
    <w:multiLevelType w:val="hybridMultilevel"/>
    <w:tmpl w:val="1D4A1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9523A1"/>
    <w:multiLevelType w:val="hybridMultilevel"/>
    <w:tmpl w:val="32DC68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F44336"/>
    <w:multiLevelType w:val="hybridMultilevel"/>
    <w:tmpl w:val="8C02AD24"/>
    <w:lvl w:ilvl="0" w:tplc="269ECA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F000DC"/>
    <w:multiLevelType w:val="hybridMultilevel"/>
    <w:tmpl w:val="5BD2E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C14686"/>
    <w:multiLevelType w:val="hybridMultilevel"/>
    <w:tmpl w:val="2C90155E"/>
    <w:lvl w:ilvl="0" w:tplc="D14CD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181E4E"/>
    <w:multiLevelType w:val="hybridMultilevel"/>
    <w:tmpl w:val="34BA1BC6"/>
    <w:lvl w:ilvl="0" w:tplc="018CD62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BC62A99"/>
    <w:multiLevelType w:val="hybridMultilevel"/>
    <w:tmpl w:val="BDA86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64D30"/>
    <w:multiLevelType w:val="hybridMultilevel"/>
    <w:tmpl w:val="3E7449C2"/>
    <w:lvl w:ilvl="0" w:tplc="7FE63748">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A30F0"/>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240FA9"/>
    <w:multiLevelType w:val="hybridMultilevel"/>
    <w:tmpl w:val="197C07C8"/>
    <w:lvl w:ilvl="0" w:tplc="7CB6DD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7B22D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134686">
    <w:abstractNumId w:val="25"/>
  </w:num>
  <w:num w:numId="2" w16cid:durableId="16274565">
    <w:abstractNumId w:val="27"/>
  </w:num>
  <w:num w:numId="3" w16cid:durableId="1246572331">
    <w:abstractNumId w:val="10"/>
  </w:num>
  <w:num w:numId="4" w16cid:durableId="563759397">
    <w:abstractNumId w:val="7"/>
  </w:num>
  <w:num w:numId="5" w16cid:durableId="398939989">
    <w:abstractNumId w:val="13"/>
  </w:num>
  <w:num w:numId="6" w16cid:durableId="1308582863">
    <w:abstractNumId w:val="21"/>
  </w:num>
  <w:num w:numId="7" w16cid:durableId="1204833466">
    <w:abstractNumId w:val="31"/>
  </w:num>
  <w:num w:numId="8" w16cid:durableId="1916817801">
    <w:abstractNumId w:val="20"/>
  </w:num>
  <w:num w:numId="9" w16cid:durableId="1682394146">
    <w:abstractNumId w:val="9"/>
  </w:num>
  <w:num w:numId="10" w16cid:durableId="780683812">
    <w:abstractNumId w:val="12"/>
  </w:num>
  <w:num w:numId="11" w16cid:durableId="1801338014">
    <w:abstractNumId w:val="11"/>
  </w:num>
  <w:num w:numId="12" w16cid:durableId="2124689331">
    <w:abstractNumId w:val="8"/>
  </w:num>
  <w:num w:numId="13" w16cid:durableId="399327421">
    <w:abstractNumId w:val="18"/>
  </w:num>
  <w:num w:numId="14" w16cid:durableId="1285120188">
    <w:abstractNumId w:val="1"/>
  </w:num>
  <w:num w:numId="15" w16cid:durableId="1652900608">
    <w:abstractNumId w:val="6"/>
  </w:num>
  <w:num w:numId="16" w16cid:durableId="2120055696">
    <w:abstractNumId w:val="19"/>
  </w:num>
  <w:num w:numId="17" w16cid:durableId="720902989">
    <w:abstractNumId w:val="16"/>
  </w:num>
  <w:num w:numId="18" w16cid:durableId="2100561864">
    <w:abstractNumId w:val="26"/>
  </w:num>
  <w:num w:numId="19" w16cid:durableId="292715799">
    <w:abstractNumId w:val="23"/>
  </w:num>
  <w:num w:numId="20" w16cid:durableId="837578233">
    <w:abstractNumId w:val="32"/>
  </w:num>
  <w:num w:numId="21" w16cid:durableId="1608660845">
    <w:abstractNumId w:val="24"/>
  </w:num>
  <w:num w:numId="22" w16cid:durableId="1412464144">
    <w:abstractNumId w:val="15"/>
  </w:num>
  <w:num w:numId="23" w16cid:durableId="46925435">
    <w:abstractNumId w:val="22"/>
  </w:num>
  <w:num w:numId="24" w16cid:durableId="619341930">
    <w:abstractNumId w:val="5"/>
  </w:num>
  <w:num w:numId="25" w16cid:durableId="2049841031">
    <w:abstractNumId w:val="29"/>
  </w:num>
  <w:num w:numId="26" w16cid:durableId="1802338172">
    <w:abstractNumId w:val="28"/>
  </w:num>
  <w:num w:numId="27" w16cid:durableId="1202009751">
    <w:abstractNumId w:val="30"/>
  </w:num>
  <w:num w:numId="28" w16cid:durableId="1002045699">
    <w:abstractNumId w:val="4"/>
  </w:num>
  <w:num w:numId="29" w16cid:durableId="1284387913">
    <w:abstractNumId w:val="2"/>
  </w:num>
  <w:num w:numId="30" w16cid:durableId="1602254168">
    <w:abstractNumId w:val="0"/>
  </w:num>
  <w:num w:numId="31" w16cid:durableId="731655342">
    <w:abstractNumId w:val="17"/>
  </w:num>
  <w:num w:numId="32" w16cid:durableId="1728187219">
    <w:abstractNumId w:val="3"/>
  </w:num>
  <w:num w:numId="33" w16cid:durableId="39475879">
    <w:abstractNumId w:val="14"/>
  </w:num>
  <w:num w:numId="34" w16cid:durableId="2060518907">
    <w:abstractNumId w:val="2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962"/>
    <w:rsid w:val="00010BA0"/>
    <w:rsid w:val="000250C7"/>
    <w:rsid w:val="0002784D"/>
    <w:rsid w:val="00037621"/>
    <w:rsid w:val="00044D46"/>
    <w:rsid w:val="00045088"/>
    <w:rsid w:val="00045904"/>
    <w:rsid w:val="00055893"/>
    <w:rsid w:val="00057D1C"/>
    <w:rsid w:val="00065166"/>
    <w:rsid w:val="00082609"/>
    <w:rsid w:val="000851CC"/>
    <w:rsid w:val="00093BE8"/>
    <w:rsid w:val="000A68ED"/>
    <w:rsid w:val="000B35F2"/>
    <w:rsid w:val="000B502B"/>
    <w:rsid w:val="000B5FF1"/>
    <w:rsid w:val="000B609F"/>
    <w:rsid w:val="000D55A8"/>
    <w:rsid w:val="000E329C"/>
    <w:rsid w:val="000E4841"/>
    <w:rsid w:val="000F1677"/>
    <w:rsid w:val="000F3D6C"/>
    <w:rsid w:val="00101707"/>
    <w:rsid w:val="00110DA3"/>
    <w:rsid w:val="0011473D"/>
    <w:rsid w:val="0011516B"/>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97113"/>
    <w:rsid w:val="001A7E9A"/>
    <w:rsid w:val="001B5016"/>
    <w:rsid w:val="001C2C64"/>
    <w:rsid w:val="001C45FC"/>
    <w:rsid w:val="001D1739"/>
    <w:rsid w:val="001D4862"/>
    <w:rsid w:val="001E25B9"/>
    <w:rsid w:val="001E49E0"/>
    <w:rsid w:val="001E7B5A"/>
    <w:rsid w:val="001F0D6D"/>
    <w:rsid w:val="001F7412"/>
    <w:rsid w:val="0020725B"/>
    <w:rsid w:val="002153CE"/>
    <w:rsid w:val="00230BE9"/>
    <w:rsid w:val="00236A0E"/>
    <w:rsid w:val="00241B44"/>
    <w:rsid w:val="00245EFB"/>
    <w:rsid w:val="0026515D"/>
    <w:rsid w:val="002668D3"/>
    <w:rsid w:val="0027299F"/>
    <w:rsid w:val="00277A7C"/>
    <w:rsid w:val="00284EBE"/>
    <w:rsid w:val="00286AE6"/>
    <w:rsid w:val="00286D88"/>
    <w:rsid w:val="0029433F"/>
    <w:rsid w:val="00294829"/>
    <w:rsid w:val="0029690F"/>
    <w:rsid w:val="00296B9C"/>
    <w:rsid w:val="002A255B"/>
    <w:rsid w:val="002A2A60"/>
    <w:rsid w:val="002B1C45"/>
    <w:rsid w:val="002C13C8"/>
    <w:rsid w:val="002C1671"/>
    <w:rsid w:val="002C3547"/>
    <w:rsid w:val="002C686D"/>
    <w:rsid w:val="002D0021"/>
    <w:rsid w:val="002D31CD"/>
    <w:rsid w:val="002D3473"/>
    <w:rsid w:val="002E7DA6"/>
    <w:rsid w:val="002F1956"/>
    <w:rsid w:val="002F3440"/>
    <w:rsid w:val="002F75A3"/>
    <w:rsid w:val="00303C2F"/>
    <w:rsid w:val="003144EF"/>
    <w:rsid w:val="003172AB"/>
    <w:rsid w:val="00320CEF"/>
    <w:rsid w:val="00324D26"/>
    <w:rsid w:val="00330937"/>
    <w:rsid w:val="00330F31"/>
    <w:rsid w:val="00334648"/>
    <w:rsid w:val="0033579A"/>
    <w:rsid w:val="0033768C"/>
    <w:rsid w:val="00337938"/>
    <w:rsid w:val="00340769"/>
    <w:rsid w:val="00341AA6"/>
    <w:rsid w:val="00361A0A"/>
    <w:rsid w:val="0036565C"/>
    <w:rsid w:val="0036625E"/>
    <w:rsid w:val="00371A8D"/>
    <w:rsid w:val="0037465A"/>
    <w:rsid w:val="00374696"/>
    <w:rsid w:val="00382C98"/>
    <w:rsid w:val="0038533C"/>
    <w:rsid w:val="003948D5"/>
    <w:rsid w:val="00396821"/>
    <w:rsid w:val="00397D3A"/>
    <w:rsid w:val="003A051E"/>
    <w:rsid w:val="003A2F8D"/>
    <w:rsid w:val="003A3807"/>
    <w:rsid w:val="003B170F"/>
    <w:rsid w:val="003C4471"/>
    <w:rsid w:val="003C606C"/>
    <w:rsid w:val="003D0A6D"/>
    <w:rsid w:val="003D2DA8"/>
    <w:rsid w:val="003E0B16"/>
    <w:rsid w:val="003E67D1"/>
    <w:rsid w:val="003F5758"/>
    <w:rsid w:val="003F624F"/>
    <w:rsid w:val="00405DC1"/>
    <w:rsid w:val="00411B48"/>
    <w:rsid w:val="00415F1F"/>
    <w:rsid w:val="0042108F"/>
    <w:rsid w:val="00422DDA"/>
    <w:rsid w:val="00430FED"/>
    <w:rsid w:val="0043427C"/>
    <w:rsid w:val="00434A8C"/>
    <w:rsid w:val="00444284"/>
    <w:rsid w:val="00445CE6"/>
    <w:rsid w:val="004501F3"/>
    <w:rsid w:val="00452AD5"/>
    <w:rsid w:val="004534C2"/>
    <w:rsid w:val="0045683E"/>
    <w:rsid w:val="00464F48"/>
    <w:rsid w:val="00480602"/>
    <w:rsid w:val="00491675"/>
    <w:rsid w:val="00493855"/>
    <w:rsid w:val="004A16A3"/>
    <w:rsid w:val="004A4484"/>
    <w:rsid w:val="004A57DD"/>
    <w:rsid w:val="004A7B51"/>
    <w:rsid w:val="004A7D71"/>
    <w:rsid w:val="004A7EF3"/>
    <w:rsid w:val="004B11FD"/>
    <w:rsid w:val="004B23A2"/>
    <w:rsid w:val="004C1306"/>
    <w:rsid w:val="004C778A"/>
    <w:rsid w:val="004D065B"/>
    <w:rsid w:val="004D1A5A"/>
    <w:rsid w:val="004D3721"/>
    <w:rsid w:val="004D64F9"/>
    <w:rsid w:val="004E14A8"/>
    <w:rsid w:val="004F5FDF"/>
    <w:rsid w:val="005161B0"/>
    <w:rsid w:val="005177FE"/>
    <w:rsid w:val="0052263B"/>
    <w:rsid w:val="00523416"/>
    <w:rsid w:val="00524728"/>
    <w:rsid w:val="00526254"/>
    <w:rsid w:val="005331CA"/>
    <w:rsid w:val="00537970"/>
    <w:rsid w:val="00544127"/>
    <w:rsid w:val="00547EDA"/>
    <w:rsid w:val="00553EB2"/>
    <w:rsid w:val="00560534"/>
    <w:rsid w:val="0056391B"/>
    <w:rsid w:val="005650E2"/>
    <w:rsid w:val="00567075"/>
    <w:rsid w:val="00575B2D"/>
    <w:rsid w:val="005833D0"/>
    <w:rsid w:val="005846F3"/>
    <w:rsid w:val="0058622F"/>
    <w:rsid w:val="00592F82"/>
    <w:rsid w:val="005A0CCA"/>
    <w:rsid w:val="005A726D"/>
    <w:rsid w:val="005B4A7C"/>
    <w:rsid w:val="005B67AC"/>
    <w:rsid w:val="005D43E0"/>
    <w:rsid w:val="005D4AE2"/>
    <w:rsid w:val="005D5692"/>
    <w:rsid w:val="005D58A3"/>
    <w:rsid w:val="005E1B79"/>
    <w:rsid w:val="005F026D"/>
    <w:rsid w:val="005F2D0B"/>
    <w:rsid w:val="005F4B31"/>
    <w:rsid w:val="005F6250"/>
    <w:rsid w:val="00602B92"/>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61B8"/>
    <w:rsid w:val="00677AEB"/>
    <w:rsid w:val="00687A1D"/>
    <w:rsid w:val="00693435"/>
    <w:rsid w:val="00694B2E"/>
    <w:rsid w:val="00697EA1"/>
    <w:rsid w:val="006A2646"/>
    <w:rsid w:val="006A6530"/>
    <w:rsid w:val="006B1CA2"/>
    <w:rsid w:val="006B435A"/>
    <w:rsid w:val="006B4C64"/>
    <w:rsid w:val="006C1C92"/>
    <w:rsid w:val="006D01C2"/>
    <w:rsid w:val="006E481A"/>
    <w:rsid w:val="006E5298"/>
    <w:rsid w:val="006F734A"/>
    <w:rsid w:val="00700D83"/>
    <w:rsid w:val="007074E9"/>
    <w:rsid w:val="00713DA4"/>
    <w:rsid w:val="00714BF1"/>
    <w:rsid w:val="00721383"/>
    <w:rsid w:val="00727E4C"/>
    <w:rsid w:val="00731070"/>
    <w:rsid w:val="007333CC"/>
    <w:rsid w:val="0073399A"/>
    <w:rsid w:val="0073459E"/>
    <w:rsid w:val="007461BB"/>
    <w:rsid w:val="007603F5"/>
    <w:rsid w:val="00764DB0"/>
    <w:rsid w:val="0076764D"/>
    <w:rsid w:val="00771B79"/>
    <w:rsid w:val="0077498C"/>
    <w:rsid w:val="007806D0"/>
    <w:rsid w:val="00784128"/>
    <w:rsid w:val="00786508"/>
    <w:rsid w:val="0079112C"/>
    <w:rsid w:val="00793173"/>
    <w:rsid w:val="007A0903"/>
    <w:rsid w:val="007B7A6D"/>
    <w:rsid w:val="007C1459"/>
    <w:rsid w:val="007C1FCC"/>
    <w:rsid w:val="007C2C68"/>
    <w:rsid w:val="007C2DF4"/>
    <w:rsid w:val="007C6201"/>
    <w:rsid w:val="007D3F4D"/>
    <w:rsid w:val="007D7C92"/>
    <w:rsid w:val="007E06B1"/>
    <w:rsid w:val="007E1154"/>
    <w:rsid w:val="007F41F8"/>
    <w:rsid w:val="007F45F1"/>
    <w:rsid w:val="008031A7"/>
    <w:rsid w:val="0080454E"/>
    <w:rsid w:val="00804C32"/>
    <w:rsid w:val="00806302"/>
    <w:rsid w:val="00807119"/>
    <w:rsid w:val="008127D5"/>
    <w:rsid w:val="00823301"/>
    <w:rsid w:val="0082483F"/>
    <w:rsid w:val="008279C0"/>
    <w:rsid w:val="00827D56"/>
    <w:rsid w:val="00832C81"/>
    <w:rsid w:val="00845610"/>
    <w:rsid w:val="008475A0"/>
    <w:rsid w:val="00860A35"/>
    <w:rsid w:val="00861140"/>
    <w:rsid w:val="00862A70"/>
    <w:rsid w:val="008723F3"/>
    <w:rsid w:val="00874172"/>
    <w:rsid w:val="00875FCA"/>
    <w:rsid w:val="00881DE6"/>
    <w:rsid w:val="008837A6"/>
    <w:rsid w:val="0088434E"/>
    <w:rsid w:val="00884B9A"/>
    <w:rsid w:val="0089145D"/>
    <w:rsid w:val="008A48A7"/>
    <w:rsid w:val="008A6CFE"/>
    <w:rsid w:val="008B5333"/>
    <w:rsid w:val="008B6223"/>
    <w:rsid w:val="008B6639"/>
    <w:rsid w:val="008C66E0"/>
    <w:rsid w:val="008C7D50"/>
    <w:rsid w:val="008E3339"/>
    <w:rsid w:val="008F20FC"/>
    <w:rsid w:val="008F6301"/>
    <w:rsid w:val="00905A43"/>
    <w:rsid w:val="00910517"/>
    <w:rsid w:val="00912C79"/>
    <w:rsid w:val="0093512B"/>
    <w:rsid w:val="00942123"/>
    <w:rsid w:val="0095207B"/>
    <w:rsid w:val="00955AF1"/>
    <w:rsid w:val="00962045"/>
    <w:rsid w:val="009634F4"/>
    <w:rsid w:val="00974CBC"/>
    <w:rsid w:val="0097577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316B"/>
    <w:rsid w:val="009E4DE3"/>
    <w:rsid w:val="00A005FC"/>
    <w:rsid w:val="00A047EE"/>
    <w:rsid w:val="00A20ED9"/>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12D6"/>
    <w:rsid w:val="00AD6A7D"/>
    <w:rsid w:val="00AF228E"/>
    <w:rsid w:val="00B13AEA"/>
    <w:rsid w:val="00B14819"/>
    <w:rsid w:val="00B17AA9"/>
    <w:rsid w:val="00B30E80"/>
    <w:rsid w:val="00B55E6B"/>
    <w:rsid w:val="00B72AE1"/>
    <w:rsid w:val="00B736DF"/>
    <w:rsid w:val="00B74FBD"/>
    <w:rsid w:val="00B82586"/>
    <w:rsid w:val="00B86DB1"/>
    <w:rsid w:val="00B87869"/>
    <w:rsid w:val="00BB0F2B"/>
    <w:rsid w:val="00BF1C6F"/>
    <w:rsid w:val="00BF50F7"/>
    <w:rsid w:val="00C02F29"/>
    <w:rsid w:val="00C03E7E"/>
    <w:rsid w:val="00C053F7"/>
    <w:rsid w:val="00C13183"/>
    <w:rsid w:val="00C21126"/>
    <w:rsid w:val="00C22A25"/>
    <w:rsid w:val="00C3225F"/>
    <w:rsid w:val="00C33C6C"/>
    <w:rsid w:val="00C35671"/>
    <w:rsid w:val="00C35B77"/>
    <w:rsid w:val="00C376EB"/>
    <w:rsid w:val="00C46EC1"/>
    <w:rsid w:val="00C53E2C"/>
    <w:rsid w:val="00C550C8"/>
    <w:rsid w:val="00C606C3"/>
    <w:rsid w:val="00C72848"/>
    <w:rsid w:val="00C75100"/>
    <w:rsid w:val="00C7736C"/>
    <w:rsid w:val="00C82D87"/>
    <w:rsid w:val="00C8712A"/>
    <w:rsid w:val="00C963D3"/>
    <w:rsid w:val="00CB2CBB"/>
    <w:rsid w:val="00CB3E1F"/>
    <w:rsid w:val="00CB7CAC"/>
    <w:rsid w:val="00CC0264"/>
    <w:rsid w:val="00CC5335"/>
    <w:rsid w:val="00CC5BA4"/>
    <w:rsid w:val="00CD4998"/>
    <w:rsid w:val="00CE1035"/>
    <w:rsid w:val="00CF2819"/>
    <w:rsid w:val="00CF4F9D"/>
    <w:rsid w:val="00CF70DC"/>
    <w:rsid w:val="00D06602"/>
    <w:rsid w:val="00D104E4"/>
    <w:rsid w:val="00D148DC"/>
    <w:rsid w:val="00D17FDC"/>
    <w:rsid w:val="00D63EFD"/>
    <w:rsid w:val="00D74CC2"/>
    <w:rsid w:val="00D84752"/>
    <w:rsid w:val="00D86B3B"/>
    <w:rsid w:val="00D8748A"/>
    <w:rsid w:val="00D93196"/>
    <w:rsid w:val="00D94ADD"/>
    <w:rsid w:val="00DB243C"/>
    <w:rsid w:val="00DB482A"/>
    <w:rsid w:val="00DB56F2"/>
    <w:rsid w:val="00DB6EF5"/>
    <w:rsid w:val="00DC0391"/>
    <w:rsid w:val="00DC3089"/>
    <w:rsid w:val="00DC4420"/>
    <w:rsid w:val="00DD0802"/>
    <w:rsid w:val="00DD24DE"/>
    <w:rsid w:val="00DD2E11"/>
    <w:rsid w:val="00DE03AF"/>
    <w:rsid w:val="00DE121C"/>
    <w:rsid w:val="00DE6633"/>
    <w:rsid w:val="00DF75F8"/>
    <w:rsid w:val="00DF7A3A"/>
    <w:rsid w:val="00E00C00"/>
    <w:rsid w:val="00E07C5A"/>
    <w:rsid w:val="00E1292C"/>
    <w:rsid w:val="00E132A4"/>
    <w:rsid w:val="00E15BA9"/>
    <w:rsid w:val="00E26E19"/>
    <w:rsid w:val="00E450A4"/>
    <w:rsid w:val="00E506BE"/>
    <w:rsid w:val="00E55547"/>
    <w:rsid w:val="00E6302B"/>
    <w:rsid w:val="00E6452F"/>
    <w:rsid w:val="00E64F45"/>
    <w:rsid w:val="00E65FEA"/>
    <w:rsid w:val="00E6742D"/>
    <w:rsid w:val="00E71CB0"/>
    <w:rsid w:val="00E77C3D"/>
    <w:rsid w:val="00E909F0"/>
    <w:rsid w:val="00E93993"/>
    <w:rsid w:val="00EA0913"/>
    <w:rsid w:val="00EB45AC"/>
    <w:rsid w:val="00ED0BC4"/>
    <w:rsid w:val="00EE4971"/>
    <w:rsid w:val="00EE744D"/>
    <w:rsid w:val="00EF090E"/>
    <w:rsid w:val="00EF4C3B"/>
    <w:rsid w:val="00F033DA"/>
    <w:rsid w:val="00F27CD8"/>
    <w:rsid w:val="00F30351"/>
    <w:rsid w:val="00F3323E"/>
    <w:rsid w:val="00F341F4"/>
    <w:rsid w:val="00F35CCE"/>
    <w:rsid w:val="00F44220"/>
    <w:rsid w:val="00F5524B"/>
    <w:rsid w:val="00F61DD2"/>
    <w:rsid w:val="00F66AFF"/>
    <w:rsid w:val="00F7081D"/>
    <w:rsid w:val="00F71433"/>
    <w:rsid w:val="00F97C5B"/>
    <w:rsid w:val="00FA3D50"/>
    <w:rsid w:val="00FA3D5F"/>
    <w:rsid w:val="00FC374A"/>
    <w:rsid w:val="00FC3DAE"/>
    <w:rsid w:val="00FC7B47"/>
    <w:rsid w:val="00FD035C"/>
    <w:rsid w:val="00FD1A35"/>
    <w:rsid w:val="00FD36C5"/>
    <w:rsid w:val="00FD6310"/>
    <w:rsid w:val="00FD7C7B"/>
    <w:rsid w:val="00FE1D12"/>
    <w:rsid w:val="00FE2122"/>
    <w:rsid w:val="00FE2A86"/>
    <w:rsid w:val="00FF296F"/>
    <w:rsid w:val="00FF31A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7C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61B0"/>
    <w:rPr>
      <w:i/>
      <w:iCs/>
    </w:rPr>
  </w:style>
  <w:style w:type="character" w:styleId="UnresolvedMention">
    <w:name w:val="Unresolved Mention"/>
    <w:basedOn w:val="DefaultParagraphFont"/>
    <w:uiPriority w:val="99"/>
    <w:semiHidden/>
    <w:unhideWhenUsed/>
    <w:rsid w:val="007A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9227">
      <w:bodyDiv w:val="1"/>
      <w:marLeft w:val="0"/>
      <w:marRight w:val="0"/>
      <w:marTop w:val="0"/>
      <w:marBottom w:val="0"/>
      <w:divBdr>
        <w:top w:val="none" w:sz="0" w:space="0" w:color="auto"/>
        <w:left w:val="none" w:sz="0" w:space="0" w:color="auto"/>
        <w:bottom w:val="none" w:sz="0" w:space="0" w:color="auto"/>
        <w:right w:val="none" w:sz="0" w:space="0" w:color="auto"/>
      </w:divBdr>
    </w:div>
    <w:div w:id="40942913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78710744">
      <w:bodyDiv w:val="1"/>
      <w:marLeft w:val="0"/>
      <w:marRight w:val="0"/>
      <w:marTop w:val="0"/>
      <w:marBottom w:val="0"/>
      <w:divBdr>
        <w:top w:val="none" w:sz="0" w:space="0" w:color="auto"/>
        <w:left w:val="none" w:sz="0" w:space="0" w:color="auto"/>
        <w:bottom w:val="none" w:sz="0" w:space="0" w:color="auto"/>
        <w:right w:val="none" w:sz="0" w:space="0" w:color="auto"/>
      </w:divBdr>
    </w:div>
    <w:div w:id="630667879">
      <w:bodyDiv w:val="1"/>
      <w:marLeft w:val="0"/>
      <w:marRight w:val="0"/>
      <w:marTop w:val="0"/>
      <w:marBottom w:val="0"/>
      <w:divBdr>
        <w:top w:val="none" w:sz="0" w:space="0" w:color="auto"/>
        <w:left w:val="none" w:sz="0" w:space="0" w:color="auto"/>
        <w:bottom w:val="none" w:sz="0" w:space="0" w:color="auto"/>
        <w:right w:val="none" w:sz="0" w:space="0" w:color="auto"/>
      </w:divBdr>
    </w:div>
    <w:div w:id="71670507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5303061">
      <w:bodyDiv w:val="1"/>
      <w:marLeft w:val="0"/>
      <w:marRight w:val="0"/>
      <w:marTop w:val="0"/>
      <w:marBottom w:val="0"/>
      <w:divBdr>
        <w:top w:val="none" w:sz="0" w:space="0" w:color="auto"/>
        <w:left w:val="none" w:sz="0" w:space="0" w:color="auto"/>
        <w:bottom w:val="none" w:sz="0" w:space="0" w:color="auto"/>
        <w:right w:val="none" w:sz="0" w:space="0" w:color="auto"/>
      </w:divBdr>
    </w:div>
    <w:div w:id="1349411600">
      <w:bodyDiv w:val="1"/>
      <w:marLeft w:val="0"/>
      <w:marRight w:val="0"/>
      <w:marTop w:val="0"/>
      <w:marBottom w:val="0"/>
      <w:divBdr>
        <w:top w:val="none" w:sz="0" w:space="0" w:color="auto"/>
        <w:left w:val="none" w:sz="0" w:space="0" w:color="auto"/>
        <w:bottom w:val="none" w:sz="0" w:space="0" w:color="auto"/>
        <w:right w:val="none" w:sz="0" w:space="0" w:color="auto"/>
      </w:divBdr>
    </w:div>
    <w:div w:id="1528905762">
      <w:bodyDiv w:val="1"/>
      <w:marLeft w:val="0"/>
      <w:marRight w:val="0"/>
      <w:marTop w:val="0"/>
      <w:marBottom w:val="0"/>
      <w:divBdr>
        <w:top w:val="none" w:sz="0" w:space="0" w:color="auto"/>
        <w:left w:val="none" w:sz="0" w:space="0" w:color="auto"/>
        <w:bottom w:val="none" w:sz="0" w:space="0" w:color="auto"/>
        <w:right w:val="none" w:sz="0" w:space="0" w:color="auto"/>
      </w:divBdr>
    </w:div>
    <w:div w:id="195154987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en/texts/insolvency/modellaw/cross-border_insolv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Raakesh Maharaj</cp:lastModifiedBy>
  <cp:revision>7</cp:revision>
  <cp:lastPrinted>2019-09-04T19:15:00Z</cp:lastPrinted>
  <dcterms:created xsi:type="dcterms:W3CDTF">2022-10-14T07:28:00Z</dcterms:created>
  <dcterms:modified xsi:type="dcterms:W3CDTF">2022-10-14T08:59:00Z</dcterms:modified>
</cp:coreProperties>
</file>