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w:t>
      </w:r>
      <w:proofErr w:type="gramStart"/>
      <w:r w:rsidRPr="00875FCA">
        <w:rPr>
          <w:rFonts w:ascii="Avenir Next" w:hAnsi="Avenir Next" w:cs="Arial"/>
          <w:bCs/>
          <w:color w:val="767171" w:themeColor="background2" w:themeShade="80"/>
          <w:sz w:val="22"/>
          <w:szCs w:val="22"/>
          <w:lang w:val="en-GB"/>
        </w:rPr>
        <w:t>is designed</w:t>
      </w:r>
      <w:proofErr w:type="gramEnd"/>
      <w:r w:rsidRPr="00875FCA">
        <w:rPr>
          <w:rFonts w:ascii="Avenir Next" w:hAnsi="Avenir Next" w:cs="Arial"/>
          <w:bCs/>
          <w:color w:val="767171" w:themeColor="background2" w:themeShade="80"/>
          <w:sz w:val="22"/>
          <w:szCs w:val="22"/>
          <w:lang w:val="en-GB"/>
        </w:rPr>
        <w:t xml:space="preserve">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t>
      </w:r>
      <w:proofErr w:type="gramStart"/>
      <w:r w:rsidRPr="00875FCA">
        <w:rPr>
          <w:rFonts w:ascii="Avenir Next" w:hAnsi="Avenir Next" w:cs="Arial"/>
          <w:bCs/>
          <w:color w:val="767171" w:themeColor="background2" w:themeShade="80"/>
          <w:sz w:val="22"/>
          <w:szCs w:val="22"/>
          <w:lang w:val="en-GB"/>
        </w:rPr>
        <w:t>will be made</w:t>
      </w:r>
      <w:proofErr w:type="gramEnd"/>
      <w:r w:rsidRPr="00875FCA">
        <w:rPr>
          <w:rFonts w:ascii="Avenir Next" w:hAnsi="Avenir Next" w:cs="Arial"/>
          <w:bCs/>
          <w:color w:val="767171" w:themeColor="background2" w:themeShade="80"/>
          <w:sz w:val="22"/>
          <w:szCs w:val="22"/>
          <w:lang w:val="en-GB"/>
        </w:rPr>
        <w:t xml:space="preserv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w:t>
      </w:r>
      <w:proofErr w:type="gramStart"/>
      <w:r w:rsidRPr="000E329C">
        <w:rPr>
          <w:rFonts w:ascii="Avenir Next" w:hAnsi="Avenir Next" w:cs="Arial"/>
          <w:sz w:val="22"/>
          <w:szCs w:val="22"/>
          <w:lang w:val="en-GB"/>
        </w:rPr>
        <w:t>must be completed</w:t>
      </w:r>
      <w:proofErr w:type="gramEnd"/>
      <w:r w:rsidRPr="000E329C">
        <w:rPr>
          <w:rFonts w:ascii="Avenir Next" w:hAnsi="Avenir Next" w:cs="Arial"/>
          <w:sz w:val="22"/>
          <w:szCs w:val="22"/>
          <w:lang w:val="en-GB"/>
        </w:rPr>
        <w:t xml:space="preserve">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w:t>
      </w:r>
      <w:proofErr w:type="gramStart"/>
      <w:r w:rsidRPr="000E329C">
        <w:rPr>
          <w:rFonts w:ascii="Avenir Next" w:hAnsi="Avenir Next" w:cs="Arial"/>
          <w:sz w:val="22"/>
          <w:szCs w:val="22"/>
          <w:lang w:val="en-GB"/>
        </w:rPr>
        <w:t>a</w:t>
      </w:r>
      <w:proofErr w:type="gramEnd"/>
      <w:r w:rsidRPr="000E329C">
        <w:rPr>
          <w:rFonts w:ascii="Avenir Next" w:hAnsi="Avenir Next" w:cs="Arial"/>
          <w:sz w:val="22"/>
          <w:szCs w:val="22"/>
          <w:lang w:val="en-GB"/>
        </w:rPr>
        <w:t xml:space="preserve">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t>
      </w:r>
      <w:proofErr w:type="gramStart"/>
      <w:r w:rsidRPr="000E329C">
        <w:rPr>
          <w:rFonts w:ascii="Avenir Next" w:hAnsi="Avenir Next" w:cs="Arial"/>
          <w:sz w:val="22"/>
          <w:szCs w:val="22"/>
          <w:lang w:val="en-GB"/>
        </w:rPr>
        <w:t>will be returned</w:t>
      </w:r>
      <w:proofErr w:type="gramEnd"/>
      <w:r w:rsidRPr="000E329C">
        <w:rPr>
          <w:rFonts w:ascii="Avenir Next" w:hAnsi="Avenir Next" w:cs="Arial"/>
          <w:sz w:val="22"/>
          <w:szCs w:val="22"/>
          <w:lang w:val="en-GB"/>
        </w:rPr>
        <w:t xml:space="preserve">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w:t>
      </w:r>
      <w:proofErr w:type="gramStart"/>
      <w:r w:rsidRPr="000E329C">
        <w:rPr>
          <w:rFonts w:ascii="Avenir Next" w:hAnsi="Avenir Next" w:cs="Arial"/>
          <w:bCs/>
          <w:sz w:val="22"/>
          <w:szCs w:val="22"/>
          <w:lang w:val="en-GB"/>
        </w:rPr>
        <w:t>has been pre-populated</w:t>
      </w:r>
      <w:proofErr w:type="gramEnd"/>
      <w:r w:rsidRPr="000E329C">
        <w:rPr>
          <w:rFonts w:ascii="Avenir Next" w:hAnsi="Avenir Next" w:cs="Arial"/>
          <w:bCs/>
          <w:sz w:val="22"/>
          <w:szCs w:val="22"/>
          <w:lang w:val="en-GB"/>
        </w:rPr>
        <w:t xml:space="preserve">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 xml:space="preserve">Assessments that do not comply with this instruction </w:t>
      </w:r>
      <w:proofErr w:type="gramStart"/>
      <w:r w:rsidRPr="00827D56">
        <w:rPr>
          <w:rFonts w:ascii="Avenir Next Demi Bold" w:hAnsi="Avenir Next Demi Bold" w:cs="Arial"/>
          <w:b/>
          <w:bCs/>
          <w:sz w:val="22"/>
          <w:szCs w:val="22"/>
          <w:lang w:val="en-GB"/>
        </w:rPr>
        <w:t>will be returned</w:t>
      </w:r>
      <w:proofErr w:type="gramEnd"/>
      <w:r w:rsidRPr="00827D56">
        <w:rPr>
          <w:rFonts w:ascii="Avenir Next Demi Bold" w:hAnsi="Avenir Next Demi Bold" w:cs="Arial"/>
          <w:b/>
          <w:bCs/>
          <w:sz w:val="22"/>
          <w:szCs w:val="22"/>
          <w:lang w:val="en-GB"/>
        </w:rPr>
        <w:t xml:space="preserve">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t>
      </w:r>
      <w:proofErr w:type="gramStart"/>
      <w:r w:rsidRPr="000E329C">
        <w:rPr>
          <w:rFonts w:ascii="Avenir Next" w:hAnsi="Avenir Next" w:cs="Arial"/>
          <w:sz w:val="22"/>
          <w:szCs w:val="22"/>
          <w:lang w:val="en-GB"/>
        </w:rPr>
        <w:t>will be allowed</w:t>
      </w:r>
      <w:proofErr w:type="gramEnd"/>
      <w:r w:rsidRPr="000E329C">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 xml:space="preserve">Please note that copying and pasting from the Guidance Text into your answer </w:t>
      </w:r>
      <w:proofErr w:type="gramStart"/>
      <w:r w:rsidRPr="00827D56">
        <w:rPr>
          <w:rFonts w:ascii="Avenir Next Demi Bold" w:hAnsi="Avenir Next Demi Bold" w:cs="Arial"/>
          <w:b/>
          <w:bCs/>
          <w:sz w:val="22"/>
          <w:szCs w:val="22"/>
          <w:lang w:val="en-GB"/>
        </w:rPr>
        <w:t>is prohibited</w:t>
      </w:r>
      <w:proofErr w:type="gramEnd"/>
      <w:r w:rsidRPr="00827D56">
        <w:rPr>
          <w:rFonts w:ascii="Avenir Next Demi Bold" w:hAnsi="Avenir Next Demi Bold" w:cs="Arial"/>
          <w:b/>
          <w:bCs/>
          <w:sz w:val="22"/>
          <w:szCs w:val="22"/>
          <w:lang w:val="en-GB"/>
        </w:rPr>
        <w:t xml:space="preserve">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No submissions </w:t>
      </w:r>
      <w:proofErr w:type="gramStart"/>
      <w:r w:rsidRPr="000E329C">
        <w:rPr>
          <w:rFonts w:ascii="Avenir Next" w:hAnsi="Avenir Next" w:cs="Arial"/>
          <w:sz w:val="22"/>
          <w:szCs w:val="22"/>
          <w:lang w:val="en-GB"/>
        </w:rPr>
        <w:t>can be made</w:t>
      </w:r>
      <w:proofErr w:type="gramEnd"/>
      <w:r w:rsidRPr="000E329C">
        <w:rPr>
          <w:rFonts w:ascii="Avenir Next" w:hAnsi="Avenir Next" w:cs="Arial"/>
          <w:sz w:val="22"/>
          <w:szCs w:val="22"/>
          <w:lang w:val="en-GB"/>
        </w:rPr>
        <w:t xml:space="preserv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w:t>
      </w:r>
      <w:proofErr w:type="gramStart"/>
      <w:r w:rsidRPr="000E329C">
        <w:rPr>
          <w:rFonts w:ascii="Avenir Next" w:hAnsi="Avenir Next" w:cs="Arial"/>
          <w:sz w:val="22"/>
          <w:szCs w:val="22"/>
          <w:lang w:val="en-GB"/>
        </w:rPr>
        <w:t>being populated</w:t>
      </w:r>
      <w:proofErr w:type="gramEnd"/>
      <w:r w:rsidRPr="000E329C">
        <w:rPr>
          <w:rFonts w:ascii="Avenir Next" w:hAnsi="Avenir Next" w:cs="Arial"/>
          <w:sz w:val="22"/>
          <w:szCs w:val="22"/>
          <w:lang w:val="en-GB"/>
        </w:rPr>
        <w:t xml:space="preserve">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w:t>
      </w:r>
      <w:proofErr w:type="gramStart"/>
      <w:r w:rsidRPr="00827D56">
        <w:rPr>
          <w:rFonts w:ascii="Avenir Next" w:hAnsi="Avenir Next" w:cs="Arial"/>
          <w:sz w:val="22"/>
          <w:szCs w:val="22"/>
          <w:lang w:val="en-GB"/>
        </w:rPr>
        <w:t>are</w:t>
      </w:r>
      <w:proofErr w:type="gramEnd"/>
      <w:r w:rsidRPr="00827D5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55AD8" w:rsidRDefault="00B736DF" w:rsidP="009E1027">
      <w:pPr>
        <w:pStyle w:val="a3"/>
        <w:numPr>
          <w:ilvl w:val="0"/>
          <w:numId w:val="12"/>
        </w:numPr>
        <w:ind w:left="426"/>
        <w:jc w:val="both"/>
        <w:rPr>
          <w:rFonts w:ascii="Avenir Next" w:hAnsi="Avenir Next" w:cs="Arial"/>
          <w:sz w:val="22"/>
          <w:szCs w:val="22"/>
          <w:highlight w:val="yellow"/>
          <w:lang w:val="en-GB"/>
        </w:rPr>
      </w:pPr>
      <w:r w:rsidRPr="00755AD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855B6" w:rsidRDefault="00161F1B" w:rsidP="009E1027">
      <w:pPr>
        <w:pStyle w:val="a3"/>
        <w:numPr>
          <w:ilvl w:val="0"/>
          <w:numId w:val="13"/>
        </w:numPr>
        <w:ind w:left="426"/>
        <w:jc w:val="both"/>
        <w:rPr>
          <w:rFonts w:ascii="Avenir Next" w:hAnsi="Avenir Next" w:cs="Arial"/>
          <w:sz w:val="22"/>
          <w:szCs w:val="22"/>
          <w:highlight w:val="yellow"/>
          <w:lang w:val="en-GB"/>
        </w:rPr>
      </w:pPr>
      <w:r w:rsidRPr="00E855B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855B6" w:rsidRDefault="009E2E27" w:rsidP="008031A7">
      <w:pPr>
        <w:pStyle w:val="a3"/>
        <w:numPr>
          <w:ilvl w:val="0"/>
          <w:numId w:val="14"/>
        </w:numPr>
        <w:ind w:left="426"/>
        <w:jc w:val="both"/>
        <w:rPr>
          <w:rFonts w:ascii="Avenir Next" w:hAnsi="Avenir Next" w:cs="Arial"/>
          <w:sz w:val="22"/>
          <w:szCs w:val="22"/>
          <w:highlight w:val="yellow"/>
          <w:lang w:val="en-GB"/>
        </w:rPr>
      </w:pPr>
      <w:r w:rsidRPr="00E855B6">
        <w:rPr>
          <w:rFonts w:ascii="Avenir Next" w:hAnsi="Avenir Next" w:cs="Arial"/>
          <w:sz w:val="22"/>
          <w:szCs w:val="22"/>
          <w:highlight w:val="yellow"/>
          <w:lang w:val="en-GB"/>
        </w:rPr>
        <w:t xml:space="preserve">This statement is untrue because the Legislative Guide serves merely as soft law and contains best practice to </w:t>
      </w:r>
      <w:proofErr w:type="gramStart"/>
      <w:r w:rsidRPr="00E855B6">
        <w:rPr>
          <w:rFonts w:ascii="Avenir Next" w:hAnsi="Avenir Next" w:cs="Arial"/>
          <w:sz w:val="22"/>
          <w:szCs w:val="22"/>
          <w:highlight w:val="yellow"/>
          <w:lang w:val="en-GB"/>
        </w:rPr>
        <w:t>be considered</w:t>
      </w:r>
      <w:proofErr w:type="gramEnd"/>
      <w:r w:rsidRPr="00E855B6">
        <w:rPr>
          <w:rFonts w:ascii="Avenir Next" w:hAnsi="Avenir Next" w:cs="Arial"/>
          <w:sz w:val="22"/>
          <w:szCs w:val="22"/>
          <w:highlight w:val="yellow"/>
          <w:lang w:val="en-GB"/>
        </w:rPr>
        <w:t xml:space="preserve">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because liquidation </w:t>
      </w:r>
      <w:proofErr w:type="gramStart"/>
      <w:r w:rsidRPr="00827D56">
        <w:rPr>
          <w:rFonts w:ascii="Avenir Next" w:hAnsi="Avenir Next" w:cs="Arial"/>
          <w:sz w:val="22"/>
          <w:szCs w:val="22"/>
          <w:lang w:val="en-GB"/>
        </w:rPr>
        <w:t>is viewed</w:t>
      </w:r>
      <w:proofErr w:type="gramEnd"/>
      <w:r w:rsidRPr="00827D56">
        <w:rPr>
          <w:rFonts w:ascii="Avenir Next" w:hAnsi="Avenir Next" w:cs="Arial"/>
          <w:sz w:val="22"/>
          <w:szCs w:val="22"/>
          <w:lang w:val="en-GB"/>
        </w:rPr>
        <w:t xml:space="preserve">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E855B6" w:rsidRDefault="009E2E27" w:rsidP="008031A7">
      <w:pPr>
        <w:pStyle w:val="a3"/>
        <w:numPr>
          <w:ilvl w:val="0"/>
          <w:numId w:val="15"/>
        </w:numPr>
        <w:ind w:left="426"/>
        <w:jc w:val="both"/>
        <w:rPr>
          <w:rFonts w:ascii="Avenir Next" w:hAnsi="Avenir Next" w:cs="Arial"/>
          <w:sz w:val="22"/>
          <w:szCs w:val="22"/>
          <w:highlight w:val="yellow"/>
          <w:lang w:val="en-GB"/>
        </w:rPr>
      </w:pPr>
      <w:r w:rsidRPr="00E855B6">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E855B6" w:rsidRDefault="00A235B7" w:rsidP="006D01C2">
      <w:pPr>
        <w:pStyle w:val="a3"/>
        <w:numPr>
          <w:ilvl w:val="0"/>
          <w:numId w:val="16"/>
        </w:numPr>
        <w:ind w:left="426"/>
        <w:jc w:val="both"/>
        <w:rPr>
          <w:rFonts w:ascii="Avenir Next" w:hAnsi="Avenir Next" w:cs="Arial"/>
          <w:sz w:val="22"/>
          <w:szCs w:val="22"/>
          <w:highlight w:val="yellow"/>
          <w:lang w:val="en-GB"/>
        </w:rPr>
      </w:pPr>
      <w:r w:rsidRPr="00E855B6">
        <w:rPr>
          <w:rFonts w:ascii="Avenir Next" w:hAnsi="Avenir Next" w:cs="Arial"/>
          <w:sz w:val="22"/>
          <w:szCs w:val="22"/>
          <w:highlight w:val="yellow"/>
          <w:lang w:val="en-GB"/>
        </w:rPr>
        <w:t>The statement</w:t>
      </w:r>
      <w:r w:rsidR="0037465A" w:rsidRPr="00E855B6">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a3"/>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 xml:space="preserve">because the insolvency laws of the State where the original insolvency order </w:t>
      </w:r>
      <w:proofErr w:type="gramStart"/>
      <w:r w:rsidR="00A235B7" w:rsidRPr="00827D56">
        <w:rPr>
          <w:rFonts w:ascii="Avenir Next" w:hAnsi="Avenir Next" w:cs="Arial"/>
          <w:sz w:val="22"/>
          <w:szCs w:val="22"/>
          <w:lang w:val="en-GB"/>
        </w:rPr>
        <w:t>is issued</w:t>
      </w:r>
      <w:proofErr w:type="gramEnd"/>
      <w:r w:rsidR="00A235B7" w:rsidRPr="00827D56">
        <w:rPr>
          <w:rFonts w:ascii="Avenir Next" w:hAnsi="Avenir Next" w:cs="Arial"/>
          <w:sz w:val="22"/>
          <w:szCs w:val="22"/>
          <w:lang w:val="en-GB"/>
        </w:rPr>
        <w:t xml:space="preserve">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a3"/>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a3"/>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 xml:space="preserve">The statement is untrue since avoidable dispositions and executory contracts </w:t>
      </w:r>
      <w:proofErr w:type="gramStart"/>
      <w:r w:rsidRPr="00827D56">
        <w:rPr>
          <w:rFonts w:ascii="Avenir Next" w:hAnsi="Avenir Next" w:cs="Arial"/>
          <w:sz w:val="22"/>
          <w:szCs w:val="22"/>
          <w:lang w:val="en-GB"/>
        </w:rPr>
        <w:t>may be disregarded</w:t>
      </w:r>
      <w:proofErr w:type="gramEnd"/>
      <w:r w:rsidRPr="00827D56">
        <w:rPr>
          <w:rFonts w:ascii="Avenir Next" w:hAnsi="Avenir Next" w:cs="Arial"/>
          <w:sz w:val="22"/>
          <w:szCs w:val="22"/>
          <w:lang w:val="en-GB"/>
        </w:rPr>
        <w:t xml:space="preserve">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646608" w:rsidRDefault="00CB2CBB" w:rsidP="006D01C2">
      <w:pPr>
        <w:pStyle w:val="a3"/>
        <w:numPr>
          <w:ilvl w:val="0"/>
          <w:numId w:val="17"/>
        </w:numPr>
        <w:ind w:left="426"/>
        <w:jc w:val="both"/>
        <w:rPr>
          <w:rFonts w:ascii="Avenir Next" w:eastAsiaTheme="minorHAnsi" w:hAnsi="Avenir Next" w:cs="Arial"/>
          <w:sz w:val="22"/>
          <w:szCs w:val="22"/>
          <w:highlight w:val="yellow"/>
          <w:lang w:val="en-GB"/>
        </w:rPr>
      </w:pPr>
      <w:r w:rsidRPr="00646608">
        <w:rPr>
          <w:rFonts w:ascii="Avenir Next" w:eastAsiaTheme="minorHAnsi" w:hAnsi="Avenir Next" w:cs="Arial"/>
          <w:sz w:val="22"/>
          <w:szCs w:val="22"/>
          <w:highlight w:val="yellow"/>
          <w:lang w:val="en-GB"/>
        </w:rPr>
        <w:t>Private International Law</w:t>
      </w:r>
      <w:r w:rsidR="00991428" w:rsidRPr="0064660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w:t>
      </w:r>
      <w:proofErr w:type="gramStart"/>
      <w:r w:rsidRPr="00827D56">
        <w:rPr>
          <w:rFonts w:ascii="Avenir Next" w:hAnsi="Avenir Next" w:cs="Arial"/>
          <w:sz w:val="22"/>
          <w:szCs w:val="22"/>
          <w:lang w:val="en-GB"/>
        </w:rPr>
        <w:t>are being conducted</w:t>
      </w:r>
      <w:proofErr w:type="gramEnd"/>
      <w:r w:rsidRPr="00827D56">
        <w:rPr>
          <w:rFonts w:ascii="Avenir Next" w:hAnsi="Avenir Next" w:cs="Arial"/>
          <w:sz w:val="22"/>
          <w:szCs w:val="22"/>
          <w:lang w:val="en-GB"/>
        </w:rPr>
        <w:t xml:space="preserve">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a3"/>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a3"/>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0C3C8D" w:rsidRDefault="004D1A5A" w:rsidP="006D01C2">
      <w:pPr>
        <w:pStyle w:val="a3"/>
        <w:numPr>
          <w:ilvl w:val="0"/>
          <w:numId w:val="18"/>
        </w:numPr>
        <w:ind w:left="426"/>
        <w:jc w:val="both"/>
        <w:rPr>
          <w:rFonts w:ascii="Avenir Next" w:hAnsi="Avenir Next" w:cs="Arial"/>
          <w:sz w:val="22"/>
          <w:szCs w:val="22"/>
          <w:highlight w:val="yellow"/>
          <w:lang w:val="en-GB"/>
        </w:rPr>
      </w:pPr>
      <w:r w:rsidRPr="000C3C8D">
        <w:rPr>
          <w:rFonts w:ascii="Avenir Next" w:hAnsi="Avenir Next" w:cs="Arial"/>
          <w:sz w:val="22"/>
          <w:szCs w:val="22"/>
          <w:highlight w:val="yellow"/>
          <w:lang w:val="en-GB"/>
        </w:rPr>
        <w:t>UNCITRAL Model Law on Cross-border Insolvency (1997)</w:t>
      </w:r>
      <w:r w:rsidR="00912C79" w:rsidRPr="000C3C8D">
        <w:rPr>
          <w:rFonts w:ascii="Avenir Next" w:hAnsi="Avenir Next" w:cs="Arial"/>
          <w:sz w:val="22"/>
          <w:szCs w:val="22"/>
          <w:highlight w:val="yellow"/>
          <w:lang w:val="en-GB"/>
        </w:rPr>
        <w:t>.</w:t>
      </w:r>
      <w:r w:rsidRPr="000C3C8D">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0C3C8D" w:rsidRDefault="005A0CCA" w:rsidP="006D01C2">
      <w:pPr>
        <w:pStyle w:val="a3"/>
        <w:numPr>
          <w:ilvl w:val="0"/>
          <w:numId w:val="18"/>
        </w:numPr>
        <w:ind w:left="426"/>
        <w:jc w:val="both"/>
        <w:rPr>
          <w:rFonts w:ascii="Avenir Next" w:eastAsiaTheme="minorHAnsi" w:hAnsi="Avenir Next" w:cs="Arial"/>
          <w:sz w:val="22"/>
          <w:szCs w:val="22"/>
          <w:lang w:val="en-GB"/>
        </w:rPr>
      </w:pPr>
      <w:r w:rsidRPr="000C3C8D">
        <w:rPr>
          <w:rFonts w:ascii="Avenir Next" w:eastAsiaTheme="minorHAnsi" w:hAnsi="Avenir Next" w:cs="Arial"/>
          <w:sz w:val="22"/>
          <w:szCs w:val="22"/>
          <w:lang w:val="en-GB"/>
        </w:rPr>
        <w:t>JIN Guidelines for Communication and Cooperation between Courts in Cross-Border Insolvency Matters (2016)</w:t>
      </w:r>
      <w:r w:rsidR="00991428" w:rsidRPr="000C3C8D">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E676D" w:rsidRDefault="001A7E9A" w:rsidP="006D01C2">
      <w:pPr>
        <w:pStyle w:val="a3"/>
        <w:numPr>
          <w:ilvl w:val="0"/>
          <w:numId w:val="19"/>
        </w:numPr>
        <w:ind w:left="426"/>
        <w:jc w:val="both"/>
        <w:rPr>
          <w:rFonts w:ascii="Avenir Next" w:eastAsiaTheme="minorHAnsi" w:hAnsi="Avenir Next" w:cs="Arial"/>
          <w:sz w:val="22"/>
          <w:szCs w:val="22"/>
          <w:highlight w:val="yellow"/>
          <w:lang w:val="en-GB"/>
        </w:rPr>
      </w:pPr>
      <w:r w:rsidRPr="00AE676D">
        <w:rPr>
          <w:rFonts w:ascii="Avenir Next" w:hAnsi="Avenir Next" w:cs="Arial"/>
          <w:sz w:val="22"/>
          <w:szCs w:val="22"/>
          <w:highlight w:val="yellow"/>
          <w:lang w:val="en-GB"/>
        </w:rPr>
        <w:t>Havana Convention on Private International Law (1928)</w:t>
      </w:r>
      <w:r w:rsidRPr="00AE676D">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t>
      </w:r>
      <w:proofErr w:type="gramStart"/>
      <w:r w:rsidRPr="00827D56">
        <w:rPr>
          <w:rFonts w:ascii="Avenir Next" w:hAnsi="Avenir Next" w:cs="Arial"/>
          <w:sz w:val="22"/>
          <w:szCs w:val="22"/>
          <w:lang w:val="en-GB"/>
        </w:rPr>
        <w:t>was reviewed</w:t>
      </w:r>
      <w:proofErr w:type="gramEnd"/>
      <w:r w:rsidRPr="00827D56">
        <w:rPr>
          <w:rFonts w:ascii="Avenir Next" w:hAnsi="Avenir Next" w:cs="Arial"/>
          <w:sz w:val="22"/>
          <w:szCs w:val="22"/>
          <w:lang w:val="en-GB"/>
        </w:rPr>
        <w:t xml:space="preserve"> after a decade’s operation.  An amended European Insolvency Regulation (EIR) Recast (2015) </w:t>
      </w:r>
      <w:proofErr w:type="gramStart"/>
      <w:r w:rsidRPr="00827D56">
        <w:rPr>
          <w:rFonts w:ascii="Avenir Next" w:hAnsi="Avenir Next" w:cs="Arial"/>
          <w:sz w:val="22"/>
          <w:szCs w:val="22"/>
          <w:lang w:val="en-GB"/>
        </w:rPr>
        <w:t>was adopted</w:t>
      </w:r>
      <w:proofErr w:type="gramEnd"/>
      <w:r w:rsidRPr="00827D56">
        <w:rPr>
          <w:rFonts w:ascii="Avenir Next" w:hAnsi="Avenir Next" w:cs="Arial"/>
          <w:sz w:val="22"/>
          <w:szCs w:val="22"/>
          <w:lang w:val="en-GB"/>
        </w:rPr>
        <w:t xml:space="preserve">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w:t>
      </w:r>
      <w:proofErr w:type="gramStart"/>
      <w:r w:rsidRPr="00827D56">
        <w:rPr>
          <w:rFonts w:ascii="Avenir Next" w:hAnsi="Avenir Next" w:cs="Arial"/>
          <w:sz w:val="22"/>
          <w:szCs w:val="22"/>
          <w:lang w:val="en-GB"/>
        </w:rPr>
        <w:t xml:space="preserve">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w:t>
      </w:r>
      <w:proofErr w:type="gramEnd"/>
      <w:r w:rsidRPr="00827D56">
        <w:rPr>
          <w:rFonts w:ascii="Avenir Next" w:hAnsi="Avenir Next" w:cs="Arial"/>
          <w:sz w:val="22"/>
          <w:szCs w:val="22"/>
          <w:lang w:val="en-GB"/>
        </w:rPr>
        <w:t xml:space="preserve">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1A0DC3" w:rsidRDefault="0082483F" w:rsidP="006D01C2">
      <w:pPr>
        <w:pStyle w:val="a3"/>
        <w:numPr>
          <w:ilvl w:val="0"/>
          <w:numId w:val="20"/>
        </w:numPr>
        <w:ind w:left="426"/>
        <w:jc w:val="both"/>
        <w:rPr>
          <w:rFonts w:ascii="Avenir Next" w:hAnsi="Avenir Next" w:cs="Arial"/>
          <w:sz w:val="22"/>
          <w:szCs w:val="22"/>
          <w:highlight w:val="yellow"/>
          <w:lang w:val="en-GB"/>
        </w:rPr>
      </w:pPr>
      <w:r w:rsidRPr="001A0DC3">
        <w:rPr>
          <w:rFonts w:ascii="Avenir Next" w:hAnsi="Avenir Next" w:cs="Arial"/>
          <w:sz w:val="22"/>
          <w:szCs w:val="22"/>
          <w:highlight w:val="yellow"/>
          <w:lang w:val="en-GB"/>
        </w:rPr>
        <w:lastRenderedPageBreak/>
        <w:t>A centralised insolvency register of insolvency proceedings opened in member states</w:t>
      </w:r>
      <w:r w:rsidR="003A2F8D" w:rsidRPr="001A0DC3">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w:t>
      </w:r>
      <w:proofErr w:type="gramStart"/>
      <w:r w:rsidRPr="00827D56">
        <w:rPr>
          <w:rFonts w:ascii="Avenir Next" w:hAnsi="Avenir Next" w:cs="Arial"/>
          <w:sz w:val="22"/>
          <w:szCs w:val="22"/>
          <w:lang w:val="en-GB"/>
        </w:rPr>
        <w:t>is owed</w:t>
      </w:r>
      <w:proofErr w:type="gramEnd"/>
      <w:r w:rsidRPr="00827D56">
        <w:rPr>
          <w:rFonts w:ascii="Avenir Next" w:hAnsi="Avenir Next" w:cs="Arial"/>
          <w:sz w:val="22"/>
          <w:szCs w:val="22"/>
          <w:lang w:val="en-GB"/>
        </w:rPr>
        <w:t xml:space="preserve">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t>
      </w:r>
      <w:proofErr w:type="gramStart"/>
      <w:r w:rsidRPr="00827D56">
        <w:rPr>
          <w:rFonts w:ascii="Avenir Next" w:hAnsi="Avenir Next" w:cs="Arial"/>
          <w:sz w:val="22"/>
          <w:szCs w:val="22"/>
          <w:lang w:val="en-GB"/>
        </w:rPr>
        <w:t>was created</w:t>
      </w:r>
      <w:proofErr w:type="gramEnd"/>
      <w:r w:rsidRPr="00827D56">
        <w:rPr>
          <w:rFonts w:ascii="Avenir Next" w:hAnsi="Avenir Next" w:cs="Arial"/>
          <w:sz w:val="22"/>
          <w:szCs w:val="22"/>
          <w:lang w:val="en-GB"/>
        </w:rPr>
        <w:t xml:space="preserve">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A0DC3" w:rsidRDefault="00ED0BC4" w:rsidP="00286AE6">
      <w:pPr>
        <w:pStyle w:val="a3"/>
        <w:numPr>
          <w:ilvl w:val="0"/>
          <w:numId w:val="21"/>
        </w:numPr>
        <w:ind w:left="426"/>
        <w:jc w:val="both"/>
        <w:rPr>
          <w:rFonts w:ascii="Avenir Next" w:eastAsiaTheme="minorHAnsi" w:hAnsi="Avenir Next" w:cs="Arial"/>
          <w:sz w:val="22"/>
          <w:szCs w:val="22"/>
          <w:highlight w:val="yellow"/>
          <w:lang w:val="en-GB"/>
        </w:rPr>
      </w:pPr>
      <w:r w:rsidRPr="001A0DC3">
        <w:rPr>
          <w:rFonts w:ascii="Avenir Next" w:eastAsiaTheme="minorHAnsi" w:hAnsi="Avenir Next" w:cs="Arial"/>
          <w:sz w:val="22"/>
          <w:szCs w:val="22"/>
          <w:highlight w:val="yellow"/>
          <w:lang w:val="en-GB"/>
        </w:rPr>
        <w:t xml:space="preserve">The foreign </w:t>
      </w:r>
      <w:proofErr w:type="gramStart"/>
      <w:r w:rsidRPr="001A0DC3">
        <w:rPr>
          <w:rFonts w:ascii="Avenir Next" w:eastAsiaTheme="minorHAnsi" w:hAnsi="Avenir Next" w:cs="Arial"/>
          <w:sz w:val="22"/>
          <w:szCs w:val="22"/>
          <w:highlight w:val="yellow"/>
          <w:lang w:val="en-GB"/>
        </w:rPr>
        <w:t>liquidator’s</w:t>
      </w:r>
      <w:proofErr w:type="gramEnd"/>
      <w:r w:rsidRPr="001A0DC3">
        <w:rPr>
          <w:rFonts w:ascii="Avenir Next" w:eastAsiaTheme="minorHAnsi" w:hAnsi="Avenir Next" w:cs="Arial"/>
          <w:sz w:val="22"/>
          <w:szCs w:val="22"/>
          <w:highlight w:val="yellow"/>
          <w:lang w:val="en-GB"/>
        </w:rPr>
        <w:t xml:space="preserve">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4A7B1F7" w:rsidR="009B07AD" w:rsidRPr="00827D56" w:rsidRDefault="005F5142" w:rsidP="004A2F5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w:t>
      </w:r>
      <w:r w:rsidR="004A2F51">
        <w:rPr>
          <w:rFonts w:ascii="Avenir Next" w:hAnsi="Avenir Next" w:cs="Arial"/>
          <w:color w:val="7B7B7B" w:themeColor="accent3" w:themeShade="BF"/>
          <w:sz w:val="22"/>
          <w:szCs w:val="22"/>
          <w:lang w:val="en-GB"/>
        </w:rPr>
        <w:t>here is no single “international insolvency law”</w:t>
      </w:r>
      <w:r>
        <w:rPr>
          <w:rFonts w:ascii="Avenir Next" w:hAnsi="Avenir Next" w:cs="Arial"/>
          <w:color w:val="7B7B7B" w:themeColor="accent3" w:themeShade="BF"/>
          <w:sz w:val="22"/>
          <w:szCs w:val="22"/>
          <w:lang w:val="en-GB"/>
        </w:rPr>
        <w:t>, which can be fully enforced in different jurisdictions,</w:t>
      </w:r>
      <w:r w:rsidR="004A2F51">
        <w:rPr>
          <w:rFonts w:ascii="Avenir Next" w:hAnsi="Avenir Next" w:cs="Arial"/>
          <w:color w:val="7B7B7B" w:themeColor="accent3" w:themeShade="BF"/>
          <w:sz w:val="22"/>
          <w:szCs w:val="22"/>
          <w:lang w:val="en-GB"/>
        </w:rPr>
        <w:t xml:space="preserve"> so that it is too difficult to define the term. On the other hand, </w:t>
      </w:r>
      <w:r>
        <w:rPr>
          <w:rFonts w:ascii="Avenir Next" w:hAnsi="Avenir Next" w:cs="Arial"/>
          <w:color w:val="7B7B7B" w:themeColor="accent3" w:themeShade="BF"/>
          <w:sz w:val="22"/>
          <w:szCs w:val="22"/>
          <w:lang w:val="en-GB"/>
        </w:rPr>
        <w:t xml:space="preserve">when a cross-border insolvency case happens, such </w:t>
      </w:r>
      <w:r w:rsidR="004A2F51">
        <w:rPr>
          <w:rFonts w:ascii="Avenir Next" w:hAnsi="Avenir Next" w:cs="Arial"/>
          <w:color w:val="7B7B7B" w:themeColor="accent3" w:themeShade="BF"/>
          <w:sz w:val="22"/>
          <w:szCs w:val="22"/>
          <w:lang w:val="en-GB"/>
        </w:rPr>
        <w:t xml:space="preserve">multiple insolvency proceedings </w:t>
      </w:r>
      <w:proofErr w:type="gramStart"/>
      <w:r w:rsidR="004A2F51">
        <w:rPr>
          <w:rFonts w:ascii="Avenir Next" w:hAnsi="Avenir Next" w:cs="Arial"/>
          <w:color w:val="7B7B7B" w:themeColor="accent3" w:themeShade="BF"/>
          <w:sz w:val="22"/>
          <w:szCs w:val="22"/>
          <w:lang w:val="en-GB"/>
        </w:rPr>
        <w:t>must be practically handled</w:t>
      </w:r>
      <w:proofErr w:type="gramEnd"/>
      <w:r w:rsidR="004A2F51">
        <w:rPr>
          <w:rFonts w:ascii="Avenir Next" w:hAnsi="Avenir Next" w:cs="Arial"/>
          <w:color w:val="7B7B7B" w:themeColor="accent3" w:themeShade="BF"/>
          <w:sz w:val="22"/>
          <w:szCs w:val="22"/>
          <w:lang w:val="en-GB"/>
        </w:rPr>
        <w:t xml:space="preserve"> with co-ordination and co-operation </w:t>
      </w:r>
      <w:r>
        <w:rPr>
          <w:rFonts w:ascii="Avenir Next" w:hAnsi="Avenir Next" w:cs="Arial"/>
          <w:color w:val="7B7B7B" w:themeColor="accent3" w:themeShade="BF"/>
          <w:sz w:val="22"/>
          <w:szCs w:val="22"/>
          <w:lang w:val="en-GB"/>
        </w:rPr>
        <w:t xml:space="preserve">between different jurisdictions under the appropriate principle to govern the situation, i.e., “international insolvency law”. Therefore, the term “international insolvency law”, </w:t>
      </w:r>
      <w:proofErr w:type="gramStart"/>
      <w:r>
        <w:rPr>
          <w:rFonts w:ascii="Avenir Next" w:hAnsi="Avenir Next" w:cs="Arial"/>
          <w:color w:val="7B7B7B" w:themeColor="accent3" w:themeShade="BF"/>
          <w:sz w:val="22"/>
          <w:szCs w:val="22"/>
          <w:lang w:val="en-GB"/>
        </w:rPr>
        <w:t>may be deemed</w:t>
      </w:r>
      <w:proofErr w:type="gramEnd"/>
      <w:r>
        <w:rPr>
          <w:rFonts w:ascii="Avenir Next" w:hAnsi="Avenir Next" w:cs="Arial"/>
          <w:color w:val="7B7B7B" w:themeColor="accent3" w:themeShade="BF"/>
          <w:sz w:val="22"/>
          <w:szCs w:val="22"/>
          <w:lang w:val="en-GB"/>
        </w:rPr>
        <w:t xml:space="preserve"> as notion or </w:t>
      </w:r>
      <w:r w:rsidRPr="005F5142">
        <w:rPr>
          <w:rFonts w:ascii="Avenir Next" w:hAnsi="Avenir Next" w:cs="Arial"/>
          <w:color w:val="7B7B7B" w:themeColor="accent3" w:themeShade="BF"/>
          <w:sz w:val="22"/>
          <w:szCs w:val="22"/>
          <w:lang w:val="en-GB"/>
        </w:rPr>
        <w:t>concept to govern cross-border insolvency cases</w:t>
      </w:r>
      <w:r w:rsidR="006F1B9B">
        <w:rPr>
          <w:rFonts w:ascii="Avenir Next" w:hAnsi="Avenir Next" w:cs="Arial"/>
          <w:color w:val="7B7B7B" w:themeColor="accent3" w:themeShade="BF"/>
          <w:sz w:val="22"/>
          <w:szCs w:val="22"/>
          <w:lang w:val="en-GB"/>
        </w:rPr>
        <w:t xml:space="preserve"> globally</w:t>
      </w:r>
      <w:r w:rsidRPr="005F5142">
        <w:rPr>
          <w:rFonts w:ascii="Avenir Next" w:hAnsi="Avenir Next" w:cs="Arial"/>
          <w:color w:val="7B7B7B" w:themeColor="accent3" w:themeShade="BF"/>
          <w:sz w:val="22"/>
          <w:szCs w:val="22"/>
          <w:lang w:val="en-GB"/>
        </w:rPr>
        <w:t xml:space="preserv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D05A259" w:rsidR="009B07AD" w:rsidRDefault="000743A0" w:rsidP="000743A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differences between </w:t>
      </w:r>
      <w:r w:rsidRPr="000743A0">
        <w:rPr>
          <w:rFonts w:ascii="Avenir Next" w:hAnsi="Avenir Next" w:cs="Arial"/>
          <w:color w:val="7B7B7B" w:themeColor="accent3" w:themeShade="BF"/>
          <w:sz w:val="22"/>
          <w:szCs w:val="22"/>
          <w:lang w:val="en-GB"/>
        </w:rPr>
        <w:t>universality and territoriality</w:t>
      </w:r>
      <w:r>
        <w:rPr>
          <w:rFonts w:ascii="Avenir Next" w:hAnsi="Avenir Next" w:cs="Arial"/>
          <w:color w:val="7B7B7B" w:themeColor="accent3" w:themeShade="BF"/>
          <w:sz w:val="22"/>
          <w:szCs w:val="22"/>
          <w:lang w:val="en-GB"/>
        </w:rPr>
        <w:t xml:space="preserve"> are how to treat </w:t>
      </w:r>
      <w:r w:rsidRPr="000743A0">
        <w:rPr>
          <w:rFonts w:ascii="Avenir Next" w:hAnsi="Avenir Next" w:cs="Arial"/>
          <w:color w:val="7B7B7B" w:themeColor="accent3" w:themeShade="BF"/>
          <w:sz w:val="22"/>
          <w:szCs w:val="22"/>
          <w:lang w:val="en-GB"/>
        </w:rPr>
        <w:t>cross-border insolvency</w:t>
      </w:r>
      <w:r w:rsidR="001062AF">
        <w:rPr>
          <w:rFonts w:ascii="Avenir Next" w:hAnsi="Avenir Next" w:cs="Arial"/>
          <w:color w:val="7B7B7B" w:themeColor="accent3" w:themeShade="BF"/>
          <w:sz w:val="22"/>
          <w:szCs w:val="22"/>
          <w:lang w:val="en-GB"/>
        </w:rPr>
        <w:t xml:space="preserve"> cases. U</w:t>
      </w:r>
      <w:r w:rsidRPr="000743A0">
        <w:rPr>
          <w:rFonts w:ascii="Avenir Next" w:hAnsi="Avenir Next" w:cs="Arial"/>
          <w:color w:val="7B7B7B" w:themeColor="accent3" w:themeShade="BF"/>
          <w:sz w:val="22"/>
          <w:szCs w:val="22"/>
          <w:lang w:val="en-GB"/>
        </w:rPr>
        <w:t>niversality</w:t>
      </w:r>
      <w:r>
        <w:rPr>
          <w:rFonts w:ascii="Avenir Next" w:hAnsi="Avenir Next" w:cs="Arial"/>
          <w:color w:val="7B7B7B" w:themeColor="accent3" w:themeShade="BF"/>
          <w:sz w:val="22"/>
          <w:szCs w:val="22"/>
          <w:lang w:val="en-GB"/>
        </w:rPr>
        <w:t xml:space="preserve"> is to govern a debtor’s insolvency proceeding, including all of its assets and debts, </w:t>
      </w:r>
      <w:r w:rsidR="001062AF">
        <w:rPr>
          <w:rFonts w:ascii="Avenir Next" w:hAnsi="Avenir Next" w:cs="Arial"/>
          <w:color w:val="7B7B7B" w:themeColor="accent3" w:themeShade="BF"/>
          <w:sz w:val="22"/>
          <w:szCs w:val="22"/>
          <w:lang w:val="en-GB"/>
        </w:rPr>
        <w:t xml:space="preserve">under only one jurisdiction. The advantage of universality that all claims held by creditors </w:t>
      </w:r>
      <w:proofErr w:type="gramStart"/>
      <w:r w:rsidR="001062AF">
        <w:rPr>
          <w:rFonts w:ascii="Avenir Next" w:hAnsi="Avenir Next" w:cs="Arial"/>
          <w:color w:val="7B7B7B" w:themeColor="accent3" w:themeShade="BF"/>
          <w:sz w:val="22"/>
          <w:szCs w:val="22"/>
          <w:lang w:val="en-GB"/>
        </w:rPr>
        <w:t>can be treated</w:t>
      </w:r>
      <w:proofErr w:type="gramEnd"/>
      <w:r w:rsidR="001062AF">
        <w:rPr>
          <w:rFonts w:ascii="Avenir Next" w:hAnsi="Avenir Next" w:cs="Arial"/>
          <w:color w:val="7B7B7B" w:themeColor="accent3" w:themeShade="BF"/>
          <w:sz w:val="22"/>
          <w:szCs w:val="22"/>
          <w:lang w:val="en-GB"/>
        </w:rPr>
        <w:t xml:space="preserve"> equally may cause the disadvantage that foreign creditors may be unfairly treated in practice. On the other hand, </w:t>
      </w:r>
      <w:r>
        <w:rPr>
          <w:rFonts w:ascii="Avenir Next" w:hAnsi="Avenir Next" w:cs="Arial"/>
          <w:color w:val="7B7B7B" w:themeColor="accent3" w:themeShade="BF"/>
          <w:sz w:val="22"/>
          <w:szCs w:val="22"/>
          <w:lang w:val="en-GB"/>
        </w:rPr>
        <w:t>territoriality is to govern such insolvency proceeding under jurisdicti</w:t>
      </w:r>
      <w:r w:rsidR="00624E1E">
        <w:rPr>
          <w:rFonts w:ascii="Avenir Next" w:hAnsi="Avenir Next" w:cs="Arial"/>
          <w:color w:val="7B7B7B" w:themeColor="accent3" w:themeShade="BF"/>
          <w:sz w:val="22"/>
          <w:szCs w:val="22"/>
          <w:lang w:val="en-GB"/>
        </w:rPr>
        <w:t xml:space="preserve">ons related to debtor’s assets. </w:t>
      </w:r>
      <w:r w:rsidR="001062AF">
        <w:rPr>
          <w:rFonts w:ascii="Avenir Next" w:hAnsi="Avenir Next" w:cs="Arial"/>
          <w:color w:val="7B7B7B" w:themeColor="accent3" w:themeShade="BF"/>
          <w:sz w:val="22"/>
          <w:szCs w:val="22"/>
          <w:lang w:val="en-GB"/>
        </w:rPr>
        <w:t xml:space="preserve">The advantage of territoriality is that creditors </w:t>
      </w:r>
      <w:proofErr w:type="gramStart"/>
      <w:r w:rsidR="001062AF">
        <w:rPr>
          <w:rFonts w:ascii="Avenir Next" w:hAnsi="Avenir Next" w:cs="Arial"/>
          <w:color w:val="7B7B7B" w:themeColor="accent3" w:themeShade="BF"/>
          <w:sz w:val="22"/>
          <w:szCs w:val="22"/>
          <w:lang w:val="en-GB"/>
        </w:rPr>
        <w:t>can be treated</w:t>
      </w:r>
      <w:proofErr w:type="gramEnd"/>
      <w:r w:rsidR="001062AF">
        <w:rPr>
          <w:rFonts w:ascii="Avenir Next" w:hAnsi="Avenir Next" w:cs="Arial"/>
          <w:color w:val="7B7B7B" w:themeColor="accent3" w:themeShade="BF"/>
          <w:sz w:val="22"/>
          <w:szCs w:val="22"/>
          <w:lang w:val="en-GB"/>
        </w:rPr>
        <w:t xml:space="preserve"> under its home jurisdiction, where there is a low risk that they are unfairly treated as foreign creditors. The disadvantage is</w:t>
      </w:r>
      <w:proofErr w:type="gramStart"/>
      <w:r w:rsidR="001062AF">
        <w:rPr>
          <w:rFonts w:ascii="Avenir Next" w:hAnsi="Avenir Next" w:cs="Arial"/>
          <w:color w:val="7B7B7B" w:themeColor="accent3" w:themeShade="BF"/>
          <w:sz w:val="22"/>
          <w:szCs w:val="22"/>
          <w:lang w:val="en-GB"/>
        </w:rPr>
        <w:t>,</w:t>
      </w:r>
      <w:proofErr w:type="gramEnd"/>
      <w:r w:rsidR="001062AF">
        <w:rPr>
          <w:rFonts w:ascii="Avenir Next" w:hAnsi="Avenir Next" w:cs="Arial"/>
          <w:color w:val="7B7B7B" w:themeColor="accent3" w:themeShade="BF"/>
          <w:sz w:val="22"/>
          <w:szCs w:val="22"/>
          <w:lang w:val="en-GB"/>
        </w:rPr>
        <w:t xml:space="preserve"> if there are critical differences related to insolvency law between jurisdictions, e.g., </w:t>
      </w:r>
      <w:r w:rsidR="001062AF">
        <w:rPr>
          <w:rFonts w:ascii="Avenir Next" w:hAnsi="Avenir Next" w:cs="Arial"/>
          <w:color w:val="7B7B7B" w:themeColor="accent3" w:themeShade="BF"/>
          <w:sz w:val="22"/>
          <w:szCs w:val="22"/>
          <w:lang w:val="en-GB"/>
        </w:rPr>
        <w:lastRenderedPageBreak/>
        <w:t xml:space="preserve">set-off and executory contracts, the stakeholder may face the difficulties that only creditors under specified jurisdiction are treated unfairly.   </w:t>
      </w:r>
    </w:p>
    <w:p w14:paraId="5D9192D8" w14:textId="77777777" w:rsidR="000743A0" w:rsidRPr="001062AF" w:rsidRDefault="000743A0" w:rsidP="000743A0">
      <w:pPr>
        <w:jc w:val="both"/>
        <w:rPr>
          <w:rFonts w:ascii="Avenir Next" w:hAnsi="Avenir Next" w:cs="Arial"/>
          <w:sz w:val="22"/>
          <w:szCs w:val="22"/>
          <w:lang w:val="en-GB"/>
        </w:rPr>
      </w:pPr>
    </w:p>
    <w:p w14:paraId="039E27B5" w14:textId="5E47FDB1" w:rsidR="00C82D87" w:rsidRPr="000743A0" w:rsidRDefault="00C82D87" w:rsidP="00C053F7">
      <w:pPr>
        <w:ind w:left="720" w:hanging="720"/>
        <w:jc w:val="both"/>
        <w:rPr>
          <w:rFonts w:ascii="Avenir Next" w:eastAsiaTheme="minorEastAsia" w:hAnsi="Avenir Next" w:cs="Arial"/>
          <w:sz w:val="22"/>
          <w:szCs w:val="22"/>
          <w:lang w:val="en-GB" w:eastAsia="ja-JP"/>
        </w:rPr>
      </w:pPr>
    </w:p>
    <w:p w14:paraId="79961E83" w14:textId="77777777" w:rsidR="00D17FDC" w:rsidRPr="000743A0"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0F51ADAB" w:rsidR="00C72848" w:rsidRDefault="008E1273" w:rsidP="008E12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Dubai, new </w:t>
      </w:r>
      <w:r w:rsidRPr="008E1273">
        <w:rPr>
          <w:rFonts w:ascii="Avenir Next" w:hAnsi="Avenir Next" w:cs="Arial"/>
          <w:color w:val="7B7B7B" w:themeColor="accent3" w:themeShade="BF"/>
          <w:sz w:val="22"/>
          <w:szCs w:val="22"/>
          <w:lang w:val="en-GB"/>
        </w:rPr>
        <w:t>Dubai International Financial Centre</w:t>
      </w:r>
      <w:r>
        <w:rPr>
          <w:rFonts w:ascii="Avenir Next" w:hAnsi="Avenir Next" w:cs="Arial"/>
          <w:color w:val="7B7B7B" w:themeColor="accent3" w:themeShade="BF"/>
          <w:sz w:val="22"/>
          <w:szCs w:val="22"/>
          <w:lang w:val="en-GB"/>
        </w:rPr>
        <w:t xml:space="preserve"> Insolvency Law </w:t>
      </w:r>
      <w:proofErr w:type="gramStart"/>
      <w:r>
        <w:rPr>
          <w:rFonts w:ascii="Avenir Next" w:hAnsi="Avenir Next" w:cs="Arial"/>
          <w:color w:val="7B7B7B" w:themeColor="accent3" w:themeShade="BF"/>
          <w:sz w:val="22"/>
          <w:szCs w:val="22"/>
          <w:lang w:val="en-GB"/>
        </w:rPr>
        <w:t>has been introduced</w:t>
      </w:r>
      <w:proofErr w:type="gramEnd"/>
      <w:r>
        <w:rPr>
          <w:rFonts w:ascii="Avenir Next" w:hAnsi="Avenir Next" w:cs="Arial"/>
          <w:color w:val="7B7B7B" w:themeColor="accent3" w:themeShade="BF"/>
          <w:sz w:val="22"/>
          <w:szCs w:val="22"/>
          <w:lang w:val="en-GB"/>
        </w:rPr>
        <w:t xml:space="preserve"> since 2019. This new regime includes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w:t>
      </w:r>
      <w:r w:rsidRPr="008E1273">
        <w:rPr>
          <w:rFonts w:ascii="Avenir Next" w:hAnsi="Avenir Next" w:cs="Arial"/>
          <w:color w:val="7B7B7B" w:themeColor="accent3" w:themeShade="BF"/>
          <w:sz w:val="22"/>
          <w:szCs w:val="22"/>
          <w:lang w:val="en-GB"/>
        </w:rPr>
        <w:t>debtor in possession bankruptcy</w:t>
      </w:r>
      <w:r>
        <w:rPr>
          <w:rFonts w:ascii="Avenir Next" w:hAnsi="Avenir Next" w:cs="Arial"/>
          <w:color w:val="7B7B7B" w:themeColor="accent3" w:themeShade="BF"/>
          <w:sz w:val="22"/>
          <w:szCs w:val="22"/>
          <w:lang w:val="en-GB"/>
        </w:rPr>
        <w:t xml:space="preserve"> proceedings, (ii) new administration process related to mismanagement and misconduct and (iii) the enhancement of winding up procedure.</w:t>
      </w:r>
    </w:p>
    <w:p w14:paraId="185700C7" w14:textId="67D40368" w:rsidR="008E1273" w:rsidRDefault="008E1273" w:rsidP="008E12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a new bankruptcy law </w:t>
      </w:r>
      <w:proofErr w:type="gramStart"/>
      <w:r>
        <w:rPr>
          <w:rFonts w:ascii="Avenir Next" w:hAnsi="Avenir Next" w:cs="Arial"/>
          <w:color w:val="7B7B7B" w:themeColor="accent3" w:themeShade="BF"/>
          <w:sz w:val="22"/>
          <w:szCs w:val="22"/>
          <w:lang w:val="en-GB"/>
        </w:rPr>
        <w:t>has been approved</w:t>
      </w:r>
      <w:proofErr w:type="gramEnd"/>
      <w:r>
        <w:rPr>
          <w:rFonts w:ascii="Avenir Next" w:hAnsi="Avenir Next" w:cs="Arial"/>
          <w:color w:val="7B7B7B" w:themeColor="accent3" w:themeShade="BF"/>
          <w:sz w:val="22"/>
          <w:szCs w:val="22"/>
          <w:lang w:val="en-GB"/>
        </w:rPr>
        <w:t xml:space="preserve"> by Saudi Arabia in 2018. This regime has introduced p</w:t>
      </w:r>
      <w:r w:rsidRPr="008E1273">
        <w:rPr>
          <w:rFonts w:ascii="Avenir Next" w:hAnsi="Avenir Next" w:cs="Arial"/>
          <w:color w:val="7B7B7B" w:themeColor="accent3" w:themeShade="BF"/>
          <w:sz w:val="22"/>
          <w:szCs w:val="22"/>
          <w:lang w:val="en-GB"/>
        </w:rPr>
        <w:t>reventive actions, measures for fina</w:t>
      </w:r>
      <w:r>
        <w:rPr>
          <w:rFonts w:ascii="Avenir Next" w:hAnsi="Avenir Next" w:cs="Arial"/>
          <w:color w:val="7B7B7B" w:themeColor="accent3" w:themeShade="BF"/>
          <w:sz w:val="22"/>
          <w:szCs w:val="22"/>
          <w:lang w:val="en-GB"/>
        </w:rPr>
        <w:t>ncial restructuring and</w:t>
      </w:r>
      <w:r w:rsidRPr="008E1273">
        <w:rPr>
          <w:rFonts w:ascii="Avenir Next" w:hAnsi="Avenir Next" w:cs="Arial"/>
          <w:color w:val="7B7B7B" w:themeColor="accent3" w:themeShade="BF"/>
          <w:sz w:val="22"/>
          <w:szCs w:val="22"/>
          <w:lang w:val="en-GB"/>
        </w:rPr>
        <w:t xml:space="preserve"> settlement procedures</w:t>
      </w:r>
      <w:r>
        <w:rPr>
          <w:rFonts w:ascii="Avenir Next" w:hAnsi="Avenir Next" w:cs="Arial"/>
          <w:color w:val="7B7B7B" w:themeColor="accent3" w:themeShade="BF"/>
          <w:sz w:val="22"/>
          <w:szCs w:val="22"/>
          <w:lang w:val="en-GB"/>
        </w:rPr>
        <w:t>.</w:t>
      </w:r>
    </w:p>
    <w:p w14:paraId="451FAE73" w14:textId="3D926F8E" w:rsidR="008E1273" w:rsidRPr="008E1273" w:rsidRDefault="008E1273" w:rsidP="008E1273">
      <w:pPr>
        <w:jc w:val="both"/>
        <w:rPr>
          <w:rFonts w:ascii="Avenir Next" w:eastAsiaTheme="minorEastAsia" w:hAnsi="Avenir Next" w:cs="Arial"/>
          <w:color w:val="7B7B7B" w:themeColor="accent3" w:themeShade="BF"/>
          <w:sz w:val="22"/>
          <w:szCs w:val="22"/>
          <w:lang w:val="en-GB" w:eastAsia="ja-JP"/>
        </w:rPr>
      </w:pPr>
      <w:r>
        <w:rPr>
          <w:rFonts w:ascii="Avenir Next" w:eastAsiaTheme="minorEastAsia" w:hAnsi="Avenir Next" w:cs="Arial" w:hint="eastAsia"/>
          <w:color w:val="7B7B7B" w:themeColor="accent3" w:themeShade="BF"/>
          <w:sz w:val="22"/>
          <w:szCs w:val="22"/>
          <w:lang w:val="en-GB" w:eastAsia="ja-JP"/>
        </w:rPr>
        <w:t>I</w:t>
      </w:r>
      <w:r>
        <w:rPr>
          <w:rFonts w:ascii="Avenir Next" w:eastAsiaTheme="minorEastAsia" w:hAnsi="Avenir Next" w:cs="Arial"/>
          <w:color w:val="7B7B7B" w:themeColor="accent3" w:themeShade="BF"/>
          <w:sz w:val="22"/>
          <w:szCs w:val="22"/>
          <w:lang w:val="en-GB" w:eastAsia="ja-JP"/>
        </w:rPr>
        <w:t xml:space="preserve">n addition, Bahrain has adopted </w:t>
      </w:r>
      <w:r w:rsidRPr="008E1273">
        <w:rPr>
          <w:rFonts w:ascii="Avenir Next" w:eastAsiaTheme="minorEastAsia" w:hAnsi="Avenir Next" w:cs="Arial"/>
          <w:color w:val="7B7B7B" w:themeColor="accent3" w:themeShade="BF"/>
          <w:sz w:val="22"/>
          <w:szCs w:val="22"/>
          <w:lang w:val="en-GB" w:eastAsia="ja-JP"/>
        </w:rPr>
        <w:t xml:space="preserve">the </w:t>
      </w:r>
      <w:r>
        <w:rPr>
          <w:rFonts w:ascii="Avenir Next" w:eastAsiaTheme="minorEastAsia" w:hAnsi="Avenir Next" w:cs="Arial"/>
          <w:color w:val="7B7B7B" w:themeColor="accent3" w:themeShade="BF"/>
          <w:sz w:val="22"/>
          <w:szCs w:val="22"/>
          <w:lang w:val="en-GB" w:eastAsia="ja-JP"/>
        </w:rPr>
        <w:t>new bankruptcy law</w:t>
      </w:r>
      <w:r w:rsidR="00717619">
        <w:rPr>
          <w:rFonts w:ascii="Avenir Next" w:eastAsiaTheme="minorEastAsia" w:hAnsi="Avenir Next" w:cs="Arial"/>
          <w:color w:val="7B7B7B" w:themeColor="accent3" w:themeShade="BF"/>
          <w:sz w:val="22"/>
          <w:szCs w:val="22"/>
          <w:lang w:val="en-GB" w:eastAsia="ja-JP"/>
        </w:rPr>
        <w:t xml:space="preserve">, which </w:t>
      </w:r>
      <w:proofErr w:type="gramStart"/>
      <w:r w:rsidR="00717619">
        <w:rPr>
          <w:rFonts w:ascii="Avenir Next" w:eastAsiaTheme="minorEastAsia" w:hAnsi="Avenir Next" w:cs="Arial"/>
          <w:color w:val="7B7B7B" w:themeColor="accent3" w:themeShade="BF"/>
          <w:sz w:val="22"/>
          <w:szCs w:val="22"/>
          <w:lang w:val="en-GB" w:eastAsia="ja-JP"/>
        </w:rPr>
        <w:t>is based</w:t>
      </w:r>
      <w:proofErr w:type="gramEnd"/>
      <w:r w:rsidR="00717619">
        <w:rPr>
          <w:rFonts w:ascii="Avenir Next" w:eastAsiaTheme="minorEastAsia" w:hAnsi="Avenir Next" w:cs="Arial"/>
          <w:color w:val="7B7B7B" w:themeColor="accent3" w:themeShade="BF"/>
          <w:sz w:val="22"/>
          <w:szCs w:val="22"/>
          <w:lang w:val="en-GB" w:eastAsia="ja-JP"/>
        </w:rPr>
        <w:t xml:space="preserve"> on the </w:t>
      </w:r>
      <w:r w:rsidRPr="008E1273">
        <w:rPr>
          <w:rFonts w:ascii="Avenir Next" w:eastAsiaTheme="minorEastAsia" w:hAnsi="Avenir Next" w:cs="Arial"/>
          <w:color w:val="7B7B7B" w:themeColor="accent3" w:themeShade="BF"/>
          <w:sz w:val="22"/>
          <w:szCs w:val="22"/>
          <w:lang w:val="en-GB" w:eastAsia="ja-JP"/>
        </w:rPr>
        <w:t>UNCITRAL Model Law</w:t>
      </w:r>
      <w:r w:rsidR="00717619">
        <w:rPr>
          <w:rFonts w:ascii="Avenir Next" w:eastAsiaTheme="minorEastAsia" w:hAnsi="Avenir Next" w:cs="Arial"/>
          <w:color w:val="7B7B7B" w:themeColor="accent3" w:themeShade="BF"/>
          <w:sz w:val="22"/>
          <w:szCs w:val="22"/>
          <w:lang w:val="en-GB" w:eastAsia="ja-JP"/>
        </w:rPr>
        <w:t xml:space="preserve"> in 2018. </w:t>
      </w:r>
    </w:p>
    <w:p w14:paraId="4B802D0C" w14:textId="142406A5" w:rsidR="008E1273" w:rsidRPr="00827D56" w:rsidRDefault="008E1273" w:rsidP="008E1273">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572227E7" w14:textId="10041403" w:rsidR="0045683E" w:rsidRPr="008E1273"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734ECB19" w:rsidR="00544127" w:rsidRPr="00827D56" w:rsidRDefault="0023183A"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Although one of the major aims of insolvency for individuals is to make fresh start for individuals, there is not such objective for insolvency for corporations. </w:t>
      </w:r>
      <w:r w:rsidR="00E4778B">
        <w:rPr>
          <w:rFonts w:ascii="Avenir Next" w:hAnsi="Avenir Next" w:cs="Arial"/>
          <w:color w:val="7B7B7B" w:themeColor="accent3" w:themeShade="BF"/>
          <w:sz w:val="22"/>
          <w:szCs w:val="22"/>
          <w:lang w:val="en-GB"/>
        </w:rPr>
        <w:t xml:space="preserve">It </w:t>
      </w:r>
      <w:proofErr w:type="gramStart"/>
      <w:r w:rsidR="00E4778B">
        <w:rPr>
          <w:rFonts w:ascii="Avenir Next" w:hAnsi="Avenir Next" w:cs="Arial"/>
          <w:color w:val="7B7B7B" w:themeColor="accent3" w:themeShade="BF"/>
          <w:sz w:val="22"/>
          <w:szCs w:val="22"/>
          <w:lang w:val="en-GB"/>
        </w:rPr>
        <w:t>is considered</w:t>
      </w:r>
      <w:proofErr w:type="gramEnd"/>
      <w:r w:rsidR="00E4778B">
        <w:rPr>
          <w:rFonts w:ascii="Avenir Next" w:hAnsi="Avenir Next" w:cs="Arial"/>
          <w:color w:val="7B7B7B" w:themeColor="accent3" w:themeShade="BF"/>
          <w:sz w:val="22"/>
          <w:szCs w:val="22"/>
          <w:lang w:val="en-GB"/>
        </w:rPr>
        <w:t xml:space="preserve"> that insolvency individuals need to live their lives even after the insolvency proceedings. </w:t>
      </w:r>
      <w:r>
        <w:rPr>
          <w:rFonts w:ascii="Avenir Next" w:hAnsi="Avenir Next" w:cs="Arial"/>
          <w:color w:val="7B7B7B" w:themeColor="accent3" w:themeShade="BF"/>
          <w:sz w:val="22"/>
          <w:szCs w:val="22"/>
          <w:lang w:val="en-GB"/>
        </w:rPr>
        <w:t xml:space="preserve">On the other hand, </w:t>
      </w:r>
      <w:r w:rsidR="00E4778B">
        <w:rPr>
          <w:rFonts w:ascii="Avenir Next" w:hAnsi="Avenir Next" w:cs="Arial"/>
          <w:color w:val="7B7B7B" w:themeColor="accent3" w:themeShade="BF"/>
          <w:sz w:val="22"/>
          <w:szCs w:val="22"/>
          <w:lang w:val="en-GB"/>
        </w:rPr>
        <w:t xml:space="preserve">in terms of corporations, although </w:t>
      </w:r>
      <w:r>
        <w:rPr>
          <w:rFonts w:ascii="Avenir Next" w:hAnsi="Avenir Next" w:cs="Arial"/>
          <w:color w:val="7B7B7B" w:themeColor="accent3" w:themeShade="BF"/>
          <w:sz w:val="22"/>
          <w:szCs w:val="22"/>
          <w:lang w:val="en-GB"/>
        </w:rPr>
        <w:t>there is a function to keep and/or revive debtor’s business in insolvency f</w:t>
      </w:r>
      <w:r w:rsidR="00E4778B">
        <w:rPr>
          <w:rFonts w:ascii="Avenir Next" w:hAnsi="Avenir Next" w:cs="Arial"/>
          <w:color w:val="7B7B7B" w:themeColor="accent3" w:themeShade="BF"/>
          <w:sz w:val="22"/>
          <w:szCs w:val="22"/>
          <w:lang w:val="en-GB"/>
        </w:rPr>
        <w:t xml:space="preserve">or corporations, there is no aim to keep its corporation’s entity itself because corporations are </w:t>
      </w:r>
      <w:proofErr w:type="gramStart"/>
      <w:r w:rsidR="00E4778B">
        <w:rPr>
          <w:rFonts w:ascii="Avenir Next" w:hAnsi="Avenir Next" w:cs="Arial"/>
          <w:color w:val="7B7B7B" w:themeColor="accent3" w:themeShade="BF"/>
          <w:sz w:val="22"/>
          <w:szCs w:val="22"/>
          <w:lang w:val="en-GB"/>
        </w:rPr>
        <w:t>just  means</w:t>
      </w:r>
      <w:proofErr w:type="gramEnd"/>
      <w:r w:rsidR="00E4778B">
        <w:rPr>
          <w:rFonts w:ascii="Avenir Next" w:hAnsi="Avenir Next" w:cs="Arial"/>
          <w:color w:val="7B7B7B" w:themeColor="accent3" w:themeShade="BF"/>
          <w:sz w:val="22"/>
          <w:szCs w:val="22"/>
          <w:lang w:val="en-GB"/>
        </w:rPr>
        <w:t xml:space="preserve"> to operate business.</w:t>
      </w:r>
      <w:r>
        <w:rPr>
          <w:rFonts w:ascii="Avenir Next" w:hAnsi="Avenir Next" w:cs="Arial"/>
          <w:color w:val="7B7B7B" w:themeColor="accent3" w:themeShade="BF"/>
          <w:sz w:val="22"/>
          <w:szCs w:val="22"/>
          <w:lang w:val="en-GB"/>
        </w:rPr>
        <w:t xml:space="preserve"> </w:t>
      </w:r>
      <w:r w:rsidR="00E4778B">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hese characteristics </w:t>
      </w:r>
      <w:r w:rsidR="00E4778B">
        <w:rPr>
          <w:rFonts w:ascii="Avenir Next" w:hAnsi="Avenir Next" w:cs="Arial"/>
          <w:color w:val="7B7B7B" w:themeColor="accent3" w:themeShade="BF"/>
          <w:sz w:val="22"/>
          <w:szCs w:val="22"/>
          <w:lang w:val="en-GB"/>
        </w:rPr>
        <w:t xml:space="preserve">between </w:t>
      </w:r>
      <w:r w:rsidR="00E4778B" w:rsidRPr="00E4778B">
        <w:rPr>
          <w:rFonts w:ascii="Avenir Next" w:hAnsi="Avenir Next" w:cs="Arial"/>
          <w:color w:val="7B7B7B" w:themeColor="accent3" w:themeShade="BF"/>
          <w:sz w:val="22"/>
          <w:szCs w:val="22"/>
          <w:lang w:val="en-GB"/>
        </w:rPr>
        <w:t xml:space="preserve">individuals and corporations </w:t>
      </w:r>
      <w:proofErr w:type="gramStart"/>
      <w:r>
        <w:rPr>
          <w:rFonts w:ascii="Avenir Next" w:hAnsi="Avenir Next" w:cs="Arial"/>
          <w:color w:val="7B7B7B" w:themeColor="accent3" w:themeShade="BF"/>
          <w:sz w:val="22"/>
          <w:szCs w:val="22"/>
          <w:lang w:val="en-GB"/>
        </w:rPr>
        <w:t>are caused</w:t>
      </w:r>
      <w:proofErr w:type="gramEnd"/>
      <w:r>
        <w:rPr>
          <w:rFonts w:ascii="Avenir Next" w:hAnsi="Avenir Next" w:cs="Arial"/>
          <w:color w:val="7B7B7B" w:themeColor="accent3" w:themeShade="BF"/>
          <w:sz w:val="22"/>
          <w:szCs w:val="22"/>
          <w:lang w:val="en-GB"/>
        </w:rPr>
        <w:t xml:space="preserve"> by the difference of the nature of the debtors. </w:t>
      </w:r>
    </w:p>
    <w:p w14:paraId="4A637290" w14:textId="4A0282A0" w:rsidR="00544127" w:rsidRPr="0023183A"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w:t>
      </w:r>
      <w:proofErr w:type="gramStart"/>
      <w:r w:rsidRPr="00827D56">
        <w:rPr>
          <w:rFonts w:ascii="Avenir Next" w:hAnsi="Avenir Next" w:cs="Arial"/>
          <w:sz w:val="22"/>
          <w:szCs w:val="22"/>
          <w:lang w:val="en-GB"/>
        </w:rPr>
        <w:t>may be encountered</w:t>
      </w:r>
      <w:proofErr w:type="gramEnd"/>
      <w:r w:rsidRPr="00827D56">
        <w:rPr>
          <w:rFonts w:ascii="Avenir Next" w:hAnsi="Avenir Next" w:cs="Arial"/>
          <w:sz w:val="22"/>
          <w:szCs w:val="22"/>
          <w:lang w:val="en-GB"/>
        </w:rPr>
        <w:t xml:space="preserve">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7813F0A" w:rsidR="00DF75F8" w:rsidRPr="00827D56" w:rsidRDefault="003527A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There is no single set of insolvency systems in the world. Therefore, in dealing with cross-border insolvency cases, it is necessary to harmonise differences between each of the insolvency rules, which applies to a debtor. Not only insolvency law but also general la</w:t>
      </w:r>
      <w:r w:rsidR="00E4778B">
        <w:rPr>
          <w:rFonts w:ascii="Avenir Next" w:hAnsi="Avenir Next" w:cs="Arial"/>
          <w:color w:val="7B7B7B" w:themeColor="accent3" w:themeShade="BF"/>
          <w:sz w:val="22"/>
          <w:szCs w:val="22"/>
          <w:lang w:val="en-GB"/>
        </w:rPr>
        <w:t xml:space="preserve">w might cause such differences because, as insolvency law cannot cover all legal problems, there are some situations that issues between stakeholders under insolvency proceedings </w:t>
      </w:r>
      <w:proofErr w:type="gramStart"/>
      <w:r w:rsidR="00E4778B">
        <w:rPr>
          <w:rFonts w:ascii="Avenir Next" w:hAnsi="Avenir Next" w:cs="Arial"/>
          <w:color w:val="7B7B7B" w:themeColor="accent3" w:themeShade="BF"/>
          <w:sz w:val="22"/>
          <w:szCs w:val="22"/>
          <w:lang w:val="en-GB"/>
        </w:rPr>
        <w:t>must be treated</w:t>
      </w:r>
      <w:proofErr w:type="gramEnd"/>
      <w:r w:rsidR="00E4778B">
        <w:rPr>
          <w:rFonts w:ascii="Avenir Next" w:hAnsi="Avenir Next" w:cs="Arial"/>
          <w:color w:val="7B7B7B" w:themeColor="accent3" w:themeShade="BF"/>
          <w:sz w:val="22"/>
          <w:szCs w:val="22"/>
          <w:lang w:val="en-GB"/>
        </w:rPr>
        <w:t xml:space="preserve"> under general law. </w:t>
      </w:r>
      <w:r>
        <w:rPr>
          <w:rFonts w:ascii="Avenir Next" w:hAnsi="Avenir Next" w:cs="Arial"/>
          <w:color w:val="7B7B7B" w:themeColor="accent3" w:themeShade="BF"/>
          <w:sz w:val="22"/>
          <w:szCs w:val="22"/>
          <w:lang w:val="en-GB"/>
        </w:rPr>
        <w:t>Therefore, the difficulties to treat insolvency matters related more than one state happen.</w:t>
      </w:r>
    </w:p>
    <w:p w14:paraId="3DAA6780" w14:textId="657CEFE1" w:rsidR="00962045" w:rsidRPr="003527AB"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 xml:space="preserve">What multilateral steps </w:t>
      </w:r>
      <w:proofErr w:type="gramStart"/>
      <w:r w:rsidRPr="00827D56">
        <w:rPr>
          <w:rFonts w:ascii="Avenir Next" w:hAnsi="Avenir Next" w:cs="Arial"/>
          <w:sz w:val="22"/>
          <w:szCs w:val="22"/>
          <w:shd w:val="clear" w:color="auto" w:fill="FFFFFF"/>
          <w:lang w:val="en-GB"/>
        </w:rPr>
        <w:t>have been taken</w:t>
      </w:r>
      <w:proofErr w:type="gramEnd"/>
      <w:r w:rsidRPr="00827D56">
        <w:rPr>
          <w:rFonts w:ascii="Avenir Next" w:hAnsi="Avenir Next" w:cs="Arial"/>
          <w:sz w:val="22"/>
          <w:szCs w:val="22"/>
          <w:shd w:val="clear" w:color="auto" w:fill="FFFFFF"/>
          <w:lang w:val="en-GB"/>
        </w:rPr>
        <w:t xml:space="preserve">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7D020F8F" w:rsidR="007D7C92" w:rsidRPr="00A515EE" w:rsidRDefault="000A7A67" w:rsidP="00A515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introduction of “soft law” </w:t>
      </w:r>
      <w:proofErr w:type="gramStart"/>
      <w:r>
        <w:rPr>
          <w:rFonts w:ascii="Avenir Next" w:hAnsi="Avenir Next" w:cs="Arial"/>
          <w:color w:val="7B7B7B" w:themeColor="accent3" w:themeShade="BF"/>
          <w:sz w:val="22"/>
          <w:szCs w:val="22"/>
          <w:lang w:val="en-GB"/>
        </w:rPr>
        <w:t>has been taken</w:t>
      </w:r>
      <w:proofErr w:type="gramEnd"/>
      <w:r>
        <w:rPr>
          <w:rFonts w:ascii="Avenir Next" w:hAnsi="Avenir Next" w:cs="Arial"/>
          <w:color w:val="7B7B7B" w:themeColor="accent3" w:themeShade="BF"/>
          <w:sz w:val="22"/>
          <w:szCs w:val="22"/>
          <w:lang w:val="en-GB"/>
        </w:rPr>
        <w:t xml:space="preserve"> as multilateral steps in 21</w:t>
      </w:r>
      <w:r w:rsidRPr="000A7A67">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w:t>
      </w:r>
      <w:r w:rsidR="001D397C">
        <w:rPr>
          <w:rFonts w:ascii="Avenir Next" w:hAnsi="Avenir Next" w:cs="Arial"/>
          <w:i/>
          <w:color w:val="7B7B7B" w:themeColor="accent3" w:themeShade="BF"/>
          <w:sz w:val="22"/>
          <w:szCs w:val="22"/>
          <w:lang w:val="en-GB"/>
        </w:rPr>
        <w:t>A l</w:t>
      </w:r>
      <w:r w:rsidR="001D397C" w:rsidRPr="001D397C">
        <w:rPr>
          <w:rFonts w:ascii="Avenir Next" w:hAnsi="Avenir Next" w:cs="Arial"/>
          <w:i/>
          <w:color w:val="7B7B7B" w:themeColor="accent3" w:themeShade="BF"/>
          <w:sz w:val="22"/>
          <w:szCs w:val="22"/>
          <w:lang w:val="en-GB"/>
        </w:rPr>
        <w:t>egislative Guide on Insolvency Law</w:t>
      </w:r>
      <w:r w:rsidR="001D397C">
        <w:rPr>
          <w:rFonts w:ascii="Avenir Next" w:hAnsi="Avenir Next" w:cs="Arial"/>
          <w:color w:val="7B7B7B" w:themeColor="accent3" w:themeShade="BF"/>
          <w:sz w:val="22"/>
          <w:szCs w:val="22"/>
          <w:lang w:val="en-GB"/>
        </w:rPr>
        <w:t xml:space="preserve"> by UNCITRAL and </w:t>
      </w:r>
      <w:r w:rsidR="001D397C" w:rsidRPr="001D397C">
        <w:rPr>
          <w:rFonts w:ascii="Avenir Next" w:hAnsi="Avenir Next" w:cs="Arial"/>
          <w:i/>
          <w:color w:val="7B7B7B" w:themeColor="accent3" w:themeShade="BF"/>
          <w:sz w:val="22"/>
          <w:szCs w:val="22"/>
          <w:lang w:val="en-GB"/>
        </w:rPr>
        <w:t>Principles for Effective Insolvency and Creditor / Debtor Regimes</w:t>
      </w:r>
      <w:r w:rsidR="001D397C">
        <w:rPr>
          <w:rFonts w:ascii="Avenir Next" w:hAnsi="Avenir Next" w:cs="Arial"/>
          <w:color w:val="7B7B7B" w:themeColor="accent3" w:themeShade="BF"/>
          <w:sz w:val="22"/>
          <w:szCs w:val="22"/>
          <w:lang w:val="en-GB"/>
        </w:rPr>
        <w:t xml:space="preserve"> by the World Bank exemplify the soft law to harmonise domestic insolvency laws. In my opinion, </w:t>
      </w:r>
      <w:r w:rsidR="00A515EE">
        <w:rPr>
          <w:rFonts w:ascii="Avenir Next" w:hAnsi="Avenir Next" w:cs="Arial"/>
          <w:color w:val="7B7B7B" w:themeColor="accent3" w:themeShade="BF"/>
          <w:sz w:val="22"/>
          <w:szCs w:val="22"/>
          <w:lang w:val="en-GB"/>
        </w:rPr>
        <w:t xml:space="preserve">the significant impact of this soft law is to give a standard rule and best practice for insolvency cases to </w:t>
      </w:r>
      <w:r w:rsidR="00A515EE" w:rsidRPr="00A515EE">
        <w:rPr>
          <w:rFonts w:ascii="Avenir Next" w:hAnsi="Avenir Next" w:cs="Arial"/>
          <w:color w:val="7B7B7B" w:themeColor="accent3" w:themeShade="BF"/>
          <w:sz w:val="22"/>
          <w:szCs w:val="22"/>
          <w:lang w:val="en-GB"/>
        </w:rPr>
        <w:t>practitioner</w:t>
      </w:r>
      <w:r w:rsidR="00A515EE">
        <w:rPr>
          <w:rFonts w:ascii="Avenir Next" w:hAnsi="Avenir Next" w:cs="Arial"/>
          <w:color w:val="7B7B7B" w:themeColor="accent3" w:themeShade="BF"/>
          <w:sz w:val="22"/>
          <w:szCs w:val="22"/>
          <w:lang w:val="en-GB"/>
        </w:rPr>
        <w:t xml:space="preserve">s and this will make the harmonisation easier. </w:t>
      </w:r>
      <w:proofErr w:type="gramStart"/>
      <w:r w:rsidR="006B20B1">
        <w:rPr>
          <w:rFonts w:ascii="Avenir Next" w:hAnsi="Avenir Next" w:cs="Arial"/>
          <w:color w:val="7B7B7B" w:themeColor="accent3" w:themeShade="BF"/>
          <w:sz w:val="22"/>
          <w:szCs w:val="22"/>
          <w:lang w:val="en-GB"/>
        </w:rPr>
        <w:t>Regardless of the adoption of the “soft law”, if there is no standard rule nor best practice which a practitioner should know, it must be very difficult</w:t>
      </w:r>
      <w:r w:rsidR="007C2D59">
        <w:rPr>
          <w:rFonts w:ascii="Avenir Next" w:hAnsi="Avenir Next" w:cs="Arial"/>
          <w:color w:val="7B7B7B" w:themeColor="accent3" w:themeShade="BF"/>
          <w:sz w:val="22"/>
          <w:szCs w:val="22"/>
          <w:lang w:val="en-GB"/>
        </w:rPr>
        <w:t xml:space="preserve"> to </w:t>
      </w:r>
      <w:r w:rsidR="00F50727">
        <w:rPr>
          <w:rFonts w:ascii="Avenir Next" w:hAnsi="Avenir Next" w:cs="Arial"/>
          <w:color w:val="7B7B7B" w:themeColor="accent3" w:themeShade="BF"/>
          <w:sz w:val="22"/>
          <w:szCs w:val="22"/>
          <w:lang w:val="en-GB"/>
        </w:rPr>
        <w:t xml:space="preserve">harmonise </w:t>
      </w:r>
      <w:r w:rsidR="006B20B1">
        <w:rPr>
          <w:rFonts w:ascii="Avenir Next" w:hAnsi="Avenir Next" w:cs="Arial"/>
          <w:color w:val="7B7B7B" w:themeColor="accent3" w:themeShade="BF"/>
          <w:sz w:val="22"/>
          <w:szCs w:val="22"/>
          <w:lang w:val="en-GB"/>
        </w:rPr>
        <w:t>cross-border insolvency cases</w:t>
      </w:r>
      <w:r w:rsidR="00F50727">
        <w:rPr>
          <w:rFonts w:ascii="Avenir Next" w:hAnsi="Avenir Next" w:cs="Arial"/>
          <w:color w:val="7B7B7B" w:themeColor="accent3" w:themeShade="BF"/>
          <w:sz w:val="22"/>
          <w:szCs w:val="22"/>
          <w:lang w:val="en-GB"/>
        </w:rPr>
        <w:t xml:space="preserve"> because such practitioner, who do not know the differences between standard rules or best practise and its own domestic insolvency rules or practise ,  does not have any idea about the way to coordinate </w:t>
      </w:r>
      <w:r w:rsidR="007C2D59">
        <w:rPr>
          <w:rFonts w:ascii="Avenir Next" w:hAnsi="Avenir Next" w:cs="Arial"/>
          <w:color w:val="7B7B7B" w:themeColor="accent3" w:themeShade="BF"/>
          <w:sz w:val="22"/>
          <w:szCs w:val="22"/>
          <w:lang w:val="en-GB"/>
        </w:rPr>
        <w:t>the differences.</w:t>
      </w:r>
      <w:proofErr w:type="gramEnd"/>
      <w:r w:rsidR="007C2D59">
        <w:rPr>
          <w:rFonts w:ascii="Avenir Next" w:hAnsi="Avenir Next" w:cs="Arial"/>
          <w:color w:val="7B7B7B" w:themeColor="accent3" w:themeShade="BF"/>
          <w:sz w:val="22"/>
          <w:szCs w:val="22"/>
          <w:lang w:val="en-GB"/>
        </w:rPr>
        <w:t xml:space="preserve">  On the other hand, practitioners who are familiar with the standard can find issues to be harmonised and/or to </w:t>
      </w:r>
      <w:proofErr w:type="gramStart"/>
      <w:r w:rsidR="007C2D59">
        <w:rPr>
          <w:rFonts w:ascii="Avenir Next" w:hAnsi="Avenir Next" w:cs="Arial"/>
          <w:color w:val="7B7B7B" w:themeColor="accent3" w:themeShade="BF"/>
          <w:sz w:val="22"/>
          <w:szCs w:val="22"/>
          <w:lang w:val="en-GB"/>
        </w:rPr>
        <w:t>be reformed</w:t>
      </w:r>
      <w:proofErr w:type="gramEnd"/>
      <w:r w:rsidR="007C2D59">
        <w:rPr>
          <w:rFonts w:ascii="Avenir Next" w:hAnsi="Avenir Next" w:cs="Arial"/>
          <w:color w:val="7B7B7B" w:themeColor="accent3" w:themeShade="BF"/>
          <w:sz w:val="22"/>
          <w:szCs w:val="22"/>
          <w:lang w:val="en-GB"/>
        </w:rPr>
        <w:t xml:space="preserve"> in cross-border insolvency cases. Therefore, the publicity of a </w:t>
      </w:r>
      <w:r w:rsidR="007C2D59" w:rsidRPr="007C2D59">
        <w:rPr>
          <w:rFonts w:ascii="Avenir Next" w:hAnsi="Avenir Next" w:cs="Arial"/>
          <w:i/>
          <w:color w:val="7B7B7B" w:themeColor="accent3" w:themeShade="BF"/>
          <w:sz w:val="22"/>
          <w:szCs w:val="22"/>
          <w:lang w:val="en-GB"/>
        </w:rPr>
        <w:t xml:space="preserve">legislative Guide on Insolvency Law </w:t>
      </w:r>
      <w:r w:rsidR="007C2D59" w:rsidRPr="007C2D59">
        <w:rPr>
          <w:rFonts w:ascii="Avenir Next" w:hAnsi="Avenir Next" w:cs="Arial"/>
          <w:color w:val="7B7B7B" w:themeColor="accent3" w:themeShade="BF"/>
          <w:sz w:val="22"/>
          <w:szCs w:val="22"/>
          <w:lang w:val="en-GB"/>
        </w:rPr>
        <w:t xml:space="preserve">and </w:t>
      </w:r>
      <w:r w:rsidR="007C2D59" w:rsidRPr="007C2D59">
        <w:rPr>
          <w:rFonts w:ascii="Avenir Next" w:hAnsi="Avenir Next" w:cs="Arial"/>
          <w:i/>
          <w:color w:val="7B7B7B" w:themeColor="accent3" w:themeShade="BF"/>
          <w:sz w:val="22"/>
          <w:szCs w:val="22"/>
          <w:lang w:val="en-GB"/>
        </w:rPr>
        <w:t>Principles for Effective Insolvency and Creditor / Debtor Regimes</w:t>
      </w:r>
      <w:r w:rsidR="007C2D59" w:rsidRPr="007C2D59">
        <w:rPr>
          <w:rFonts w:ascii="Avenir Next" w:hAnsi="Avenir Next" w:cs="Arial"/>
          <w:color w:val="7B7B7B" w:themeColor="accent3" w:themeShade="BF"/>
          <w:sz w:val="22"/>
          <w:szCs w:val="22"/>
          <w:lang w:val="en-GB"/>
        </w:rPr>
        <w:t xml:space="preserve"> </w:t>
      </w:r>
      <w:r w:rsidR="007C2D59">
        <w:rPr>
          <w:rFonts w:ascii="Avenir Next" w:hAnsi="Avenir Next" w:cs="Arial"/>
          <w:color w:val="7B7B7B" w:themeColor="accent3" w:themeShade="BF"/>
          <w:sz w:val="22"/>
          <w:szCs w:val="22"/>
          <w:lang w:val="en-GB"/>
        </w:rPr>
        <w:t xml:space="preserve">can have the big impact of the acceleration of the promotion of the </w:t>
      </w:r>
      <w:r w:rsidR="007C2D59" w:rsidRPr="007C2D59">
        <w:rPr>
          <w:rFonts w:ascii="Avenir Next" w:hAnsi="Avenir Next" w:cs="Arial"/>
          <w:color w:val="7B7B7B" w:themeColor="accent3" w:themeShade="BF"/>
          <w:sz w:val="22"/>
          <w:szCs w:val="22"/>
          <w:lang w:val="en-GB"/>
        </w:rPr>
        <w:t>har</w:t>
      </w:r>
      <w:r w:rsidR="007C2D59">
        <w:rPr>
          <w:rFonts w:ascii="Avenir Next" w:hAnsi="Avenir Next" w:cs="Arial"/>
          <w:color w:val="7B7B7B" w:themeColor="accent3" w:themeShade="BF"/>
          <w:sz w:val="22"/>
          <w:szCs w:val="22"/>
          <w:lang w:val="en-GB"/>
        </w:rPr>
        <w:t xml:space="preserve">monisation. </w:t>
      </w:r>
    </w:p>
    <w:p w14:paraId="111EA170" w14:textId="77777777" w:rsidR="00D17FDC" w:rsidRPr="007C2D59"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w:t>
      </w:r>
      <w:proofErr w:type="gramStart"/>
      <w:r w:rsidRPr="00827D56">
        <w:rPr>
          <w:rFonts w:ascii="Avenir Next" w:hAnsi="Avenir Next" w:cs="Arial"/>
          <w:sz w:val="22"/>
          <w:szCs w:val="22"/>
          <w:lang w:val="en-GB"/>
        </w:rPr>
        <w:t>Originally</w:t>
      </w:r>
      <w:proofErr w:type="gramEnd"/>
      <w:r w:rsidRPr="00827D56">
        <w:rPr>
          <w:rFonts w:ascii="Avenir Next" w:hAnsi="Avenir Next" w:cs="Arial"/>
          <w:sz w:val="22"/>
          <w:szCs w:val="22"/>
          <w:lang w:val="en-GB"/>
        </w:rPr>
        <w:t xml:space="preserve">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w:t>
      </w:r>
      <w:proofErr w:type="gramStart"/>
      <w:r w:rsidRPr="00827D56">
        <w:rPr>
          <w:rFonts w:ascii="Avenir Next" w:hAnsi="Avenir Next" w:cs="Arial"/>
          <w:sz w:val="22"/>
          <w:szCs w:val="22"/>
          <w:lang w:val="en-GB"/>
        </w:rPr>
        <w:t>goods which</w:t>
      </w:r>
      <w:proofErr w:type="gramEnd"/>
      <w:r w:rsidRPr="00827D56">
        <w:rPr>
          <w:rFonts w:ascii="Avenir Next" w:hAnsi="Avenir Next" w:cs="Arial"/>
          <w:sz w:val="22"/>
          <w:szCs w:val="22"/>
          <w:lang w:val="en-GB"/>
        </w:rPr>
        <w:t xml:space="preserve">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w:t>
      </w:r>
      <w:proofErr w:type="gramStart"/>
      <w:r w:rsidRPr="00827D56">
        <w:rPr>
          <w:rFonts w:ascii="Avenir Next" w:hAnsi="Avenir Next" w:cs="Arial"/>
          <w:sz w:val="22"/>
          <w:szCs w:val="22"/>
          <w:lang w:val="en-GB"/>
        </w:rPr>
        <w:t>is also</w:t>
      </w:r>
      <w:proofErr w:type="gramEnd"/>
      <w:r w:rsidRPr="00827D56">
        <w:rPr>
          <w:rFonts w:ascii="Avenir Next" w:hAnsi="Avenir Next" w:cs="Arial"/>
          <w:sz w:val="22"/>
          <w:szCs w:val="22"/>
          <w:lang w:val="en-GB"/>
        </w:rPr>
        <w:t xml:space="preserve">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w:t>
      </w:r>
      <w:proofErr w:type="gramStart"/>
      <w:r w:rsidRPr="00827D56">
        <w:rPr>
          <w:rFonts w:ascii="Avenir Next" w:hAnsi="Avenir Next" w:cs="Arial"/>
          <w:sz w:val="22"/>
          <w:szCs w:val="22"/>
          <w:lang w:val="en-GB"/>
        </w:rPr>
        <w:t>has been adopted</w:t>
      </w:r>
      <w:proofErr w:type="gramEnd"/>
      <w:r w:rsidRPr="00827D56">
        <w:rPr>
          <w:rFonts w:ascii="Avenir Next" w:hAnsi="Avenir Next" w:cs="Arial"/>
          <w:sz w:val="22"/>
          <w:szCs w:val="22"/>
          <w:lang w:val="en-GB"/>
        </w:rPr>
        <w:t xml:space="preserve">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8503B6C" w:rsidR="002F75A3" w:rsidRPr="00280636" w:rsidRDefault="006D127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s</w:t>
      </w:r>
      <w:r w:rsidR="0048650A">
        <w:rPr>
          <w:rFonts w:ascii="Avenir Next" w:hAnsi="Avenir Next" w:cs="Arial"/>
          <w:color w:val="7B7B7B" w:themeColor="accent3" w:themeShade="BF"/>
          <w:sz w:val="22"/>
          <w:szCs w:val="22"/>
          <w:lang w:val="en-GB"/>
        </w:rPr>
        <w:t>tay</w:t>
      </w:r>
      <w:r>
        <w:rPr>
          <w:rFonts w:ascii="Avenir Next" w:hAnsi="Avenir Next" w:cs="Arial"/>
          <w:color w:val="7B7B7B" w:themeColor="accent3" w:themeShade="BF"/>
          <w:sz w:val="22"/>
          <w:szCs w:val="22"/>
          <w:lang w:val="en-GB"/>
        </w:rPr>
        <w:t xml:space="preserve"> the litigation in Utopia, the</w:t>
      </w:r>
      <w:r w:rsidRPr="006D1270">
        <w:t xml:space="preserve"> </w:t>
      </w:r>
      <w:proofErr w:type="spellStart"/>
      <w:r w:rsidRPr="006D1270">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liquidator needs to have the winding-up procedure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recognised as the domestic procedure in Utopia. </w:t>
      </w:r>
      <w:r w:rsidR="00536190">
        <w:rPr>
          <w:rFonts w:ascii="Avenir Next" w:hAnsi="Avenir Next" w:cs="Arial"/>
          <w:color w:val="7B7B7B" w:themeColor="accent3" w:themeShade="BF"/>
          <w:sz w:val="22"/>
          <w:szCs w:val="22"/>
          <w:lang w:val="en-GB"/>
        </w:rPr>
        <w:t>Under t</w:t>
      </w:r>
      <w:r w:rsidR="00536190" w:rsidRPr="00536190">
        <w:rPr>
          <w:rFonts w:ascii="Avenir Next" w:hAnsi="Avenir Next" w:cs="Arial"/>
          <w:color w:val="7B7B7B" w:themeColor="accent3" w:themeShade="BF"/>
          <w:sz w:val="22"/>
          <w:szCs w:val="22"/>
          <w:lang w:val="en-GB"/>
        </w:rPr>
        <w:t>he Cross-border Insolvency Act of Utopia</w:t>
      </w:r>
      <w:r w:rsidR="00536190">
        <w:rPr>
          <w:rFonts w:ascii="Avenir Next" w:hAnsi="Avenir Next" w:cs="Arial"/>
          <w:color w:val="7B7B7B" w:themeColor="accent3" w:themeShade="BF"/>
          <w:sz w:val="22"/>
          <w:szCs w:val="22"/>
          <w:lang w:val="en-GB"/>
        </w:rPr>
        <w:t xml:space="preserve">, the </w:t>
      </w:r>
      <w:proofErr w:type="spellStart"/>
      <w:r w:rsidR="00536190" w:rsidRPr="006D1270">
        <w:rPr>
          <w:rFonts w:ascii="Avenir Next" w:hAnsi="Avenir Next" w:cs="Arial"/>
          <w:color w:val="7B7B7B" w:themeColor="accent3" w:themeShade="BF"/>
          <w:sz w:val="22"/>
          <w:szCs w:val="22"/>
          <w:lang w:val="en-GB"/>
        </w:rPr>
        <w:t>Erewhon</w:t>
      </w:r>
      <w:proofErr w:type="spellEnd"/>
      <w:r w:rsidR="00536190">
        <w:rPr>
          <w:rFonts w:ascii="Avenir Next" w:hAnsi="Avenir Next" w:cs="Arial"/>
          <w:color w:val="7B7B7B" w:themeColor="accent3" w:themeShade="BF"/>
          <w:sz w:val="22"/>
          <w:szCs w:val="22"/>
          <w:lang w:val="en-GB"/>
        </w:rPr>
        <w:t xml:space="preserve"> liquidator </w:t>
      </w:r>
      <w:r w:rsidR="0048650A">
        <w:rPr>
          <w:rFonts w:ascii="Avenir Next" w:hAnsi="Avenir Next" w:cs="Arial"/>
          <w:color w:val="7B7B7B" w:themeColor="accent3" w:themeShade="BF"/>
          <w:sz w:val="22"/>
          <w:szCs w:val="22"/>
          <w:lang w:val="en-GB"/>
        </w:rPr>
        <w:t xml:space="preserve">can </w:t>
      </w:r>
      <w:r w:rsidR="00536190">
        <w:rPr>
          <w:rFonts w:ascii="Avenir Next" w:hAnsi="Avenir Next" w:cs="Arial"/>
          <w:color w:val="7B7B7B" w:themeColor="accent3" w:themeShade="BF"/>
          <w:sz w:val="22"/>
          <w:szCs w:val="22"/>
          <w:lang w:val="en-GB"/>
        </w:rPr>
        <w:t xml:space="preserve">apply </w:t>
      </w:r>
      <w:r w:rsidR="0048650A">
        <w:rPr>
          <w:rFonts w:ascii="Avenir Next" w:hAnsi="Avenir Next" w:cs="Arial"/>
          <w:color w:val="7B7B7B" w:themeColor="accent3" w:themeShade="BF"/>
          <w:sz w:val="22"/>
          <w:szCs w:val="22"/>
          <w:lang w:val="en-GB"/>
        </w:rPr>
        <w:t>the relief to stay the execution against the Nadir</w:t>
      </w:r>
      <w:r w:rsidR="0048650A" w:rsidRPr="0048650A">
        <w:rPr>
          <w:rFonts w:ascii="Avenir Next" w:hAnsi="Avenir Next" w:cs="Arial"/>
          <w:color w:val="7B7B7B" w:themeColor="accent3" w:themeShade="BF"/>
          <w:sz w:val="22"/>
          <w:szCs w:val="22"/>
          <w:lang w:val="en-GB"/>
        </w:rPr>
        <w:t xml:space="preserve">’s assets </w:t>
      </w:r>
      <w:r w:rsidR="0048650A">
        <w:rPr>
          <w:rFonts w:ascii="Avenir Next" w:hAnsi="Avenir Next" w:cs="Arial"/>
          <w:color w:val="7B7B7B" w:themeColor="accent3" w:themeShade="BF"/>
          <w:sz w:val="22"/>
          <w:szCs w:val="22"/>
          <w:lang w:val="en-GB"/>
        </w:rPr>
        <w:t xml:space="preserve">in Utopia to </w:t>
      </w:r>
      <w:r w:rsidR="00536190">
        <w:rPr>
          <w:rFonts w:ascii="Avenir Next" w:hAnsi="Avenir Next" w:cs="Arial"/>
          <w:color w:val="7B7B7B" w:themeColor="accent3" w:themeShade="BF"/>
          <w:sz w:val="22"/>
          <w:szCs w:val="22"/>
          <w:lang w:val="en-GB"/>
        </w:rPr>
        <w:t>a court in Utopia</w:t>
      </w:r>
      <w:r w:rsidR="00280636">
        <w:rPr>
          <w:rFonts w:ascii="Avenir Next" w:hAnsi="Avenir Next" w:cs="Arial"/>
          <w:color w:val="7B7B7B" w:themeColor="accent3" w:themeShade="BF"/>
          <w:sz w:val="22"/>
          <w:szCs w:val="22"/>
          <w:lang w:val="en-GB"/>
        </w:rPr>
        <w:t>.</w:t>
      </w:r>
      <w:r w:rsidR="0048650A">
        <w:rPr>
          <w:rFonts w:ascii="Avenir Next" w:hAnsi="Avenir Next" w:cs="Arial"/>
          <w:color w:val="7B7B7B" w:themeColor="accent3" w:themeShade="BF"/>
          <w:sz w:val="22"/>
          <w:szCs w:val="22"/>
          <w:lang w:val="en-GB"/>
        </w:rPr>
        <w:t xml:space="preserve"> </w:t>
      </w:r>
      <w:r w:rsidR="00280636">
        <w:rPr>
          <w:rFonts w:ascii="Avenir Next" w:hAnsi="Avenir Next" w:cs="Arial"/>
          <w:color w:val="7B7B7B" w:themeColor="accent3" w:themeShade="BF"/>
          <w:sz w:val="22"/>
          <w:szCs w:val="22"/>
          <w:lang w:val="en-GB"/>
        </w:rPr>
        <w:t xml:space="preserve"> </w:t>
      </w:r>
      <w:r w:rsidR="00721B95">
        <w:rPr>
          <w:rFonts w:ascii="Avenir Next" w:hAnsi="Avenir Next" w:cs="Arial"/>
          <w:color w:val="7B7B7B" w:themeColor="accent3" w:themeShade="BF"/>
          <w:sz w:val="22"/>
          <w:szCs w:val="22"/>
          <w:lang w:val="en-GB"/>
        </w:rPr>
        <w:t xml:space="preserve">However, if the liquidation procedure in </w:t>
      </w:r>
      <w:proofErr w:type="spellStart"/>
      <w:r w:rsidR="00721B95">
        <w:rPr>
          <w:rFonts w:ascii="Avenir Next" w:hAnsi="Avenir Next" w:cs="Arial"/>
          <w:color w:val="7B7B7B" w:themeColor="accent3" w:themeShade="BF"/>
          <w:sz w:val="22"/>
          <w:szCs w:val="22"/>
          <w:lang w:val="en-GB"/>
        </w:rPr>
        <w:t>Erewhon</w:t>
      </w:r>
      <w:proofErr w:type="spellEnd"/>
      <w:r w:rsidR="00721B95">
        <w:rPr>
          <w:rFonts w:ascii="Avenir Next" w:hAnsi="Avenir Next" w:cs="Arial"/>
          <w:color w:val="7B7B7B" w:themeColor="accent3" w:themeShade="BF"/>
          <w:sz w:val="22"/>
          <w:szCs w:val="22"/>
          <w:lang w:val="en-GB"/>
        </w:rPr>
        <w:t xml:space="preserve"> is a foreign non-main proceeding because its head office is located in Utopia, whether the effect to stay the execution against Nadir’s assets should be administrated in the </w:t>
      </w:r>
      <w:proofErr w:type="spellStart"/>
      <w:r w:rsidR="00721B95">
        <w:rPr>
          <w:rFonts w:ascii="Avenir Next" w:hAnsi="Avenir Next" w:cs="Arial"/>
          <w:color w:val="7B7B7B" w:themeColor="accent3" w:themeShade="BF"/>
          <w:sz w:val="22"/>
          <w:szCs w:val="22"/>
          <w:lang w:val="en-GB"/>
        </w:rPr>
        <w:t>Erewhon’s</w:t>
      </w:r>
      <w:proofErr w:type="spellEnd"/>
      <w:r w:rsidR="00721B95">
        <w:rPr>
          <w:rFonts w:ascii="Avenir Next" w:hAnsi="Avenir Next" w:cs="Arial"/>
          <w:color w:val="7B7B7B" w:themeColor="accent3" w:themeShade="BF"/>
          <w:sz w:val="22"/>
          <w:szCs w:val="22"/>
          <w:lang w:val="en-GB"/>
        </w:rPr>
        <w:t xml:space="preserve"> liquidation proceeding shall be reviewed by the court in Utopia.</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a3"/>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filed proceedings to wind-up Nadir, but the matter </w:t>
      </w:r>
      <w:proofErr w:type="gramStart"/>
      <w:r w:rsidRPr="00827D56">
        <w:rPr>
          <w:rFonts w:ascii="Avenir Next" w:hAnsi="Avenir Next" w:cs="Arial"/>
          <w:sz w:val="22"/>
          <w:szCs w:val="22"/>
          <w:lang w:val="en-GB"/>
        </w:rPr>
        <w:t>had not yet been heard</w:t>
      </w:r>
      <w:proofErr w:type="gramEnd"/>
      <w:r w:rsidRPr="00827D56">
        <w:rPr>
          <w:rFonts w:ascii="Avenir Next" w:hAnsi="Avenir Next" w:cs="Arial"/>
          <w:sz w:val="22"/>
          <w:szCs w:val="22"/>
          <w:lang w:val="en-GB"/>
        </w:rPr>
        <w:t>.</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a3"/>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379A152" w:rsidR="002D3473" w:rsidRDefault="0063620D" w:rsidP="0063620D">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eastAsiaTheme="minorEastAsia" w:hAnsi="Avenir Next" w:cs="Arial"/>
          <w:color w:val="808080" w:themeColor="background1" w:themeShade="80"/>
          <w:sz w:val="22"/>
          <w:szCs w:val="22"/>
          <w:lang w:val="en-GB" w:eastAsia="ja-JP"/>
        </w:rPr>
        <w:t>With respect to (b</w:t>
      </w:r>
      <w:r w:rsidR="00CE30FC" w:rsidRPr="00721B95">
        <w:rPr>
          <w:rFonts w:ascii="Avenir Next" w:eastAsiaTheme="minorEastAsia" w:hAnsi="Avenir Next" w:cs="Arial"/>
          <w:color w:val="808080" w:themeColor="background1" w:themeShade="80"/>
          <w:sz w:val="22"/>
          <w:szCs w:val="22"/>
          <w:lang w:val="en-GB" w:eastAsia="ja-JP"/>
        </w:rPr>
        <w:t xml:space="preserve">), </w:t>
      </w:r>
      <w:r>
        <w:rPr>
          <w:rFonts w:ascii="Avenir Next" w:eastAsiaTheme="minorEastAsia" w:hAnsi="Avenir Next" w:cs="Arial"/>
          <w:color w:val="808080" w:themeColor="background1" w:themeShade="80"/>
          <w:sz w:val="22"/>
          <w:szCs w:val="22"/>
          <w:lang w:val="en-GB" w:eastAsia="ja-JP"/>
        </w:rPr>
        <w:t xml:space="preserve">the proceedings to wind-up Nadir in Utopia </w:t>
      </w:r>
      <w:proofErr w:type="gramStart"/>
      <w:r>
        <w:rPr>
          <w:rFonts w:ascii="Avenir Next" w:eastAsiaTheme="minorEastAsia" w:hAnsi="Avenir Next" w:cs="Arial"/>
          <w:color w:val="808080" w:themeColor="background1" w:themeShade="80"/>
          <w:sz w:val="22"/>
          <w:szCs w:val="22"/>
          <w:lang w:val="en-GB" w:eastAsia="ja-JP"/>
        </w:rPr>
        <w:t>is deemed</w:t>
      </w:r>
      <w:proofErr w:type="gramEnd"/>
      <w:r>
        <w:rPr>
          <w:rFonts w:ascii="Avenir Next" w:eastAsiaTheme="minorEastAsia" w:hAnsi="Avenir Next" w:cs="Arial"/>
          <w:color w:val="808080" w:themeColor="background1" w:themeShade="80"/>
          <w:sz w:val="22"/>
          <w:szCs w:val="22"/>
          <w:lang w:val="en-GB" w:eastAsia="ja-JP"/>
        </w:rPr>
        <w:t xml:space="preserve"> as its commencement under </w:t>
      </w:r>
      <w:r>
        <w:rPr>
          <w:rFonts w:ascii="Avenir Next" w:hAnsi="Avenir Next" w:cs="Arial"/>
          <w:color w:val="7B7B7B" w:themeColor="accent3" w:themeShade="BF"/>
          <w:sz w:val="22"/>
          <w:szCs w:val="22"/>
          <w:lang w:val="en-GB"/>
        </w:rPr>
        <w:t>t</w:t>
      </w:r>
      <w:r w:rsidRPr="00536190">
        <w:rPr>
          <w:rFonts w:ascii="Avenir Next" w:hAnsi="Avenir Next" w:cs="Arial"/>
          <w:color w:val="7B7B7B" w:themeColor="accent3" w:themeShade="BF"/>
          <w:sz w:val="22"/>
          <w:szCs w:val="22"/>
          <w:lang w:val="en-GB"/>
        </w:rPr>
        <w:t>he Cross-border Insolvency Act of Utopia</w:t>
      </w:r>
      <w:r>
        <w:rPr>
          <w:rFonts w:ascii="Avenir Next" w:hAnsi="Avenir Next" w:cs="Arial"/>
          <w:color w:val="7B7B7B" w:themeColor="accent3" w:themeShade="BF"/>
          <w:sz w:val="22"/>
          <w:szCs w:val="22"/>
          <w:lang w:val="en-GB"/>
        </w:rPr>
        <w:t>. If so, as the relief to stay the execution against Nadir’s debt must be consistent</w:t>
      </w:r>
      <w:r>
        <w:rPr>
          <w:rFonts w:ascii="Avenir Next" w:eastAsiaTheme="minorEastAsia" w:hAnsi="Avenir Next" w:cs="Arial" w:hint="eastAsia"/>
          <w:color w:val="7B7B7B" w:themeColor="accent3" w:themeShade="BF"/>
          <w:sz w:val="22"/>
          <w:szCs w:val="22"/>
          <w:lang w:val="en-GB" w:eastAsia="ja-JP"/>
        </w:rPr>
        <w:t xml:space="preserve"> </w:t>
      </w:r>
      <w:r w:rsidRPr="0063620D">
        <w:rPr>
          <w:rFonts w:ascii="Avenir Next" w:hAnsi="Avenir Next" w:cs="Arial"/>
          <w:color w:val="7B7B7B" w:themeColor="accent3" w:themeShade="BF"/>
          <w:sz w:val="22"/>
          <w:szCs w:val="22"/>
          <w:lang w:val="en-GB"/>
        </w:rPr>
        <w:t>w</w:t>
      </w:r>
      <w:r>
        <w:rPr>
          <w:rFonts w:ascii="Avenir Next" w:hAnsi="Avenir Next" w:cs="Arial"/>
          <w:color w:val="7B7B7B" w:themeColor="accent3" w:themeShade="BF"/>
          <w:sz w:val="22"/>
          <w:szCs w:val="22"/>
          <w:lang w:val="en-GB"/>
        </w:rPr>
        <w:t>ith the proceeding in Utopia under the law, the court might not issue the stay of the litigation in Utopia.</w:t>
      </w:r>
    </w:p>
    <w:p w14:paraId="1579F1BF" w14:textId="7C092D49" w:rsidR="0063620D" w:rsidRDefault="0063620D" w:rsidP="0063620D">
      <w:pPr>
        <w:autoSpaceDE w:val="0"/>
        <w:autoSpaceDN w:val="0"/>
        <w:adjustRightInd w:val="0"/>
        <w:spacing w:line="276" w:lineRule="auto"/>
        <w:jc w:val="both"/>
        <w:rPr>
          <w:rFonts w:ascii="Avenir Next Demi Bold" w:hAnsi="Avenir Next Demi Bold" w:cs="Arial"/>
          <w:b/>
          <w:bCs/>
          <w:sz w:val="22"/>
          <w:szCs w:val="22"/>
          <w:lang w:val="en-GB"/>
        </w:rPr>
      </w:pPr>
      <w:r>
        <w:rPr>
          <w:rFonts w:ascii="Avenir Next" w:hAnsi="Avenir Next" w:cs="Arial"/>
          <w:color w:val="7B7B7B" w:themeColor="accent3" w:themeShade="BF"/>
          <w:sz w:val="22"/>
          <w:szCs w:val="22"/>
          <w:lang w:val="en-GB"/>
        </w:rPr>
        <w:lastRenderedPageBreak/>
        <w:t xml:space="preserve">On the other hand, with respect to (a), </w:t>
      </w:r>
      <w:r>
        <w:rPr>
          <w:rFonts w:ascii="Avenir Next" w:eastAsiaTheme="minorEastAsia" w:hAnsi="Avenir Next" w:cs="Arial"/>
          <w:color w:val="808080" w:themeColor="background1" w:themeShade="80"/>
          <w:sz w:val="22"/>
          <w:szCs w:val="22"/>
          <w:lang w:val="en-GB" w:eastAsia="ja-JP"/>
        </w:rPr>
        <w:t xml:space="preserve">the proceedings to wind-up Nadir in Utopia had not yet been commenced. Therefore, it does not give impact on the answer in question 4. However, if the proceeding in Utopia </w:t>
      </w:r>
      <w:proofErr w:type="gramStart"/>
      <w:r w:rsidR="004E7C3A">
        <w:rPr>
          <w:rFonts w:ascii="Avenir Next" w:eastAsiaTheme="minorEastAsia" w:hAnsi="Avenir Next" w:cs="Arial"/>
          <w:color w:val="808080" w:themeColor="background1" w:themeShade="80"/>
          <w:sz w:val="22"/>
          <w:szCs w:val="22"/>
          <w:lang w:val="en-GB" w:eastAsia="ja-JP"/>
        </w:rPr>
        <w:t xml:space="preserve">is </w:t>
      </w:r>
      <w:r>
        <w:rPr>
          <w:rFonts w:ascii="Avenir Next" w:eastAsiaTheme="minorEastAsia" w:hAnsi="Avenir Next" w:cs="Arial"/>
          <w:color w:val="808080" w:themeColor="background1" w:themeShade="80"/>
          <w:sz w:val="22"/>
          <w:szCs w:val="22"/>
          <w:lang w:val="en-GB" w:eastAsia="ja-JP"/>
        </w:rPr>
        <w:t>commence</w:t>
      </w:r>
      <w:r w:rsidR="004E7C3A">
        <w:rPr>
          <w:rFonts w:ascii="Avenir Next" w:eastAsiaTheme="minorEastAsia" w:hAnsi="Avenir Next" w:cs="Arial"/>
          <w:color w:val="808080" w:themeColor="background1" w:themeShade="80"/>
          <w:sz w:val="22"/>
          <w:szCs w:val="22"/>
          <w:lang w:val="en-GB" w:eastAsia="ja-JP"/>
        </w:rPr>
        <w:t>d</w:t>
      </w:r>
      <w:proofErr w:type="gramEnd"/>
      <w:r>
        <w:rPr>
          <w:rFonts w:ascii="Avenir Next" w:eastAsiaTheme="minorEastAsia" w:hAnsi="Avenir Next" w:cs="Arial"/>
          <w:color w:val="808080" w:themeColor="background1" w:themeShade="80"/>
          <w:sz w:val="22"/>
          <w:szCs w:val="22"/>
          <w:lang w:val="en-GB" w:eastAsia="ja-JP"/>
        </w:rPr>
        <w:t xml:space="preserve"> </w:t>
      </w:r>
      <w:r w:rsidR="004E7C3A">
        <w:rPr>
          <w:rFonts w:ascii="Avenir Next" w:eastAsiaTheme="minorEastAsia" w:hAnsi="Avenir Next" w:cs="Arial"/>
          <w:color w:val="808080" w:themeColor="background1" w:themeShade="80"/>
          <w:sz w:val="22"/>
          <w:szCs w:val="22"/>
          <w:lang w:val="en-GB" w:eastAsia="ja-JP"/>
        </w:rPr>
        <w:t xml:space="preserve">thereafter, the relief to stay the litigation in Utopian shall be reviewed by the court in Utopia and shall be </w:t>
      </w:r>
      <w:r w:rsidR="004E7C3A" w:rsidRPr="004E7C3A">
        <w:rPr>
          <w:rFonts w:ascii="Avenir Next" w:eastAsiaTheme="minorEastAsia" w:hAnsi="Avenir Next" w:cs="Arial"/>
          <w:color w:val="808080" w:themeColor="background1" w:themeShade="80"/>
          <w:sz w:val="22"/>
          <w:szCs w:val="22"/>
          <w:lang w:val="en-GB" w:eastAsia="ja-JP"/>
        </w:rPr>
        <w:t>modified or terminated if inconsistent w</w:t>
      </w:r>
      <w:r w:rsidR="004E7C3A">
        <w:rPr>
          <w:rFonts w:ascii="Avenir Next" w:eastAsiaTheme="minorEastAsia" w:hAnsi="Avenir Next" w:cs="Arial"/>
          <w:color w:val="808080" w:themeColor="background1" w:themeShade="80"/>
          <w:sz w:val="22"/>
          <w:szCs w:val="22"/>
          <w:lang w:val="en-GB" w:eastAsia="ja-JP"/>
        </w:rPr>
        <w:t xml:space="preserve">ith the proceeding in this Utopia. </w:t>
      </w:r>
      <w:r>
        <w:rPr>
          <w:rFonts w:ascii="Avenir Next" w:eastAsiaTheme="minorEastAsia" w:hAnsi="Avenir Next" w:cs="Arial"/>
          <w:color w:val="808080" w:themeColor="background1" w:themeShade="80"/>
          <w:sz w:val="22"/>
          <w:szCs w:val="22"/>
          <w:lang w:val="en-GB" w:eastAsia="ja-JP"/>
        </w:rPr>
        <w:t xml:space="preserve"> </w:t>
      </w:r>
      <w:r w:rsidRPr="00827D56">
        <w:rPr>
          <w:rFonts w:ascii="Avenir Next Demi Bold" w:hAnsi="Avenir Next Demi Bold" w:cs="Arial"/>
          <w:b/>
          <w:bCs/>
          <w:sz w:val="22"/>
          <w:szCs w:val="22"/>
          <w:lang w:val="en-GB"/>
        </w:rPr>
        <w:t xml:space="preserve"> </w:t>
      </w:r>
    </w:p>
    <w:p w14:paraId="414EECC0" w14:textId="77777777" w:rsidR="0063620D" w:rsidRDefault="0063620D" w:rsidP="0063620D">
      <w:pPr>
        <w:autoSpaceDE w:val="0"/>
        <w:autoSpaceDN w:val="0"/>
        <w:adjustRightInd w:val="0"/>
        <w:spacing w:line="276" w:lineRule="auto"/>
        <w:jc w:val="both"/>
        <w:rPr>
          <w:rFonts w:ascii="Avenir Next Demi Bold" w:hAnsi="Avenir Next Demi Bold" w:cs="Arial"/>
          <w:b/>
          <w:bCs/>
          <w:sz w:val="22"/>
          <w:szCs w:val="22"/>
          <w:lang w:val="en-GB"/>
        </w:rPr>
      </w:pPr>
    </w:p>
    <w:p w14:paraId="4E2A1D20" w14:textId="52E1F3B3" w:rsidR="007C1459" w:rsidRPr="00827D56" w:rsidRDefault="009B0723" w:rsidP="0063620D">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w:t>
      </w:r>
      <w:proofErr w:type="gramStart"/>
      <w:r w:rsidR="00CF4F9D" w:rsidRPr="00827D56">
        <w:rPr>
          <w:rFonts w:ascii="Avenir Next Demi Bold" w:hAnsi="Avenir Next Demi Bold" w:cs="Arial"/>
          <w:b/>
          <w:bCs/>
          <w:sz w:val="22"/>
          <w:szCs w:val="22"/>
          <w:u w:val="single"/>
          <w:lang w:val="en-GB"/>
        </w:rPr>
        <w:t>is not related</w:t>
      </w:r>
      <w:proofErr w:type="gramEnd"/>
      <w:r w:rsidR="00CF4F9D" w:rsidRPr="00827D56">
        <w:rPr>
          <w:rFonts w:ascii="Avenir Next Demi Bold" w:hAnsi="Avenir Next Demi Bold" w:cs="Arial"/>
          <w:b/>
          <w:bCs/>
          <w:sz w:val="22"/>
          <w:szCs w:val="22"/>
          <w:u w:val="single"/>
          <w:lang w:val="en-GB"/>
        </w:rPr>
        <w:t xml:space="preserve">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w:t>
      </w:r>
      <w:proofErr w:type="gramStart"/>
      <w:r w:rsidRPr="00827D56">
        <w:rPr>
          <w:rFonts w:ascii="Avenir Next" w:hAnsi="Avenir Next" w:cs="Arial"/>
          <w:sz w:val="22"/>
          <w:szCs w:val="22"/>
          <w:lang w:val="en-GB"/>
        </w:rPr>
        <w:t>;</w:t>
      </w:r>
      <w:proofErr w:type="gramEnd"/>
      <w:r w:rsidRPr="00827D56">
        <w:rPr>
          <w:rFonts w:ascii="Avenir Next" w:hAnsi="Avenir Next" w:cs="Arial"/>
          <w:sz w:val="22"/>
          <w:szCs w:val="22"/>
          <w:lang w:val="en-GB"/>
        </w:rPr>
        <w:t xml:space="preserve">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114A4E48" w14:textId="4FA7B979" w:rsidR="000431F0" w:rsidRDefault="0066420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 company </w:t>
      </w:r>
      <w:proofErr w:type="gramStart"/>
      <w:r>
        <w:rPr>
          <w:rFonts w:ascii="Avenir Next" w:hAnsi="Avenir Next" w:cs="Arial"/>
          <w:color w:val="7B7B7B" w:themeColor="accent3" w:themeShade="BF"/>
          <w:sz w:val="22"/>
          <w:szCs w:val="22"/>
          <w:lang w:val="en-GB"/>
        </w:rPr>
        <w:t>has been incorporated</w:t>
      </w:r>
      <w:proofErr w:type="gramEnd"/>
      <w:r>
        <w:rPr>
          <w:rFonts w:ascii="Avenir Next" w:hAnsi="Avenir Next" w:cs="Arial"/>
          <w:color w:val="7B7B7B" w:themeColor="accent3" w:themeShade="BF"/>
          <w:sz w:val="22"/>
          <w:szCs w:val="22"/>
          <w:lang w:val="en-GB"/>
        </w:rPr>
        <w:t xml:space="preserve"> in Japan</w:t>
      </w:r>
      <w:r w:rsidR="000431F0">
        <w:rPr>
          <w:rFonts w:ascii="Avenir Next" w:hAnsi="Avenir Next" w:cs="Arial"/>
          <w:color w:val="7B7B7B" w:themeColor="accent3" w:themeShade="BF"/>
          <w:sz w:val="22"/>
          <w:szCs w:val="22"/>
          <w:lang w:val="en-GB"/>
        </w:rPr>
        <w:t>, the insolvency representative will face the international insolvency issues: how to deal with (</w:t>
      </w:r>
      <w:proofErr w:type="spellStart"/>
      <w:r w:rsidR="000431F0">
        <w:rPr>
          <w:rFonts w:ascii="Avenir Next" w:hAnsi="Avenir Next" w:cs="Arial"/>
          <w:color w:val="7B7B7B" w:themeColor="accent3" w:themeShade="BF"/>
          <w:sz w:val="22"/>
          <w:szCs w:val="22"/>
          <w:lang w:val="en-GB"/>
        </w:rPr>
        <w:t>i</w:t>
      </w:r>
      <w:proofErr w:type="spellEnd"/>
      <w:r w:rsidR="000431F0">
        <w:rPr>
          <w:rFonts w:ascii="Avenir Next" w:hAnsi="Avenir Next" w:cs="Arial"/>
          <w:color w:val="7B7B7B" w:themeColor="accent3" w:themeShade="BF"/>
          <w:sz w:val="22"/>
          <w:szCs w:val="22"/>
          <w:lang w:val="en-GB"/>
        </w:rPr>
        <w:t>)</w:t>
      </w:r>
      <w:r w:rsidR="007B70BC">
        <w:rPr>
          <w:rFonts w:asciiTheme="minorEastAsia" w:eastAsiaTheme="minorEastAsia" w:hAnsiTheme="minorEastAsia" w:cs="Arial" w:hint="eastAsia"/>
          <w:color w:val="7B7B7B" w:themeColor="accent3" w:themeShade="BF"/>
          <w:sz w:val="22"/>
          <w:szCs w:val="22"/>
          <w:lang w:val="en-GB" w:eastAsia="ja-JP"/>
        </w:rPr>
        <w:t xml:space="preserve"> </w:t>
      </w:r>
      <w:r w:rsidR="000431F0">
        <w:rPr>
          <w:rFonts w:ascii="Avenir Next" w:hAnsi="Avenir Next" w:cs="Arial"/>
          <w:color w:val="7B7B7B" w:themeColor="accent3" w:themeShade="BF"/>
          <w:sz w:val="22"/>
          <w:szCs w:val="22"/>
          <w:lang w:val="en-GB"/>
        </w:rPr>
        <w:t xml:space="preserve">automatic stay/moratorium, (ii) administration of assets, (iii) executory contracts and (iv) distribution. </w:t>
      </w:r>
    </w:p>
    <w:p w14:paraId="423AED58" w14:textId="433F191D" w:rsidR="00A00197" w:rsidRDefault="000431F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first, in facing these issues, the insolvency representative should consider whether the insolvency proceeding in Japan has the effect in the foreign countries where the corporate debtor has operated business and held its assets. </w:t>
      </w:r>
      <w:proofErr w:type="gramStart"/>
      <w:r>
        <w:rPr>
          <w:rFonts w:ascii="Avenir Next" w:hAnsi="Avenir Next" w:cs="Arial"/>
          <w:color w:val="7B7B7B" w:themeColor="accent3" w:themeShade="BF"/>
          <w:sz w:val="22"/>
          <w:szCs w:val="22"/>
          <w:lang w:val="en-GB"/>
        </w:rPr>
        <w:t xml:space="preserve">If such foreign countries have </w:t>
      </w:r>
      <w:r w:rsidR="007B70BC">
        <w:rPr>
          <w:rFonts w:ascii="Avenir Next" w:hAnsi="Avenir Next" w:cs="Arial"/>
          <w:color w:val="7B7B7B" w:themeColor="accent3" w:themeShade="BF"/>
          <w:sz w:val="22"/>
          <w:szCs w:val="22"/>
          <w:lang w:val="en-GB"/>
        </w:rPr>
        <w:t>adopte</w:t>
      </w:r>
      <w:r>
        <w:rPr>
          <w:rFonts w:ascii="Avenir Next" w:hAnsi="Avenir Next" w:cs="Arial"/>
          <w:color w:val="7B7B7B" w:themeColor="accent3" w:themeShade="BF"/>
          <w:sz w:val="22"/>
          <w:szCs w:val="22"/>
          <w:lang w:val="en-GB"/>
        </w:rPr>
        <w:t xml:space="preserve">d  </w:t>
      </w:r>
      <w:r w:rsidRPr="000431F0">
        <w:rPr>
          <w:rFonts w:ascii="Avenir Next" w:hAnsi="Avenir Next" w:cs="Arial"/>
          <w:color w:val="7B7B7B" w:themeColor="accent3" w:themeShade="BF"/>
          <w:sz w:val="22"/>
          <w:szCs w:val="22"/>
          <w:lang w:val="en-GB"/>
        </w:rPr>
        <w:t>the UNCITRAL Model Law on Cross-border Insolvency</w:t>
      </w:r>
      <w:r>
        <w:rPr>
          <w:rFonts w:ascii="Avenir Next" w:hAnsi="Avenir Next" w:cs="Arial"/>
          <w:color w:val="7B7B7B" w:themeColor="accent3" w:themeShade="BF"/>
          <w:sz w:val="22"/>
          <w:szCs w:val="22"/>
          <w:lang w:val="en-GB"/>
        </w:rPr>
        <w:t xml:space="preserve"> </w:t>
      </w:r>
      <w:r w:rsidR="007B70BC">
        <w:rPr>
          <w:rFonts w:ascii="Avenir Next" w:hAnsi="Avenir Next" w:cs="Arial"/>
          <w:color w:val="7B7B7B" w:themeColor="accent3" w:themeShade="BF"/>
          <w:sz w:val="22"/>
          <w:szCs w:val="22"/>
          <w:lang w:val="en-GB"/>
        </w:rPr>
        <w:t xml:space="preserve">(the “Model Law”) </w:t>
      </w:r>
      <w:r>
        <w:rPr>
          <w:rFonts w:ascii="Avenir Next" w:hAnsi="Avenir Next" w:cs="Arial"/>
          <w:color w:val="7B7B7B" w:themeColor="accent3" w:themeShade="BF"/>
          <w:sz w:val="22"/>
          <w:szCs w:val="22"/>
          <w:lang w:val="en-GB"/>
        </w:rPr>
        <w:t xml:space="preserve">and </w:t>
      </w:r>
      <w:r w:rsidR="007B70BC">
        <w:rPr>
          <w:rFonts w:ascii="Avenir Next" w:hAnsi="Avenir Next" w:cs="Arial"/>
          <w:color w:val="7B7B7B" w:themeColor="accent3" w:themeShade="BF"/>
          <w:sz w:val="22"/>
          <w:szCs w:val="22"/>
          <w:lang w:val="en-GB"/>
        </w:rPr>
        <w:t>the insolvency proceeding in Japan has been regarded as main proceeding under the Model Law, the effect of the insolvency  will be introduced in the foreign country by the applica</w:t>
      </w:r>
      <w:r w:rsidR="00A00197">
        <w:rPr>
          <w:rFonts w:ascii="Avenir Next" w:hAnsi="Avenir Next" w:cs="Arial"/>
          <w:color w:val="7B7B7B" w:themeColor="accent3" w:themeShade="BF"/>
          <w:sz w:val="22"/>
          <w:szCs w:val="22"/>
          <w:lang w:val="en-GB"/>
        </w:rPr>
        <w:t>tion to the relevant authority and the cooperation between the insolvency representative in Japan, the Japanese court and the relevant authority will be required.</w:t>
      </w:r>
      <w:proofErr w:type="gramEnd"/>
      <w:r w:rsidR="00A00197">
        <w:rPr>
          <w:rFonts w:ascii="Avenir Next" w:hAnsi="Avenir Next" w:cs="Arial"/>
          <w:color w:val="7B7B7B" w:themeColor="accent3" w:themeShade="BF"/>
          <w:sz w:val="22"/>
          <w:szCs w:val="22"/>
          <w:lang w:val="en-GB"/>
        </w:rPr>
        <w:t xml:space="preserve"> </w:t>
      </w:r>
    </w:p>
    <w:p w14:paraId="6C35488A" w14:textId="5219C8D8" w:rsidR="00860DE7" w:rsidRDefault="007B70B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this application is successful, </w:t>
      </w:r>
      <w:r w:rsidR="00ED67B7">
        <w:rPr>
          <w:rFonts w:ascii="Avenir Next" w:hAnsi="Avenir Next" w:cs="Arial"/>
          <w:color w:val="7B7B7B" w:themeColor="accent3" w:themeShade="BF"/>
          <w:sz w:val="22"/>
          <w:szCs w:val="22"/>
          <w:lang w:val="en-GB"/>
        </w:rPr>
        <w:t>the automatic stay in the foreign country will have the effect, resulting in the suspension to transfer the corporate debtor’s assets without any consent from the relevant authority. On the other hand, under the law of Japan, the creditor holding the security interest to the debtor’s assets does not have any restriction related to the moratorium</w:t>
      </w:r>
      <w:r w:rsidR="00860DE7">
        <w:rPr>
          <w:rFonts w:ascii="Avenir Next" w:hAnsi="Avenir Next" w:cs="Arial"/>
          <w:color w:val="7B7B7B" w:themeColor="accent3" w:themeShade="BF"/>
          <w:sz w:val="22"/>
          <w:szCs w:val="22"/>
          <w:lang w:val="en-GB"/>
        </w:rPr>
        <w:t>. Therefore, if there are different moratorium system in the foreign country, the insolvency representative should harmonise this issue with the relevant authority.</w:t>
      </w:r>
    </w:p>
    <w:p w14:paraId="77CE8695" w14:textId="42901C82" w:rsidR="0077498C" w:rsidRDefault="00860DE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Likewise, although the </w:t>
      </w:r>
      <w:r w:rsidR="004641A6">
        <w:rPr>
          <w:rFonts w:ascii="Avenir Next" w:hAnsi="Avenir Next" w:cs="Arial"/>
          <w:color w:val="7B7B7B" w:themeColor="accent3" w:themeShade="BF"/>
          <w:sz w:val="22"/>
          <w:szCs w:val="22"/>
          <w:lang w:val="en-GB"/>
        </w:rPr>
        <w:t xml:space="preserve">court in Japan allows the </w:t>
      </w:r>
      <w:r>
        <w:rPr>
          <w:rFonts w:ascii="Avenir Next" w:hAnsi="Avenir Next" w:cs="Arial"/>
          <w:color w:val="7B7B7B" w:themeColor="accent3" w:themeShade="BF"/>
          <w:sz w:val="22"/>
          <w:szCs w:val="22"/>
          <w:lang w:val="en-GB"/>
        </w:rPr>
        <w:t xml:space="preserve">insolvency representative to administrate </w:t>
      </w:r>
      <w:r w:rsidR="00FE5D41">
        <w:rPr>
          <w:rFonts w:ascii="Avenir Next" w:hAnsi="Avenir Next" w:cs="Arial"/>
          <w:color w:val="7B7B7B" w:themeColor="accent3" w:themeShade="BF"/>
          <w:sz w:val="22"/>
          <w:szCs w:val="22"/>
          <w:lang w:val="en-GB"/>
        </w:rPr>
        <w:t xml:space="preserve">all </w:t>
      </w:r>
      <w:r>
        <w:rPr>
          <w:rFonts w:ascii="Avenir Next" w:hAnsi="Avenir Next" w:cs="Arial"/>
          <w:color w:val="7B7B7B" w:themeColor="accent3" w:themeShade="BF"/>
          <w:sz w:val="22"/>
          <w:szCs w:val="22"/>
          <w:lang w:val="en-GB"/>
        </w:rPr>
        <w:t>assets</w:t>
      </w:r>
      <w:r w:rsidR="004641A6">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w:t>
      </w:r>
      <w:r w:rsidR="004641A6">
        <w:rPr>
          <w:rFonts w:ascii="Avenir Next" w:hAnsi="Avenir Next" w:cs="Arial"/>
          <w:color w:val="7B7B7B" w:themeColor="accent3" w:themeShade="BF"/>
          <w:sz w:val="22"/>
          <w:szCs w:val="22"/>
          <w:lang w:val="en-GB"/>
        </w:rPr>
        <w:t xml:space="preserve">the insolvency representative can </w:t>
      </w:r>
      <w:r>
        <w:rPr>
          <w:rFonts w:ascii="Avenir Next" w:hAnsi="Avenir Next" w:cs="Arial"/>
          <w:color w:val="7B7B7B" w:themeColor="accent3" w:themeShade="BF"/>
          <w:sz w:val="22"/>
          <w:szCs w:val="22"/>
          <w:lang w:val="en-GB"/>
        </w:rPr>
        <w:t xml:space="preserve">sell the debtor’s real estate to someone </w:t>
      </w:r>
      <w:r w:rsidR="004641A6">
        <w:rPr>
          <w:rFonts w:ascii="Avenir Next" w:hAnsi="Avenir Next" w:cs="Arial"/>
          <w:color w:val="7B7B7B" w:themeColor="accent3" w:themeShade="BF"/>
          <w:sz w:val="22"/>
          <w:szCs w:val="22"/>
          <w:lang w:val="en-GB"/>
        </w:rPr>
        <w:t xml:space="preserve">with the court’s approval </w:t>
      </w:r>
      <w:r>
        <w:rPr>
          <w:rFonts w:ascii="Avenir Next" w:hAnsi="Avenir Next" w:cs="Arial"/>
          <w:color w:val="7B7B7B" w:themeColor="accent3" w:themeShade="BF"/>
          <w:sz w:val="22"/>
          <w:szCs w:val="22"/>
          <w:lang w:val="en-GB"/>
        </w:rPr>
        <w:t xml:space="preserve">under the law of </w:t>
      </w:r>
      <w:proofErr w:type="gramStart"/>
      <w:r>
        <w:rPr>
          <w:rFonts w:ascii="Avenir Next" w:hAnsi="Avenir Next" w:cs="Arial"/>
          <w:color w:val="7B7B7B" w:themeColor="accent3" w:themeShade="BF"/>
          <w:sz w:val="22"/>
          <w:szCs w:val="22"/>
          <w:lang w:val="en-GB"/>
        </w:rPr>
        <w:t>Japan,</w:t>
      </w:r>
      <w:proofErr w:type="gramEnd"/>
      <w:r>
        <w:rPr>
          <w:rFonts w:ascii="Avenir Next" w:hAnsi="Avenir Next" w:cs="Arial"/>
          <w:color w:val="7B7B7B" w:themeColor="accent3" w:themeShade="BF"/>
          <w:sz w:val="22"/>
          <w:szCs w:val="22"/>
          <w:lang w:val="en-GB"/>
        </w:rPr>
        <w:t xml:space="preserve"> such power may be </w:t>
      </w:r>
      <w:r w:rsidR="004641A6">
        <w:rPr>
          <w:rFonts w:ascii="Avenir Next" w:hAnsi="Avenir Next" w:cs="Arial"/>
          <w:color w:val="7B7B7B" w:themeColor="accent3" w:themeShade="BF"/>
          <w:sz w:val="22"/>
          <w:szCs w:val="22"/>
          <w:lang w:val="en-GB"/>
        </w:rPr>
        <w:t>different from</w:t>
      </w:r>
      <w:r>
        <w:rPr>
          <w:rFonts w:ascii="Avenir Next" w:hAnsi="Avenir Next" w:cs="Arial"/>
          <w:color w:val="7B7B7B" w:themeColor="accent3" w:themeShade="BF"/>
          <w:sz w:val="22"/>
          <w:szCs w:val="22"/>
          <w:lang w:val="en-GB"/>
        </w:rPr>
        <w:t xml:space="preserve"> the law of foreign country. </w:t>
      </w:r>
      <w:r w:rsidR="004641A6">
        <w:rPr>
          <w:rFonts w:ascii="Avenir Next" w:hAnsi="Avenir Next" w:cs="Arial"/>
          <w:color w:val="7B7B7B" w:themeColor="accent3" w:themeShade="BF"/>
          <w:sz w:val="22"/>
          <w:szCs w:val="22"/>
          <w:lang w:val="en-GB"/>
        </w:rPr>
        <w:t>For example, under the law of foreign country, a</w:t>
      </w:r>
      <w:r w:rsidR="00FE5D41">
        <w:rPr>
          <w:rFonts w:ascii="Avenir Next" w:hAnsi="Avenir Next" w:cs="Arial"/>
          <w:color w:val="7B7B7B" w:themeColor="accent3" w:themeShade="BF"/>
          <w:sz w:val="22"/>
          <w:szCs w:val="22"/>
          <w:lang w:val="en-GB"/>
        </w:rPr>
        <w:t>n</w:t>
      </w:r>
      <w:r w:rsidR="004641A6">
        <w:rPr>
          <w:rFonts w:ascii="Avenir Next" w:hAnsi="Avenir Next" w:cs="Arial"/>
          <w:color w:val="7B7B7B" w:themeColor="accent3" w:themeShade="BF"/>
          <w:sz w:val="22"/>
          <w:szCs w:val="22"/>
          <w:lang w:val="en-GB"/>
        </w:rPr>
        <w:t xml:space="preserve"> insolvency representative may have the discretion</w:t>
      </w:r>
      <w:r w:rsidR="00FE5D41">
        <w:rPr>
          <w:rFonts w:ascii="Avenir Next" w:hAnsi="Avenir Next" w:cs="Arial"/>
          <w:color w:val="7B7B7B" w:themeColor="accent3" w:themeShade="BF"/>
          <w:sz w:val="22"/>
          <w:szCs w:val="22"/>
          <w:lang w:val="en-GB"/>
        </w:rPr>
        <w:t xml:space="preserve"> to sell debtor’s real estates</w:t>
      </w:r>
      <w:r w:rsidR="004641A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Therefore, if the debtor’s real estate in the foreign country </w:t>
      </w:r>
      <w:r w:rsidR="004641A6">
        <w:rPr>
          <w:rFonts w:ascii="Avenir Next" w:hAnsi="Avenir Next" w:cs="Arial"/>
          <w:color w:val="7B7B7B" w:themeColor="accent3" w:themeShade="BF"/>
          <w:sz w:val="22"/>
          <w:szCs w:val="22"/>
          <w:lang w:val="en-GB"/>
        </w:rPr>
        <w:t>needs to be disposed, the harmonisation with the relevant</w:t>
      </w:r>
      <w:r>
        <w:rPr>
          <w:rFonts w:ascii="Avenir Next" w:hAnsi="Avenir Next" w:cs="Arial"/>
          <w:color w:val="7B7B7B" w:themeColor="accent3" w:themeShade="BF"/>
          <w:sz w:val="22"/>
          <w:szCs w:val="22"/>
          <w:lang w:val="en-GB"/>
        </w:rPr>
        <w:t xml:space="preserve"> </w:t>
      </w:r>
      <w:r w:rsidR="004641A6">
        <w:rPr>
          <w:rFonts w:ascii="Avenir Next" w:hAnsi="Avenir Next" w:cs="Arial"/>
          <w:color w:val="7B7B7B" w:themeColor="accent3" w:themeShade="BF"/>
          <w:sz w:val="22"/>
          <w:szCs w:val="22"/>
          <w:lang w:val="en-GB"/>
        </w:rPr>
        <w:t>authority should be required.</w:t>
      </w:r>
      <w:r>
        <w:rPr>
          <w:rFonts w:ascii="Avenir Next" w:hAnsi="Avenir Next" w:cs="Arial"/>
          <w:color w:val="7B7B7B" w:themeColor="accent3" w:themeShade="BF"/>
          <w:sz w:val="22"/>
          <w:szCs w:val="22"/>
          <w:lang w:val="en-GB"/>
        </w:rPr>
        <w:t xml:space="preserve">   </w:t>
      </w:r>
    </w:p>
    <w:p w14:paraId="3CFBC426" w14:textId="39815C77" w:rsidR="004641A6" w:rsidRDefault="00464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if there are an executory contract between the corporate debtor and the counterparty in the foreign countries, the differences between Japan and the foreign country </w:t>
      </w:r>
      <w:proofErr w:type="gramStart"/>
      <w:r>
        <w:rPr>
          <w:rFonts w:ascii="Avenir Next" w:hAnsi="Avenir Next" w:cs="Arial"/>
          <w:color w:val="7B7B7B" w:themeColor="accent3" w:themeShade="BF"/>
          <w:sz w:val="22"/>
          <w:szCs w:val="22"/>
          <w:lang w:val="en-GB"/>
        </w:rPr>
        <w:t>should be considered</w:t>
      </w:r>
      <w:proofErr w:type="gramEnd"/>
      <w:r>
        <w:rPr>
          <w:rFonts w:ascii="Avenir Next" w:hAnsi="Avenir Next" w:cs="Arial"/>
          <w:color w:val="7B7B7B" w:themeColor="accent3" w:themeShade="BF"/>
          <w:sz w:val="22"/>
          <w:szCs w:val="22"/>
          <w:lang w:val="en-GB"/>
        </w:rPr>
        <w:t xml:space="preserve">. In Japan, the </w:t>
      </w:r>
      <w:proofErr w:type="gramStart"/>
      <w:r>
        <w:rPr>
          <w:rFonts w:ascii="Avenir Next" w:hAnsi="Avenir Next" w:cs="Arial"/>
          <w:color w:val="7B7B7B" w:themeColor="accent3" w:themeShade="BF"/>
          <w:sz w:val="22"/>
          <w:szCs w:val="22"/>
          <w:lang w:val="en-GB"/>
        </w:rPr>
        <w:t>cherry-picking</w:t>
      </w:r>
      <w:proofErr w:type="gramEnd"/>
      <w:r>
        <w:rPr>
          <w:rFonts w:ascii="Avenir Next" w:hAnsi="Avenir Next" w:cs="Arial"/>
          <w:color w:val="7B7B7B" w:themeColor="accent3" w:themeShade="BF"/>
          <w:sz w:val="22"/>
          <w:szCs w:val="22"/>
          <w:lang w:val="en-GB"/>
        </w:rPr>
        <w:t xml:space="preserve"> related to the executory contracts by the insolvency representative is available. If it is not available in the foreign country, the harmonisation among the relevant countries </w:t>
      </w:r>
      <w:proofErr w:type="gramStart"/>
      <w:r>
        <w:rPr>
          <w:rFonts w:ascii="Avenir Next" w:hAnsi="Avenir Next" w:cs="Arial"/>
          <w:color w:val="7B7B7B" w:themeColor="accent3" w:themeShade="BF"/>
          <w:sz w:val="22"/>
          <w:szCs w:val="22"/>
          <w:lang w:val="en-GB"/>
        </w:rPr>
        <w:t>may be harmed</w:t>
      </w:r>
      <w:proofErr w:type="gramEnd"/>
      <w:r>
        <w:rPr>
          <w:rFonts w:ascii="Avenir Next" w:hAnsi="Avenir Next" w:cs="Arial"/>
          <w:color w:val="7B7B7B" w:themeColor="accent3" w:themeShade="BF"/>
          <w:sz w:val="22"/>
          <w:szCs w:val="22"/>
          <w:lang w:val="en-GB"/>
        </w:rPr>
        <w:t xml:space="preserve">. </w:t>
      </w:r>
    </w:p>
    <w:p w14:paraId="6D700FE9" w14:textId="324B03C2" w:rsidR="00A00197" w:rsidRPr="004641A6" w:rsidRDefault="00464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Lastly, the timing of the distribution and the priority among the creditors depend on the jurisdiction. However, all creditors </w:t>
      </w:r>
      <w:r w:rsidR="00A00197">
        <w:rPr>
          <w:rFonts w:ascii="Avenir Next" w:hAnsi="Avenir Next" w:cs="Arial"/>
          <w:color w:val="7B7B7B" w:themeColor="accent3" w:themeShade="BF"/>
          <w:sz w:val="22"/>
          <w:szCs w:val="22"/>
          <w:lang w:val="en-GB"/>
        </w:rPr>
        <w:t>focuses on the equality in terms of the distribution amount. Thus, the universal distribution plan should be prepared through the cooperation between the jurisdictions.</w:t>
      </w:r>
    </w:p>
    <w:p w14:paraId="35D8F287" w14:textId="1E42E05E" w:rsidR="0077498C" w:rsidRPr="004641A6" w:rsidRDefault="0077498C" w:rsidP="00C053F7">
      <w:pPr>
        <w:jc w:val="both"/>
        <w:rPr>
          <w:rFonts w:ascii="Avenir Next" w:eastAsiaTheme="minorEastAsia" w:hAnsi="Avenir Next" w:cs="Arial"/>
          <w:color w:val="000000" w:themeColor="text1"/>
          <w:sz w:val="22"/>
          <w:szCs w:val="22"/>
          <w:lang w:val="en-GB" w:eastAsia="ja-JP"/>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bookmarkStart w:id="1" w:name="_GoBack"/>
      <w:bookmarkEnd w:id="1"/>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E4778B" w:rsidRDefault="00E4778B" w:rsidP="00241B44">
      <w:r>
        <w:separator/>
      </w:r>
    </w:p>
  </w:endnote>
  <w:endnote w:type="continuationSeparator" w:id="0">
    <w:p w14:paraId="5D0C0338" w14:textId="77777777" w:rsidR="00E4778B" w:rsidRDefault="00E477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778B" w:rsidRPr="00FC7B47" w:rsidRDefault="00E4778B" w:rsidP="00AD6A7D">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06B7A9A3" w:rsidR="00E4778B" w:rsidRPr="00FC7B47" w:rsidRDefault="00E4778B" w:rsidP="00FC7B47">
    <w:pPr>
      <w:pStyle w:val="af"/>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venir Next" w:hAnsi="Avenir Next" w:cs="Arial"/>
        <w:sz w:val="22"/>
        <w:szCs w:val="22"/>
      </w:rPr>
      <w:id w:val="850997806"/>
      <w:docPartObj>
        <w:docPartGallery w:val="Page Numbers (Bottom of Page)"/>
        <w:docPartUnique/>
      </w:docPartObj>
    </w:sdtPr>
    <w:sdtEndPr>
      <w:rPr>
        <w:rStyle w:val="af1"/>
        <w:rFonts w:cstheme="minorBidi"/>
      </w:rPr>
    </w:sdtEndPr>
    <w:sdtContent>
      <w:p w14:paraId="280F1EF8" w14:textId="6445364F" w:rsidR="00E4778B" w:rsidRPr="009634F4" w:rsidRDefault="00E4778B" w:rsidP="000743A0">
        <w:pPr>
          <w:pStyle w:val="af"/>
          <w:framePr w:wrap="none" w:vAnchor="text" w:hAnchor="margin" w:xAlign="right" w:y="1"/>
          <w:rPr>
            <w:rStyle w:val="af1"/>
            <w:rFonts w:ascii="Avenir Next" w:hAnsi="Avenir Next"/>
            <w:sz w:val="22"/>
            <w:szCs w:val="22"/>
          </w:rPr>
        </w:pPr>
        <w:r w:rsidRPr="009634F4">
          <w:rPr>
            <w:rStyle w:val="af1"/>
            <w:rFonts w:ascii="Avenir Next" w:hAnsi="Avenir Next" w:cs="Arial"/>
            <w:sz w:val="22"/>
            <w:szCs w:val="22"/>
          </w:rPr>
          <w:t xml:space="preserve">Page </w:t>
        </w:r>
        <w:r w:rsidRPr="009634F4">
          <w:rPr>
            <w:rStyle w:val="af1"/>
            <w:rFonts w:ascii="Avenir Next" w:hAnsi="Avenir Next" w:cs="Arial"/>
            <w:sz w:val="22"/>
            <w:szCs w:val="22"/>
          </w:rPr>
          <w:fldChar w:fldCharType="begin"/>
        </w:r>
        <w:r w:rsidRPr="009634F4">
          <w:rPr>
            <w:rStyle w:val="af1"/>
            <w:rFonts w:ascii="Avenir Next" w:hAnsi="Avenir Next" w:cs="Arial"/>
            <w:sz w:val="22"/>
            <w:szCs w:val="22"/>
          </w:rPr>
          <w:instrText xml:space="preserve"> PAGE </w:instrText>
        </w:r>
        <w:r w:rsidRPr="009634F4">
          <w:rPr>
            <w:rStyle w:val="af1"/>
            <w:rFonts w:ascii="Avenir Next" w:hAnsi="Avenir Next" w:cs="Arial"/>
            <w:sz w:val="22"/>
            <w:szCs w:val="22"/>
          </w:rPr>
          <w:fldChar w:fldCharType="separate"/>
        </w:r>
        <w:r w:rsidR="00FE5D41">
          <w:rPr>
            <w:rStyle w:val="af1"/>
            <w:rFonts w:ascii="Avenir Next" w:hAnsi="Avenir Next" w:cs="Arial"/>
            <w:noProof/>
            <w:sz w:val="22"/>
            <w:szCs w:val="22"/>
          </w:rPr>
          <w:t>12</w:t>
        </w:r>
        <w:r w:rsidRPr="009634F4">
          <w:rPr>
            <w:rStyle w:val="af1"/>
            <w:rFonts w:ascii="Avenir Next" w:hAnsi="Avenir Next" w:cs="Arial"/>
            <w:sz w:val="22"/>
            <w:szCs w:val="22"/>
          </w:rPr>
          <w:fldChar w:fldCharType="end"/>
        </w:r>
      </w:p>
    </w:sdtContent>
  </w:sdt>
  <w:p w14:paraId="120BA9A5" w14:textId="76089038" w:rsidR="00E4778B" w:rsidRPr="009634F4" w:rsidRDefault="00E4778B" w:rsidP="00AD6A7D">
    <w:pPr>
      <w:pStyle w:val="af"/>
      <w:ind w:right="360"/>
      <w:rPr>
        <w:rFonts w:ascii="Avenir Next" w:hAnsi="Avenir Next" w:cs="Arial"/>
        <w:sz w:val="22"/>
        <w:szCs w:val="22"/>
      </w:rPr>
    </w:pPr>
    <w:r w:rsidRPr="00F12038">
      <w:rPr>
        <w:rFonts w:ascii="Avenir Next" w:hAnsi="Avenir Next" w:cs="Arial"/>
        <w:sz w:val="22"/>
        <w:szCs w:val="22"/>
      </w:rPr>
      <w:t>202223-954</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E4778B" w:rsidRDefault="00E4778B" w:rsidP="00241B44">
      <w:r>
        <w:separator/>
      </w:r>
    </w:p>
  </w:footnote>
  <w:footnote w:type="continuationSeparator" w:id="0">
    <w:p w14:paraId="40E82217" w14:textId="77777777" w:rsidR="00E4778B" w:rsidRDefault="00E4778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31F0"/>
    <w:rsid w:val="00044D46"/>
    <w:rsid w:val="00045088"/>
    <w:rsid w:val="00045904"/>
    <w:rsid w:val="00055893"/>
    <w:rsid w:val="00065166"/>
    <w:rsid w:val="000743A0"/>
    <w:rsid w:val="00082609"/>
    <w:rsid w:val="000851CC"/>
    <w:rsid w:val="00093BE8"/>
    <w:rsid w:val="000A68ED"/>
    <w:rsid w:val="000A7A67"/>
    <w:rsid w:val="000B5FF1"/>
    <w:rsid w:val="000B609F"/>
    <w:rsid w:val="000C3C8D"/>
    <w:rsid w:val="000D55A8"/>
    <w:rsid w:val="000E329C"/>
    <w:rsid w:val="000E4841"/>
    <w:rsid w:val="000F1677"/>
    <w:rsid w:val="000F3D6C"/>
    <w:rsid w:val="00101707"/>
    <w:rsid w:val="00104360"/>
    <w:rsid w:val="001062AF"/>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0DC3"/>
    <w:rsid w:val="001A7E9A"/>
    <w:rsid w:val="001B5016"/>
    <w:rsid w:val="001C45FC"/>
    <w:rsid w:val="001D397C"/>
    <w:rsid w:val="001D4862"/>
    <w:rsid w:val="001E25B9"/>
    <w:rsid w:val="001E49E0"/>
    <w:rsid w:val="001E7B5A"/>
    <w:rsid w:val="001F7412"/>
    <w:rsid w:val="0020725B"/>
    <w:rsid w:val="0023183A"/>
    <w:rsid w:val="00241B44"/>
    <w:rsid w:val="00245EFB"/>
    <w:rsid w:val="0026515D"/>
    <w:rsid w:val="002668D3"/>
    <w:rsid w:val="0027299F"/>
    <w:rsid w:val="00280636"/>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527AB"/>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41A6"/>
    <w:rsid w:val="0048650A"/>
    <w:rsid w:val="00491675"/>
    <w:rsid w:val="00493855"/>
    <w:rsid w:val="004A16A3"/>
    <w:rsid w:val="004A2F51"/>
    <w:rsid w:val="004A57DD"/>
    <w:rsid w:val="004A7B51"/>
    <w:rsid w:val="004A7D71"/>
    <w:rsid w:val="004A7EF3"/>
    <w:rsid w:val="004B11FD"/>
    <w:rsid w:val="004B23A2"/>
    <w:rsid w:val="004C1306"/>
    <w:rsid w:val="004D1A5A"/>
    <w:rsid w:val="004D3721"/>
    <w:rsid w:val="004D64F9"/>
    <w:rsid w:val="004E14A8"/>
    <w:rsid w:val="004E7C3A"/>
    <w:rsid w:val="004F5FDF"/>
    <w:rsid w:val="005177FE"/>
    <w:rsid w:val="0052263B"/>
    <w:rsid w:val="00524728"/>
    <w:rsid w:val="005331CA"/>
    <w:rsid w:val="00536190"/>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2741"/>
    <w:rsid w:val="005D43E0"/>
    <w:rsid w:val="005D58A3"/>
    <w:rsid w:val="005E1B79"/>
    <w:rsid w:val="005F026D"/>
    <w:rsid w:val="005F2D0B"/>
    <w:rsid w:val="005F4B31"/>
    <w:rsid w:val="005F5142"/>
    <w:rsid w:val="005F6250"/>
    <w:rsid w:val="00610388"/>
    <w:rsid w:val="00612CA5"/>
    <w:rsid w:val="006153EC"/>
    <w:rsid w:val="00621A17"/>
    <w:rsid w:val="00624E1E"/>
    <w:rsid w:val="00627CC9"/>
    <w:rsid w:val="00627E7B"/>
    <w:rsid w:val="00630542"/>
    <w:rsid w:val="00632E44"/>
    <w:rsid w:val="00634622"/>
    <w:rsid w:val="00636110"/>
    <w:rsid w:val="0063620D"/>
    <w:rsid w:val="00636808"/>
    <w:rsid w:val="00641515"/>
    <w:rsid w:val="00646608"/>
    <w:rsid w:val="00654C2F"/>
    <w:rsid w:val="00657087"/>
    <w:rsid w:val="00664207"/>
    <w:rsid w:val="00677AEB"/>
    <w:rsid w:val="00687A1D"/>
    <w:rsid w:val="00697EA1"/>
    <w:rsid w:val="006A2646"/>
    <w:rsid w:val="006A6530"/>
    <w:rsid w:val="006B1CA2"/>
    <w:rsid w:val="006B20B1"/>
    <w:rsid w:val="006B435A"/>
    <w:rsid w:val="006B4C64"/>
    <w:rsid w:val="006D01C2"/>
    <w:rsid w:val="006D1270"/>
    <w:rsid w:val="006E481A"/>
    <w:rsid w:val="006E5298"/>
    <w:rsid w:val="006F1B9B"/>
    <w:rsid w:val="006F734A"/>
    <w:rsid w:val="00700D83"/>
    <w:rsid w:val="007074E9"/>
    <w:rsid w:val="00713DA4"/>
    <w:rsid w:val="00714BF1"/>
    <w:rsid w:val="00717619"/>
    <w:rsid w:val="00721383"/>
    <w:rsid w:val="00721B95"/>
    <w:rsid w:val="007333CC"/>
    <w:rsid w:val="0073399A"/>
    <w:rsid w:val="0073459E"/>
    <w:rsid w:val="00755AD8"/>
    <w:rsid w:val="007603F5"/>
    <w:rsid w:val="00764DB0"/>
    <w:rsid w:val="0076764D"/>
    <w:rsid w:val="0077498C"/>
    <w:rsid w:val="00784128"/>
    <w:rsid w:val="00793173"/>
    <w:rsid w:val="007B70BC"/>
    <w:rsid w:val="007C1459"/>
    <w:rsid w:val="007C1FCC"/>
    <w:rsid w:val="007C2D59"/>
    <w:rsid w:val="007C6201"/>
    <w:rsid w:val="007D7C92"/>
    <w:rsid w:val="007E1154"/>
    <w:rsid w:val="007F41F8"/>
    <w:rsid w:val="007F45F1"/>
    <w:rsid w:val="008031A7"/>
    <w:rsid w:val="0080454E"/>
    <w:rsid w:val="00804C32"/>
    <w:rsid w:val="00806302"/>
    <w:rsid w:val="00807119"/>
    <w:rsid w:val="0082483F"/>
    <w:rsid w:val="008279C0"/>
    <w:rsid w:val="00827D56"/>
    <w:rsid w:val="00860DE7"/>
    <w:rsid w:val="008723F3"/>
    <w:rsid w:val="00875FCA"/>
    <w:rsid w:val="00881DE6"/>
    <w:rsid w:val="008837A6"/>
    <w:rsid w:val="0089145D"/>
    <w:rsid w:val="008A6CFE"/>
    <w:rsid w:val="008B5333"/>
    <w:rsid w:val="008B6223"/>
    <w:rsid w:val="008C66E0"/>
    <w:rsid w:val="008E1273"/>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197"/>
    <w:rsid w:val="00A005FC"/>
    <w:rsid w:val="00A047EE"/>
    <w:rsid w:val="00A2274A"/>
    <w:rsid w:val="00A235B7"/>
    <w:rsid w:val="00A407EF"/>
    <w:rsid w:val="00A458BE"/>
    <w:rsid w:val="00A46B4C"/>
    <w:rsid w:val="00A5117B"/>
    <w:rsid w:val="00A515EE"/>
    <w:rsid w:val="00A54909"/>
    <w:rsid w:val="00A60074"/>
    <w:rsid w:val="00A6627C"/>
    <w:rsid w:val="00A71019"/>
    <w:rsid w:val="00A81029"/>
    <w:rsid w:val="00A83A2F"/>
    <w:rsid w:val="00A96489"/>
    <w:rsid w:val="00A97725"/>
    <w:rsid w:val="00AB685C"/>
    <w:rsid w:val="00AB6C2D"/>
    <w:rsid w:val="00AC3839"/>
    <w:rsid w:val="00AC7082"/>
    <w:rsid w:val="00AD6A7D"/>
    <w:rsid w:val="00AE676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30FC"/>
    <w:rsid w:val="00CF2819"/>
    <w:rsid w:val="00CF4F9D"/>
    <w:rsid w:val="00CF70DC"/>
    <w:rsid w:val="00D104E4"/>
    <w:rsid w:val="00D148DC"/>
    <w:rsid w:val="00D17FDC"/>
    <w:rsid w:val="00D63EFD"/>
    <w:rsid w:val="00D84752"/>
    <w:rsid w:val="00D86B3B"/>
    <w:rsid w:val="00D8748A"/>
    <w:rsid w:val="00D93196"/>
    <w:rsid w:val="00D968D9"/>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4778B"/>
    <w:rsid w:val="00E506BE"/>
    <w:rsid w:val="00E55547"/>
    <w:rsid w:val="00E6302B"/>
    <w:rsid w:val="00E6452F"/>
    <w:rsid w:val="00E64F45"/>
    <w:rsid w:val="00E6742D"/>
    <w:rsid w:val="00E71CB0"/>
    <w:rsid w:val="00E77C3D"/>
    <w:rsid w:val="00E855B6"/>
    <w:rsid w:val="00E909F0"/>
    <w:rsid w:val="00E93993"/>
    <w:rsid w:val="00EA0913"/>
    <w:rsid w:val="00EB45AC"/>
    <w:rsid w:val="00ED0BC4"/>
    <w:rsid w:val="00ED67B7"/>
    <w:rsid w:val="00EE4971"/>
    <w:rsid w:val="00EE744D"/>
    <w:rsid w:val="00EF090E"/>
    <w:rsid w:val="00F033DA"/>
    <w:rsid w:val="00F12038"/>
    <w:rsid w:val="00F27CD8"/>
    <w:rsid w:val="00F30351"/>
    <w:rsid w:val="00F3323E"/>
    <w:rsid w:val="00F341F4"/>
    <w:rsid w:val="00F35CCE"/>
    <w:rsid w:val="00F44220"/>
    <w:rsid w:val="00F50727"/>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E5D4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8232-F36E-47A3-B4BE-B3F3DCD1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11</Pages>
  <Words>3557</Words>
  <Characters>20281</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AMT</cp:lastModifiedBy>
  <cp:revision>13</cp:revision>
  <cp:lastPrinted>2019-09-04T15:45:00Z</cp:lastPrinted>
  <dcterms:created xsi:type="dcterms:W3CDTF">2022-09-06T13:52:00Z</dcterms:created>
  <dcterms:modified xsi:type="dcterms:W3CDTF">2022-10-13T21:36:00Z</dcterms:modified>
</cp:coreProperties>
</file>