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221087"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221087">
        <w:rPr>
          <w:rFonts w:ascii="Avenir Next" w:hAnsi="Avenir Next"/>
          <w:color w:val="000000" w:themeColor="text1"/>
          <w:highlight w:val="yellow"/>
          <w:lang w:val="en-GB"/>
        </w:rPr>
        <w:t xml:space="preserve">(1) </w:t>
      </w:r>
      <w:r w:rsidR="00563F78" w:rsidRPr="00221087">
        <w:rPr>
          <w:rFonts w:ascii="Avenir Next" w:hAnsi="Avenir Next"/>
          <w:color w:val="000000" w:themeColor="text1"/>
          <w:highlight w:val="yellow"/>
          <w:lang w:val="en-GB"/>
        </w:rPr>
        <w:t>and (2) are correct</w:t>
      </w:r>
      <w:r w:rsidR="007747E8" w:rsidRPr="00221087">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AE356E"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AE356E">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AE356E"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AE356E">
        <w:rPr>
          <w:rFonts w:ascii="Avenir Next" w:hAnsi="Avenir Next" w:cs="Arial"/>
          <w:color w:val="000000" w:themeColor="text1"/>
          <w:highlight w:val="yellow"/>
          <w:lang w:val="en-GB"/>
        </w:rPr>
        <w:t>d</w:t>
      </w:r>
      <w:r w:rsidR="00A9217C" w:rsidRPr="00AE356E">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15608F"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15608F">
        <w:rPr>
          <w:rFonts w:ascii="Avenir Next" w:hAnsi="Avenir Next" w:cs="Arial"/>
          <w:color w:val="000000" w:themeColor="text1"/>
          <w:highlight w:val="yellow"/>
          <w:lang w:val="en-GB"/>
        </w:rPr>
        <w:t>(1)</w:t>
      </w:r>
      <w:r w:rsidR="00F254AF" w:rsidRPr="0015608F">
        <w:rPr>
          <w:rFonts w:ascii="Avenir Next" w:hAnsi="Avenir Next" w:cs="Arial"/>
          <w:color w:val="000000" w:themeColor="text1"/>
          <w:highlight w:val="yellow"/>
          <w:lang w:val="en-GB"/>
        </w:rPr>
        <w:t xml:space="preserve">, and </w:t>
      </w:r>
      <w:r w:rsidRPr="0015608F">
        <w:rPr>
          <w:rFonts w:ascii="Avenir Next" w:hAnsi="Avenir Next" w:cs="Arial"/>
          <w:color w:val="000000" w:themeColor="text1"/>
          <w:highlight w:val="yellow"/>
          <w:lang w:val="en-GB"/>
        </w:rPr>
        <w:t>(4)</w:t>
      </w:r>
      <w:r w:rsidR="00F254AF" w:rsidRPr="0015608F">
        <w:rPr>
          <w:rFonts w:ascii="Avenir Next" w:hAnsi="Avenir Next" w:cs="Arial"/>
          <w:color w:val="000000" w:themeColor="text1"/>
          <w:highlight w:val="yellow"/>
          <w:lang w:val="en-GB"/>
        </w:rPr>
        <w:t xml:space="preserve"> are correct</w:t>
      </w:r>
      <w:r w:rsidR="00194D76" w:rsidRPr="0015608F">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90D21" w:rsidRDefault="00270263" w:rsidP="00FC5217">
      <w:pPr>
        <w:pStyle w:val="ListParagraph"/>
        <w:numPr>
          <w:ilvl w:val="0"/>
          <w:numId w:val="15"/>
        </w:numPr>
        <w:spacing w:after="0" w:line="240" w:lineRule="auto"/>
        <w:ind w:left="425" w:hanging="357"/>
        <w:rPr>
          <w:rFonts w:ascii="Avenir Next" w:hAnsi="Avenir Next"/>
          <w:lang w:val="en-GB"/>
        </w:rPr>
      </w:pPr>
      <w:r w:rsidRPr="0015608F">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AF7C3D"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AF7C3D">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A90D21">
        <w:rPr>
          <w:rFonts w:ascii="Avenir Next" w:hAnsi="Avenir Next"/>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7C3D" w:rsidRDefault="0066147F" w:rsidP="00FC5217">
      <w:pPr>
        <w:pStyle w:val="ListParagraph"/>
        <w:numPr>
          <w:ilvl w:val="0"/>
          <w:numId w:val="17"/>
        </w:numPr>
        <w:spacing w:after="0" w:line="240" w:lineRule="auto"/>
        <w:ind w:left="426"/>
        <w:rPr>
          <w:rFonts w:ascii="Avenir Next" w:hAnsi="Avenir Next"/>
          <w:highlight w:val="yellow"/>
          <w:lang w:val="en-GB"/>
        </w:rPr>
      </w:pPr>
      <w:r w:rsidRPr="00AF7C3D">
        <w:rPr>
          <w:rFonts w:ascii="Avenir Next" w:hAnsi="Avenir Next"/>
          <w:highlight w:val="yellow"/>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7123BB" w:rsidRDefault="003D15EA" w:rsidP="00FC5217">
      <w:pPr>
        <w:pStyle w:val="ListParagraph"/>
        <w:numPr>
          <w:ilvl w:val="0"/>
          <w:numId w:val="18"/>
        </w:numPr>
        <w:spacing w:after="0" w:line="240" w:lineRule="auto"/>
        <w:ind w:left="426"/>
        <w:rPr>
          <w:rFonts w:ascii="Avenir Next" w:hAnsi="Avenir Next"/>
          <w:highlight w:val="yellow"/>
          <w:lang w:val="en-GB"/>
        </w:rPr>
      </w:pPr>
      <w:r w:rsidRPr="007123BB">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7B1C2D"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7B1C2D">
        <w:rPr>
          <w:rFonts w:ascii="Avenir Next" w:hAnsi="Avenir Next"/>
          <w:highlight w:val="yellow"/>
          <w:lang w:val="en-GB"/>
        </w:rPr>
        <w:t>Both (a) and (b)</w:t>
      </w:r>
      <w:r w:rsidR="00BA451C" w:rsidRPr="007B1C2D">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7B1C2D"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7B1C2D">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B1C2D"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7B1C2D">
        <w:rPr>
          <w:rFonts w:ascii="Avenir Next" w:hAnsi="Avenir Next"/>
          <w:color w:val="000000" w:themeColor="text1"/>
          <w:highlight w:val="yellow"/>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90D21">
        <w:rPr>
          <w:rFonts w:ascii="Avenir Next" w:hAnsi="Avenir Next"/>
          <w:color w:val="000000" w:themeColor="text1"/>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Pr="000D6C79"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0D6C79">
        <w:rPr>
          <w:rFonts w:ascii="Avenir Next" w:hAnsi="Avenir Next" w:cs="Times New Roman"/>
          <w:highlight w:val="yellow"/>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lastRenderedPageBreak/>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2C53FA"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2C53FA">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2C53FA"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2C53FA">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2C53FA"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2C53FA">
        <w:rPr>
          <w:rFonts w:ascii="Avenir Next" w:hAnsi="Avenir Next" w:cs="Times New Roman"/>
          <w:highlight w:val="yellow"/>
          <w:lang w:val="en-GB"/>
        </w:rPr>
        <w:t xml:space="preserve">W </w:t>
      </w:r>
      <w:r w:rsidR="00A95393" w:rsidRPr="002C53FA">
        <w:rPr>
          <w:rFonts w:ascii="Avenir Next" w:hAnsi="Avenir Next" w:cs="Times New Roman"/>
          <w:highlight w:val="yellow"/>
          <w:lang w:val="en-GB"/>
        </w:rPr>
        <w:t xml:space="preserve">has </w:t>
      </w:r>
      <w:r w:rsidRPr="002C53FA">
        <w:rPr>
          <w:rFonts w:ascii="Avenir Next" w:hAnsi="Avenir Next" w:cs="Times New Roman"/>
          <w:highlight w:val="yellow"/>
          <w:lang w:val="en-GB"/>
        </w:rPr>
        <w:t xml:space="preserve">lost ownership </w:t>
      </w:r>
      <w:r w:rsidR="00A95393" w:rsidRPr="002C53FA">
        <w:rPr>
          <w:rFonts w:ascii="Avenir Next" w:hAnsi="Avenir Next" w:cs="Times New Roman"/>
          <w:highlight w:val="yellow"/>
          <w:lang w:val="en-GB"/>
        </w:rPr>
        <w:t>of</w:t>
      </w:r>
      <w:r w:rsidRPr="002C53FA">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B20CA5" w:rsidRDefault="00416B97" w:rsidP="00FC5217">
      <w:pPr>
        <w:pStyle w:val="ListParagraph"/>
        <w:numPr>
          <w:ilvl w:val="0"/>
          <w:numId w:val="24"/>
        </w:numPr>
        <w:spacing w:after="0" w:line="240" w:lineRule="auto"/>
        <w:ind w:left="426"/>
        <w:rPr>
          <w:rFonts w:ascii="Avenir Next" w:hAnsi="Avenir Next"/>
          <w:highlight w:val="yellow"/>
        </w:rPr>
      </w:pPr>
      <w:r w:rsidRPr="00B20CA5">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B20CA5" w:rsidRDefault="007120A0" w:rsidP="00FC5217">
      <w:pPr>
        <w:pStyle w:val="ListParagraph"/>
        <w:numPr>
          <w:ilvl w:val="0"/>
          <w:numId w:val="25"/>
        </w:numPr>
        <w:spacing w:after="0" w:line="240" w:lineRule="auto"/>
        <w:ind w:left="426"/>
        <w:rPr>
          <w:rFonts w:ascii="Avenir Next" w:hAnsi="Avenir Next"/>
          <w:highlight w:val="yellow"/>
        </w:rPr>
      </w:pPr>
      <w:r w:rsidRPr="00B20CA5">
        <w:rPr>
          <w:rFonts w:ascii="Avenir Next" w:hAnsi="Avenir Next"/>
          <w:highlight w:val="yellow"/>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B20CA5" w:rsidRDefault="00E12660" w:rsidP="00FC5217">
      <w:pPr>
        <w:numPr>
          <w:ilvl w:val="0"/>
          <w:numId w:val="26"/>
        </w:numPr>
        <w:rPr>
          <w:highlight w:val="yellow"/>
          <w:lang w:val="en-ZA"/>
        </w:rPr>
      </w:pPr>
      <w:r w:rsidRPr="00B20CA5">
        <w:rPr>
          <w:highlight w:val="yellow"/>
          <w:lang w:val="en-ZA"/>
        </w:rPr>
        <w:t xml:space="preserve">Both </w:t>
      </w:r>
      <w:r w:rsidR="00FF44ED" w:rsidRPr="00B20CA5">
        <w:rPr>
          <w:highlight w:val="yellow"/>
          <w:lang w:val="en-ZA"/>
        </w:rPr>
        <w:t xml:space="preserve">statements </w:t>
      </w:r>
      <w:r w:rsidRPr="00B20CA5">
        <w:rPr>
          <w:highlight w:val="yellow"/>
          <w:lang w:val="en-ZA"/>
        </w:rPr>
        <w:t>(a) and (b)</w:t>
      </w:r>
      <w:r w:rsidR="00FF44ED" w:rsidRPr="00B20CA5">
        <w:rPr>
          <w:highlight w:val="yellow"/>
          <w:lang w:val="en-ZA"/>
        </w:rPr>
        <w:t xml:space="preserve"> are correct</w:t>
      </w:r>
      <w:r w:rsidRPr="00B20CA5">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8A2EB4">
        <w:rPr>
          <w:rFonts w:ascii="Avenir Next" w:hAnsi="Avenir Next"/>
          <w:highlight w:val="yellow"/>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8A2EB4">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1D4F5BB7" w:rsidR="00A90D21" w:rsidRPr="003B0D2F" w:rsidRDefault="00B57F03" w:rsidP="00B57F03">
      <w:pPr>
        <w:pStyle w:val="ListParagraph"/>
        <w:numPr>
          <w:ilvl w:val="0"/>
          <w:numId w:val="42"/>
        </w:numPr>
        <w:rPr>
          <w:rFonts w:ascii="Avenir Next" w:hAnsi="Avenir Next"/>
          <w:color w:val="808080" w:themeColor="background1" w:themeShade="80"/>
        </w:rPr>
      </w:pPr>
      <w:r w:rsidRPr="003B0D2F">
        <w:rPr>
          <w:rFonts w:ascii="Avenir Next" w:hAnsi="Avenir Next"/>
          <w:color w:val="808080" w:themeColor="background1" w:themeShade="80"/>
        </w:rPr>
        <w:t>The debts remain due and payabl</w:t>
      </w:r>
      <w:r w:rsidR="00F35CA0" w:rsidRPr="003B0D2F">
        <w:rPr>
          <w:rFonts w:ascii="Avenir Next" w:hAnsi="Avenir Next"/>
          <w:color w:val="808080" w:themeColor="background1" w:themeShade="80"/>
        </w:rPr>
        <w:t>e</w:t>
      </w:r>
      <w:r w:rsidRPr="003B0D2F">
        <w:rPr>
          <w:rFonts w:ascii="Avenir Next" w:hAnsi="Avenir Next"/>
          <w:color w:val="808080" w:themeColor="background1" w:themeShade="80"/>
        </w:rPr>
        <w:t>.</w:t>
      </w:r>
    </w:p>
    <w:p w14:paraId="2D41A413" w14:textId="28FD5653" w:rsidR="00B57F03" w:rsidRPr="003B0D2F" w:rsidRDefault="00B57F03" w:rsidP="00B57F03">
      <w:pPr>
        <w:pStyle w:val="ListParagraph"/>
        <w:numPr>
          <w:ilvl w:val="0"/>
          <w:numId w:val="42"/>
        </w:numPr>
        <w:rPr>
          <w:rFonts w:ascii="Avenir Next" w:hAnsi="Avenir Next"/>
          <w:color w:val="808080" w:themeColor="background1" w:themeShade="80"/>
        </w:rPr>
      </w:pPr>
      <w:r w:rsidRPr="003B0D2F">
        <w:rPr>
          <w:rFonts w:ascii="Avenir Next" w:hAnsi="Avenir Next"/>
          <w:color w:val="808080" w:themeColor="background1" w:themeShade="80"/>
        </w:rPr>
        <w:t>The debts are to be paid to the trustee</w:t>
      </w:r>
      <w:r w:rsidR="005C6498" w:rsidRPr="003B0D2F">
        <w:rPr>
          <w:rFonts w:ascii="Avenir Next" w:hAnsi="Avenir Next"/>
          <w:color w:val="808080" w:themeColor="background1" w:themeShade="80"/>
        </w:rPr>
        <w:t>, following sequestration.</w:t>
      </w:r>
    </w:p>
    <w:p w14:paraId="106928F5" w14:textId="0AAA39D8" w:rsidR="005C6498" w:rsidRPr="003B0D2F" w:rsidRDefault="005C6498" w:rsidP="00B57F03">
      <w:pPr>
        <w:pStyle w:val="ListParagraph"/>
        <w:numPr>
          <w:ilvl w:val="0"/>
          <w:numId w:val="42"/>
        </w:numPr>
        <w:rPr>
          <w:rFonts w:ascii="Avenir Next" w:hAnsi="Avenir Next"/>
          <w:color w:val="808080" w:themeColor="background1" w:themeShade="80"/>
        </w:rPr>
      </w:pPr>
      <w:r w:rsidRPr="003B0D2F">
        <w:rPr>
          <w:rFonts w:ascii="Avenir Next" w:hAnsi="Avenir Next"/>
          <w:color w:val="808080" w:themeColor="background1" w:themeShade="80"/>
        </w:rPr>
        <w:t>The debtor involved is not absolved</w:t>
      </w:r>
      <w:r w:rsidR="00781C2C" w:rsidRPr="003B0D2F">
        <w:rPr>
          <w:rFonts w:ascii="Avenir Next" w:hAnsi="Avenir Next"/>
          <w:color w:val="808080" w:themeColor="background1" w:themeShade="80"/>
        </w:rPr>
        <w:t xml:space="preserve"> from payment</w:t>
      </w:r>
      <w:r w:rsidR="00322734" w:rsidRPr="003B0D2F">
        <w:rPr>
          <w:rFonts w:ascii="Avenir Next" w:hAnsi="Avenir Next"/>
          <w:color w:val="808080" w:themeColor="background1" w:themeShade="80"/>
        </w:rPr>
        <w:t xml:space="preserve"> of the debts due if payment was made to the insolvent and he was aware of the sequestration.</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2377E0C0" w:rsidR="00CC2E46" w:rsidRPr="00CC2E46" w:rsidRDefault="000A714C" w:rsidP="00CC2E46">
      <w:pPr>
        <w:rPr>
          <w:color w:val="808080" w:themeColor="background1" w:themeShade="80"/>
        </w:rPr>
      </w:pPr>
      <w:r>
        <w:rPr>
          <w:color w:val="808080" w:themeColor="background1" w:themeShade="80"/>
        </w:rPr>
        <w:t>In voluntary sequestration, positive confirmation of the value</w:t>
      </w:r>
      <w:r w:rsidR="00EC7A8C">
        <w:rPr>
          <w:color w:val="808080" w:themeColor="background1" w:themeShade="80"/>
        </w:rPr>
        <w:t>/benefit must be proven</w:t>
      </w:r>
      <w:r w:rsidR="00DF4BA7">
        <w:rPr>
          <w:color w:val="808080" w:themeColor="background1" w:themeShade="80"/>
        </w:rPr>
        <w:t xml:space="preserve"> towards the creditors, whereas in compulsory sequestration</w:t>
      </w:r>
      <w:r w:rsidR="007F385C">
        <w:rPr>
          <w:color w:val="808080" w:themeColor="background1" w:themeShade="80"/>
        </w:rPr>
        <w:t>, only a benefit to creditors must be demonstrated.</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4E22FCF5" w14:textId="7E330D1F" w:rsidR="008F33E1" w:rsidRPr="000470BF" w:rsidRDefault="008F33E1" w:rsidP="00B83811">
      <w:pPr>
        <w:pStyle w:val="ListParagraph"/>
        <w:numPr>
          <w:ilvl w:val="0"/>
          <w:numId w:val="32"/>
        </w:numPr>
        <w:rPr>
          <w:rFonts w:ascii="Avenir Next" w:hAnsi="Avenir Next"/>
          <w:color w:val="808080" w:themeColor="background1" w:themeShade="80"/>
        </w:rPr>
      </w:pPr>
      <w:r w:rsidRPr="000470BF">
        <w:rPr>
          <w:rFonts w:ascii="Avenir Next" w:hAnsi="Avenir Next"/>
          <w:color w:val="808080" w:themeColor="background1" w:themeShade="80"/>
        </w:rPr>
        <w:t>Section 65(1)-The interogation of a person, who was summoned at any creditors meeting</w:t>
      </w:r>
      <w:r w:rsidR="00EF75EE" w:rsidRPr="000470BF">
        <w:rPr>
          <w:rFonts w:ascii="Avenir Next" w:hAnsi="Avenir Next"/>
          <w:color w:val="808080" w:themeColor="background1" w:themeShade="80"/>
        </w:rPr>
        <w:t>.</w:t>
      </w:r>
    </w:p>
    <w:p w14:paraId="51DD21D6" w14:textId="078B5C5F" w:rsidR="00CC2E46" w:rsidRPr="000470BF" w:rsidRDefault="008F33E1" w:rsidP="00B83811">
      <w:pPr>
        <w:pStyle w:val="ListParagraph"/>
        <w:numPr>
          <w:ilvl w:val="0"/>
          <w:numId w:val="32"/>
        </w:numPr>
        <w:rPr>
          <w:rFonts w:ascii="Avenir Next" w:hAnsi="Avenir Next"/>
          <w:color w:val="808080" w:themeColor="background1" w:themeShade="80"/>
        </w:rPr>
      </w:pPr>
      <w:r w:rsidRPr="000470BF">
        <w:rPr>
          <w:rFonts w:ascii="Avenir Next" w:hAnsi="Avenir Next"/>
          <w:color w:val="808080" w:themeColor="background1" w:themeShade="80"/>
        </w:rPr>
        <w:t>Section  152 Insolvency Act-</w:t>
      </w:r>
      <w:r w:rsidR="00CE057B" w:rsidRPr="000470BF">
        <w:rPr>
          <w:rFonts w:ascii="Avenir Next" w:hAnsi="Avenir Next"/>
          <w:color w:val="808080" w:themeColor="background1" w:themeShade="80"/>
        </w:rPr>
        <w:t>Summons by the master to appear before the master</w:t>
      </w:r>
      <w:r w:rsidR="00EF75EE" w:rsidRPr="000470BF">
        <w:rPr>
          <w:rFonts w:ascii="Avenir Next" w:hAnsi="Avenir Next"/>
          <w:color w:val="808080" w:themeColor="background1" w:themeShade="80"/>
        </w:rPr>
        <w:t>.</w:t>
      </w:r>
    </w:p>
    <w:p w14:paraId="521F744D" w14:textId="5FB1FD10" w:rsidR="00CE057B" w:rsidRPr="000470BF" w:rsidRDefault="008F33E1" w:rsidP="00B83811">
      <w:pPr>
        <w:pStyle w:val="ListParagraph"/>
        <w:numPr>
          <w:ilvl w:val="0"/>
          <w:numId w:val="32"/>
        </w:numPr>
        <w:rPr>
          <w:rFonts w:ascii="Avenir Next" w:hAnsi="Avenir Next"/>
          <w:color w:val="808080" w:themeColor="background1" w:themeShade="80"/>
        </w:rPr>
      </w:pPr>
      <w:r w:rsidRPr="000470BF">
        <w:rPr>
          <w:rFonts w:ascii="Avenir Next" w:hAnsi="Avenir Next"/>
          <w:color w:val="808080" w:themeColor="background1" w:themeShade="80"/>
        </w:rPr>
        <w:t xml:space="preserve">Section 417 </w:t>
      </w:r>
      <w:r w:rsidR="00CE057B" w:rsidRPr="000470BF">
        <w:rPr>
          <w:rFonts w:ascii="Avenir Next" w:hAnsi="Avenir Next"/>
          <w:color w:val="808080" w:themeColor="background1" w:themeShade="80"/>
        </w:rPr>
        <w:t>Companies Act 1973</w:t>
      </w:r>
      <w:r w:rsidR="00486DBE" w:rsidRPr="000470BF">
        <w:rPr>
          <w:rFonts w:ascii="Avenir Next" w:hAnsi="Avenir Next"/>
          <w:color w:val="808080" w:themeColor="background1" w:themeShade="80"/>
        </w:rPr>
        <w:t>-Summons by the master for examination.</w:t>
      </w:r>
    </w:p>
    <w:p w14:paraId="5347251A" w14:textId="629D5EEB" w:rsidR="008F33E1" w:rsidRPr="000470BF" w:rsidRDefault="00CE057B" w:rsidP="00B83811">
      <w:pPr>
        <w:pStyle w:val="ListParagraph"/>
        <w:numPr>
          <w:ilvl w:val="0"/>
          <w:numId w:val="32"/>
        </w:numPr>
        <w:rPr>
          <w:rFonts w:ascii="Avenir Next" w:hAnsi="Avenir Next"/>
          <w:color w:val="808080" w:themeColor="background1" w:themeShade="80"/>
        </w:rPr>
      </w:pPr>
      <w:r w:rsidRPr="000470BF">
        <w:rPr>
          <w:rFonts w:ascii="Avenir Next" w:hAnsi="Avenir Next"/>
          <w:color w:val="808080" w:themeColor="background1" w:themeShade="80"/>
        </w:rPr>
        <w:t xml:space="preserve">Section </w:t>
      </w:r>
      <w:r w:rsidR="008F33E1" w:rsidRPr="000470BF">
        <w:rPr>
          <w:rFonts w:ascii="Avenir Next" w:hAnsi="Avenir Next"/>
          <w:color w:val="808080" w:themeColor="background1" w:themeShade="80"/>
        </w:rPr>
        <w:t>418 Companies Act 1973</w:t>
      </w:r>
      <w:r w:rsidRPr="000470BF">
        <w:rPr>
          <w:rFonts w:ascii="Avenir Next" w:hAnsi="Avenir Next"/>
          <w:color w:val="808080" w:themeColor="background1" w:themeShade="80"/>
        </w:rPr>
        <w:t>-</w:t>
      </w:r>
      <w:r w:rsidR="00486DBE" w:rsidRPr="000470BF">
        <w:rPr>
          <w:rFonts w:ascii="Avenir Next" w:hAnsi="Avenir Next"/>
          <w:color w:val="808080" w:themeColor="background1" w:themeShade="80"/>
        </w:rPr>
        <w:t>Summons by Commisioner for examination.</w:t>
      </w:r>
    </w:p>
    <w:p w14:paraId="07D42CA1" w14:textId="5202E0EC" w:rsidR="008F33E1" w:rsidRPr="000470BF" w:rsidRDefault="008F33E1" w:rsidP="00486DBE">
      <w:pPr>
        <w:pStyle w:val="ListParagraph"/>
        <w:numPr>
          <w:ilvl w:val="0"/>
          <w:numId w:val="32"/>
        </w:numPr>
        <w:rPr>
          <w:rFonts w:ascii="Avenir Next" w:hAnsi="Avenir Next"/>
          <w:color w:val="808080" w:themeColor="background1" w:themeShade="80"/>
        </w:rPr>
      </w:pPr>
      <w:r w:rsidRPr="000470BF">
        <w:rPr>
          <w:rFonts w:ascii="Avenir Next" w:hAnsi="Avenir Next"/>
          <w:color w:val="808080" w:themeColor="background1" w:themeShade="80"/>
        </w:rPr>
        <w:t>Section 423 Companies Act 1973</w:t>
      </w:r>
      <w:r w:rsidR="00486DBE" w:rsidRPr="000470BF">
        <w:rPr>
          <w:rFonts w:ascii="Avenir Next" w:hAnsi="Avenir Next"/>
          <w:color w:val="808080" w:themeColor="background1" w:themeShade="80"/>
        </w:rPr>
        <w:t>-Enquiry by court in promotor, director or officer of company</w:t>
      </w:r>
      <w:r w:rsidR="00EC3162" w:rsidRPr="000470BF">
        <w:rPr>
          <w:rFonts w:ascii="Avenir Next" w:hAnsi="Avenir Next"/>
          <w:color w:val="808080" w:themeColor="background1" w:themeShade="80"/>
        </w:rPr>
        <w:t>.</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00EB1D98" w14:textId="5A36B954" w:rsidR="00A9189A" w:rsidRPr="003B0D2F" w:rsidRDefault="00A9189A" w:rsidP="008F7D39">
      <w:pPr>
        <w:pStyle w:val="ListParagraph"/>
        <w:numPr>
          <w:ilvl w:val="0"/>
          <w:numId w:val="33"/>
        </w:numPr>
        <w:rPr>
          <w:rFonts w:ascii="Avenir Next" w:hAnsi="Avenir Next"/>
          <w:color w:val="808080" w:themeColor="background1" w:themeShade="80"/>
        </w:rPr>
      </w:pPr>
      <w:r w:rsidRPr="003B0D2F">
        <w:rPr>
          <w:rFonts w:ascii="Avenir Next" w:hAnsi="Avenir Next"/>
          <w:color w:val="808080" w:themeColor="background1" w:themeShade="80"/>
        </w:rPr>
        <w:t>Determine whether the provision can be applied to the winding-up.</w:t>
      </w:r>
    </w:p>
    <w:p w14:paraId="58F2DA1E" w14:textId="77777777" w:rsidR="00A9189A" w:rsidRPr="003B0D2F" w:rsidRDefault="00A9189A" w:rsidP="008F7D39">
      <w:pPr>
        <w:pStyle w:val="ListParagraph"/>
        <w:numPr>
          <w:ilvl w:val="0"/>
          <w:numId w:val="33"/>
        </w:numPr>
        <w:rPr>
          <w:rFonts w:ascii="Avenir Next" w:hAnsi="Avenir Next"/>
          <w:color w:val="808080" w:themeColor="background1" w:themeShade="80"/>
        </w:rPr>
      </w:pPr>
      <w:r w:rsidRPr="003B0D2F">
        <w:rPr>
          <w:rFonts w:ascii="Avenir Next" w:hAnsi="Avenir Next"/>
          <w:color w:val="808080" w:themeColor="background1" w:themeShade="80"/>
        </w:rPr>
        <w:t>Is the matter specifically provided for by the companies act.</w:t>
      </w:r>
    </w:p>
    <w:p w14:paraId="0070AFD9" w14:textId="0863509A" w:rsidR="00A9189A" w:rsidRPr="003B0D2F" w:rsidRDefault="00A9189A" w:rsidP="008F7D39">
      <w:pPr>
        <w:pStyle w:val="ListParagraph"/>
        <w:numPr>
          <w:ilvl w:val="0"/>
          <w:numId w:val="33"/>
        </w:numPr>
        <w:rPr>
          <w:rFonts w:ascii="Avenir Next" w:hAnsi="Avenir Next"/>
          <w:color w:val="808080" w:themeColor="background1" w:themeShade="80"/>
        </w:rPr>
      </w:pPr>
      <w:r w:rsidRPr="003B0D2F">
        <w:rPr>
          <w:rFonts w:ascii="Avenir Next" w:hAnsi="Avenir Next"/>
          <w:color w:val="808080" w:themeColor="background1" w:themeShade="80"/>
        </w:rPr>
        <w:t>Does the specific provision apply for in the mode of Liquidation</w:t>
      </w:r>
      <w:r w:rsidR="00EF75EE" w:rsidRPr="003B0D2F">
        <w:rPr>
          <w:rFonts w:ascii="Avenir Next" w:hAnsi="Avenir Next"/>
          <w:color w:val="808080" w:themeColor="background1" w:themeShade="80"/>
        </w:rPr>
        <w:t>.</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0257BA64" w:rsidR="00CC2E46" w:rsidRPr="00EF75EE" w:rsidRDefault="00A9189A" w:rsidP="00CC2E46">
      <w:pPr>
        <w:rPr>
          <w:color w:val="808080" w:themeColor="background1" w:themeShade="80"/>
        </w:rPr>
      </w:pPr>
      <w:r w:rsidRPr="00EF75EE">
        <w:rPr>
          <w:color w:val="808080" w:themeColor="background1" w:themeShade="80"/>
        </w:rPr>
        <w:t xml:space="preserve">Should a partnership estate be sequestrated, the respective estates of </w:t>
      </w:r>
      <w:r w:rsidR="00096F6D" w:rsidRPr="00EF75EE">
        <w:rPr>
          <w:color w:val="808080" w:themeColor="background1" w:themeShade="80"/>
        </w:rPr>
        <w:t>each member of the partnership</w:t>
      </w:r>
      <w:r w:rsidRPr="00EF75EE">
        <w:rPr>
          <w:color w:val="808080" w:themeColor="background1" w:themeShade="80"/>
        </w:rPr>
        <w:t xml:space="preserve"> must be sequestrated simultaneously.</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56FA9A31" w:rsidR="00CC2E46" w:rsidRPr="003B0D2F" w:rsidRDefault="00AB4460" w:rsidP="00AB4460">
      <w:pPr>
        <w:rPr>
          <w:color w:val="808080" w:themeColor="background1" w:themeShade="80"/>
        </w:rPr>
      </w:pPr>
      <w:r w:rsidRPr="003B0D2F">
        <w:rPr>
          <w:color w:val="808080" w:themeColor="background1" w:themeShade="80"/>
        </w:rPr>
        <w:t>The effects of the publication of the notice is as follows;</w:t>
      </w:r>
    </w:p>
    <w:p w14:paraId="17AA89C5" w14:textId="115E8436" w:rsidR="00AB4460" w:rsidRPr="003B0D2F" w:rsidRDefault="00AB4460" w:rsidP="00AB4460">
      <w:pPr>
        <w:pStyle w:val="ListParagraph"/>
        <w:numPr>
          <w:ilvl w:val="0"/>
          <w:numId w:val="35"/>
        </w:numPr>
        <w:rPr>
          <w:rFonts w:ascii="Avenir Next" w:hAnsi="Avenir Next"/>
          <w:color w:val="808080" w:themeColor="background1" w:themeShade="80"/>
        </w:rPr>
      </w:pPr>
      <w:r w:rsidRPr="003B0D2F">
        <w:rPr>
          <w:rFonts w:ascii="Avenir Next" w:hAnsi="Avenir Next"/>
          <w:color w:val="808080" w:themeColor="background1" w:themeShade="80"/>
        </w:rPr>
        <w:t>A immdiate stay of sales in execution, preventng the continuation of sale of assets, unless otherwise authorised.</w:t>
      </w:r>
    </w:p>
    <w:p w14:paraId="622E3311" w14:textId="12940B99" w:rsidR="00AB4460" w:rsidRPr="003B0D2F" w:rsidRDefault="00AB4460" w:rsidP="00AB4460">
      <w:pPr>
        <w:pStyle w:val="ListParagraph"/>
        <w:numPr>
          <w:ilvl w:val="0"/>
          <w:numId w:val="35"/>
        </w:numPr>
        <w:rPr>
          <w:rFonts w:ascii="Avenir Next" w:hAnsi="Avenir Next"/>
          <w:color w:val="808080" w:themeColor="background1" w:themeShade="80"/>
        </w:rPr>
      </w:pPr>
      <w:r w:rsidRPr="003B0D2F">
        <w:rPr>
          <w:rFonts w:ascii="Avenir Next" w:hAnsi="Avenir Next"/>
          <w:color w:val="808080" w:themeColor="background1" w:themeShade="80"/>
        </w:rPr>
        <w:t>The master may appoint a curator bonis to temporary control the estate.</w:t>
      </w:r>
    </w:p>
    <w:p w14:paraId="63A83DA3" w14:textId="5EB142A8" w:rsidR="00AB4460" w:rsidRPr="003B0D2F" w:rsidRDefault="00AB4460" w:rsidP="00AB4460">
      <w:pPr>
        <w:pStyle w:val="ListParagraph"/>
        <w:numPr>
          <w:ilvl w:val="0"/>
          <w:numId w:val="35"/>
        </w:numPr>
        <w:rPr>
          <w:rFonts w:ascii="Avenir Next" w:hAnsi="Avenir Next"/>
          <w:color w:val="808080" w:themeColor="background1" w:themeShade="80"/>
        </w:rPr>
      </w:pPr>
      <w:r w:rsidRPr="003B0D2F">
        <w:rPr>
          <w:rFonts w:ascii="Avenir Next" w:hAnsi="Avenir Next"/>
          <w:color w:val="808080" w:themeColor="background1" w:themeShade="80"/>
        </w:rPr>
        <w:t>Condonation of procedural mistakes.</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6A4D9818" w:rsidR="00CC2E46" w:rsidRPr="003B0D2F" w:rsidRDefault="00A83984" w:rsidP="00A83984">
      <w:pPr>
        <w:pStyle w:val="ListParagraph"/>
        <w:numPr>
          <w:ilvl w:val="0"/>
          <w:numId w:val="36"/>
        </w:numPr>
        <w:rPr>
          <w:rFonts w:ascii="Avenir Next" w:hAnsi="Avenir Next"/>
          <w:color w:val="808080" w:themeColor="background1" w:themeShade="80"/>
        </w:rPr>
      </w:pPr>
      <w:r w:rsidRPr="003B0D2F">
        <w:rPr>
          <w:rFonts w:ascii="Avenir Next" w:hAnsi="Avenir Next"/>
          <w:color w:val="808080" w:themeColor="background1" w:themeShade="80"/>
        </w:rPr>
        <w:t xml:space="preserve">Pension funds fall under the provision of Section 23(7) of the Insolvency Act. The Pension was released one month after her date of sequestration. The insolvent may recover such amounts for services rendered. </w:t>
      </w:r>
    </w:p>
    <w:p w14:paraId="3DD0B426" w14:textId="31E47B80" w:rsidR="00A83984" w:rsidRPr="003B0D2F" w:rsidRDefault="00A83984" w:rsidP="00A83984">
      <w:pPr>
        <w:pStyle w:val="ListParagraph"/>
        <w:numPr>
          <w:ilvl w:val="0"/>
          <w:numId w:val="36"/>
        </w:numPr>
        <w:rPr>
          <w:rFonts w:ascii="Avenir Next" w:hAnsi="Avenir Next"/>
          <w:color w:val="808080" w:themeColor="background1" w:themeShade="80"/>
        </w:rPr>
      </w:pPr>
      <w:r w:rsidRPr="003B0D2F">
        <w:rPr>
          <w:rFonts w:ascii="Avenir Next" w:hAnsi="Avenir Next"/>
          <w:color w:val="808080" w:themeColor="background1" w:themeShade="80"/>
        </w:rPr>
        <w:t>Furthermore, Section 3 of the General Pensions Act 1979 clearly states that such benefit does not fall part of the assets of a sequestrated estate.</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049CC61C" w14:textId="360163B5" w:rsidR="00CC2E46" w:rsidRPr="00026EDC" w:rsidRDefault="007347BC" w:rsidP="00CC2E46">
      <w:pPr>
        <w:rPr>
          <w:color w:val="808080" w:themeColor="background1" w:themeShade="80"/>
        </w:rPr>
      </w:pPr>
      <w:r w:rsidRPr="00026EDC">
        <w:rPr>
          <w:color w:val="808080" w:themeColor="background1" w:themeShade="80"/>
        </w:rPr>
        <w:t>In interpreting Section 63 (1) of the Long-Term Insurance Act 1998, it is clear that any benefit that may accrue to a individual or a beneficiary as a result of Life Insurance, Disability or related health policies</w:t>
      </w:r>
      <w:r w:rsidR="001B0AE9" w:rsidRPr="00026EDC">
        <w:rPr>
          <w:color w:val="808080" w:themeColor="background1" w:themeShade="80"/>
        </w:rPr>
        <w:t xml:space="preserve"> of registered institutions,</w:t>
      </w:r>
      <w:r w:rsidRPr="00026EDC">
        <w:rPr>
          <w:color w:val="808080" w:themeColor="background1" w:themeShade="80"/>
        </w:rPr>
        <w:t xml:space="preserve"> does not form part of the insolvents estate, cannot form part of a judgement of a court, or can be attached in any manner.</w:t>
      </w:r>
    </w:p>
    <w:p w14:paraId="7771D9F9" w14:textId="65C41E17" w:rsidR="007347BC" w:rsidRPr="00026EDC" w:rsidRDefault="007347BC" w:rsidP="00CC2E46">
      <w:pPr>
        <w:rPr>
          <w:color w:val="808080" w:themeColor="background1" w:themeShade="80"/>
        </w:rPr>
      </w:pPr>
    </w:p>
    <w:p w14:paraId="0221C4D1" w14:textId="6488471D" w:rsidR="001B0AE9" w:rsidRPr="00026EDC" w:rsidRDefault="001B0AE9" w:rsidP="001B0AE9">
      <w:pPr>
        <w:rPr>
          <w:color w:val="808080" w:themeColor="background1" w:themeShade="80"/>
        </w:rPr>
      </w:pPr>
      <w:r w:rsidRPr="00026EDC">
        <w:rPr>
          <w:color w:val="808080" w:themeColor="background1" w:themeShade="80"/>
        </w:rPr>
        <w:t>It is imperative to note that such policy as referred above, must be in full force for a period of three years. If it can be proven that a policy as mentioned above has been specifically acquired for the purpose of defrauding other creditors. Section 63 does not apply, and the trustee can apply to court to include such policy benefits in the estate of the insolvent.</w:t>
      </w:r>
    </w:p>
    <w:p w14:paraId="5B1CFE6D" w14:textId="77777777" w:rsidR="001B0AE9" w:rsidRPr="00026EDC" w:rsidRDefault="001B0AE9" w:rsidP="001B0AE9">
      <w:pPr>
        <w:rPr>
          <w:color w:val="808080" w:themeColor="background1" w:themeShade="80"/>
        </w:rPr>
      </w:pPr>
    </w:p>
    <w:p w14:paraId="2FC34348" w14:textId="025972BE" w:rsidR="007347BC" w:rsidRPr="00026EDC" w:rsidRDefault="007347BC" w:rsidP="00CC2E46">
      <w:pPr>
        <w:rPr>
          <w:color w:val="808080" w:themeColor="background1" w:themeShade="80"/>
        </w:rPr>
      </w:pPr>
      <w:r w:rsidRPr="00026EDC">
        <w:rPr>
          <w:color w:val="808080" w:themeColor="background1" w:themeShade="80"/>
        </w:rPr>
        <w:t>Furthermore, Section 63(1)(b) stipulates that, any such proceeds accrued to a surviving spouse as a result of death of the insolvent, can also not be applied or attached by a trustee, in pursuance of settlement of a insolvents estate.</w:t>
      </w:r>
      <w:r w:rsidR="001B0AE9" w:rsidRPr="00026EDC">
        <w:rPr>
          <w:color w:val="808080" w:themeColor="background1" w:themeShade="80"/>
        </w:rPr>
        <w:t xml:space="preserve"> This stance has been enforced in the matter of Pieterse v </w:t>
      </w:r>
      <w:proofErr w:type="spellStart"/>
      <w:r w:rsidR="001B0AE9" w:rsidRPr="00026EDC">
        <w:rPr>
          <w:color w:val="808080" w:themeColor="background1" w:themeShade="80"/>
        </w:rPr>
        <w:t>Shrosbee</w:t>
      </w:r>
      <w:proofErr w:type="spellEnd"/>
      <w:r w:rsidR="001B0AE9" w:rsidRPr="00026EDC">
        <w:rPr>
          <w:color w:val="808080" w:themeColor="background1" w:themeShade="80"/>
        </w:rPr>
        <w:t xml:space="preserve"> No &amp; Others, ruled that all benefits that accrue to a nominate beneficiary, as a result of a licensed policy, is not attachable by a trustee for the settlement of creditors of a insolvent estate.</w:t>
      </w:r>
    </w:p>
    <w:p w14:paraId="3C93A004" w14:textId="066E8DC1" w:rsidR="001B0AE9" w:rsidRPr="00026EDC" w:rsidRDefault="001B0AE9" w:rsidP="00CC2E46">
      <w:pPr>
        <w:rPr>
          <w:color w:val="808080" w:themeColor="background1" w:themeShade="80"/>
        </w:rPr>
      </w:pPr>
    </w:p>
    <w:p w14:paraId="5A40D67D" w14:textId="38EBA1F0" w:rsidR="001B0AE9" w:rsidRPr="00026EDC" w:rsidRDefault="001B0AE9" w:rsidP="00CC2E46">
      <w:pPr>
        <w:rPr>
          <w:color w:val="808080" w:themeColor="background1" w:themeShade="80"/>
        </w:rPr>
      </w:pPr>
      <w:r w:rsidRPr="00026EDC">
        <w:rPr>
          <w:color w:val="808080" w:themeColor="background1" w:themeShade="80"/>
        </w:rPr>
        <w:t>Furthermore, in  the matter of</w:t>
      </w:r>
      <w:r w:rsidR="00467E11" w:rsidRPr="00026EDC">
        <w:rPr>
          <w:color w:val="808080" w:themeColor="background1" w:themeShade="80"/>
        </w:rPr>
        <w:t xml:space="preserve"> Malcolm Wentzel Discovery life limited and others, it was ruled that a insolvent surviving spouse that benefited from </w:t>
      </w:r>
      <w:proofErr w:type="spellStart"/>
      <w:r w:rsidR="00467E11" w:rsidRPr="00026EDC">
        <w:rPr>
          <w:color w:val="808080" w:themeColor="background1" w:themeShade="80"/>
        </w:rPr>
        <w:t>a</w:t>
      </w:r>
      <w:proofErr w:type="spellEnd"/>
      <w:r w:rsidR="00467E11" w:rsidRPr="00026EDC">
        <w:rPr>
          <w:color w:val="808080" w:themeColor="background1" w:themeShade="80"/>
        </w:rPr>
        <w:t xml:space="preserve"> insurance policy in terms of being nominated as a beneficiary, will enjoy the exclusion of such a benefit from the insolvent surviving spouse, if the insolvent surviving spouse enjoys the protection in terms of Section 63(1) being the policy holder.</w:t>
      </w:r>
    </w:p>
    <w:p w14:paraId="360CEE42" w14:textId="291D3AA3" w:rsidR="001B0AE9" w:rsidRDefault="001B0AE9" w:rsidP="00CC2E46">
      <w:pPr>
        <w:rPr>
          <w:color w:val="808080" w:themeColor="background1" w:themeShade="80"/>
        </w:rPr>
      </w:pP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7DFA953B" w14:textId="77777777" w:rsidR="00601C4A" w:rsidRPr="00715C88" w:rsidRDefault="00601C4A" w:rsidP="00601C4A">
      <w:pPr>
        <w:pStyle w:val="ListParagraph"/>
        <w:numPr>
          <w:ilvl w:val="0"/>
          <w:numId w:val="39"/>
        </w:numPr>
        <w:rPr>
          <w:rFonts w:ascii="Avenir Next" w:hAnsi="Avenir Next"/>
          <w:color w:val="808080" w:themeColor="background1" w:themeShade="80"/>
        </w:rPr>
      </w:pPr>
      <w:r w:rsidRPr="00715C88">
        <w:rPr>
          <w:rFonts w:ascii="Avenir Next" w:hAnsi="Avenir Next"/>
          <w:color w:val="808080" w:themeColor="background1" w:themeShade="80"/>
        </w:rPr>
        <w:t>When a sequestration order is granted, it is the duty of teh registrar of the highcourt to issue a notice to every sheriff and messenger that holds property of the debtors estate. The execution of a judgment is stayed as soon as the sheriff becomes aware of a sequistration  of the insolvent estate, unless other presided on by court.</w:t>
      </w:r>
    </w:p>
    <w:p w14:paraId="65FBE502" w14:textId="77777777" w:rsidR="00601C4A" w:rsidRPr="00715C88" w:rsidRDefault="00601C4A" w:rsidP="00601C4A">
      <w:pPr>
        <w:pStyle w:val="ListParagraph"/>
        <w:rPr>
          <w:rFonts w:ascii="Avenir Next" w:hAnsi="Avenir Next"/>
          <w:color w:val="808080" w:themeColor="background1" w:themeShade="80"/>
        </w:rPr>
      </w:pPr>
    </w:p>
    <w:p w14:paraId="3460196F" w14:textId="29741950" w:rsidR="00CC2E46" w:rsidRPr="00715C88" w:rsidRDefault="00E93E62" w:rsidP="00601C4A">
      <w:pPr>
        <w:pStyle w:val="ListParagraph"/>
        <w:rPr>
          <w:rFonts w:ascii="Avenir Next" w:hAnsi="Avenir Next"/>
          <w:color w:val="808080" w:themeColor="background1" w:themeShade="80"/>
        </w:rPr>
      </w:pPr>
      <w:r w:rsidRPr="00715C88">
        <w:rPr>
          <w:rFonts w:ascii="Avenir Next" w:hAnsi="Avenir Next"/>
          <w:color w:val="808080" w:themeColor="background1" w:themeShade="80"/>
        </w:rPr>
        <w:t xml:space="preserve">As a point of departure, Section 20 of the Insolvency act states that all civil proceedings instituted by or against a insolvents estate </w:t>
      </w:r>
      <w:r w:rsidR="00601C4A" w:rsidRPr="00715C88">
        <w:rPr>
          <w:rFonts w:ascii="Avenir Next" w:hAnsi="Avenir Next"/>
          <w:color w:val="808080" w:themeColor="background1" w:themeShade="80"/>
        </w:rPr>
        <w:t>are</w:t>
      </w:r>
      <w:r w:rsidRPr="00715C88">
        <w:rPr>
          <w:rFonts w:ascii="Avenir Next" w:hAnsi="Avenir Next"/>
          <w:color w:val="808080" w:themeColor="background1" w:themeShade="80"/>
        </w:rPr>
        <w:t>r stayed, until the appointment of a trustee, save for the provisions of Section 23 of the Insolvency Act.</w:t>
      </w:r>
    </w:p>
    <w:p w14:paraId="66CD5C5F" w14:textId="77777777" w:rsidR="00601C4A" w:rsidRPr="00715C88" w:rsidRDefault="00601C4A" w:rsidP="00601C4A">
      <w:pPr>
        <w:pStyle w:val="ListParagraph"/>
        <w:rPr>
          <w:rFonts w:ascii="Avenir Next" w:hAnsi="Avenir Next"/>
          <w:color w:val="808080" w:themeColor="background1" w:themeShade="80"/>
        </w:rPr>
      </w:pPr>
    </w:p>
    <w:p w14:paraId="3018C33C" w14:textId="460AE50A" w:rsidR="009311C3" w:rsidRPr="00715C88" w:rsidRDefault="00601C4A" w:rsidP="00601C4A">
      <w:pPr>
        <w:pStyle w:val="ListParagraph"/>
        <w:rPr>
          <w:rFonts w:ascii="Avenir Next" w:hAnsi="Avenir Next"/>
          <w:color w:val="808080" w:themeColor="background1" w:themeShade="80"/>
        </w:rPr>
      </w:pPr>
      <w:r w:rsidRPr="00715C88">
        <w:rPr>
          <w:rFonts w:ascii="Avenir Next" w:hAnsi="Avenir Next"/>
          <w:color w:val="808080" w:themeColor="background1" w:themeShade="80"/>
        </w:rPr>
        <w:t xml:space="preserve">No preferential right is vested by a creditor or the sheriff, merely as a result of attachement, other than the sheriffs fees. </w:t>
      </w:r>
      <w:r w:rsidR="009311C3" w:rsidRPr="00715C88">
        <w:rPr>
          <w:rFonts w:ascii="Avenir Next" w:hAnsi="Avenir Next"/>
          <w:color w:val="808080" w:themeColor="background1" w:themeShade="80"/>
        </w:rPr>
        <w:t>The effect of sequestration is the divestment of the estate of the insolvent to vest to the Master, until a trustee is appointed.</w:t>
      </w:r>
    </w:p>
    <w:p w14:paraId="53FA6008" w14:textId="3DA2F71A" w:rsidR="009311C3" w:rsidRPr="00715C88" w:rsidRDefault="00601C4A" w:rsidP="00601C4A">
      <w:pPr>
        <w:pStyle w:val="ListParagraph"/>
        <w:rPr>
          <w:rFonts w:ascii="Avenir Next" w:hAnsi="Avenir Next"/>
          <w:color w:val="808080" w:themeColor="background1" w:themeShade="80"/>
        </w:rPr>
      </w:pPr>
      <w:r w:rsidRPr="00715C88">
        <w:rPr>
          <w:rFonts w:ascii="Avenir Next" w:hAnsi="Avenir Next"/>
          <w:color w:val="808080" w:themeColor="background1" w:themeShade="80"/>
        </w:rPr>
        <w:t>In instances where a debtor is</w:t>
      </w:r>
      <w:r w:rsidR="009311C3" w:rsidRPr="00715C88">
        <w:rPr>
          <w:rFonts w:ascii="Avenir Next" w:hAnsi="Avenir Next"/>
          <w:color w:val="808080" w:themeColor="background1" w:themeShade="80"/>
        </w:rPr>
        <w:t xml:space="preserve"> sequestrated </w:t>
      </w:r>
      <w:r w:rsidR="007E4814" w:rsidRPr="00715C88">
        <w:rPr>
          <w:rFonts w:ascii="Avenir Next" w:hAnsi="Avenir Next"/>
          <w:color w:val="808080" w:themeColor="background1" w:themeShade="80"/>
        </w:rPr>
        <w:t>prior to the execution of the sale of immovable or transfer of immovable property by the sheriff, the trustee is entitled to the property or the proceeds thereoff.</w:t>
      </w:r>
    </w:p>
    <w:p w14:paraId="4FCA2697" w14:textId="77777777" w:rsidR="00622B2C" w:rsidRPr="00715C88" w:rsidRDefault="00622B2C" w:rsidP="00622B2C">
      <w:pPr>
        <w:pStyle w:val="ListParagraph"/>
        <w:rPr>
          <w:rFonts w:ascii="Avenir Next" w:hAnsi="Avenir Next"/>
          <w:color w:val="808080" w:themeColor="background1" w:themeShade="80"/>
        </w:rPr>
      </w:pPr>
    </w:p>
    <w:p w14:paraId="7924893C" w14:textId="5FE578B8" w:rsidR="007E4814" w:rsidRPr="00715C88" w:rsidRDefault="00601C4A" w:rsidP="00601C4A">
      <w:pPr>
        <w:pStyle w:val="ListParagraph"/>
        <w:rPr>
          <w:rFonts w:ascii="Avenir Next" w:hAnsi="Avenir Next"/>
          <w:color w:val="808080" w:themeColor="background1" w:themeShade="80"/>
        </w:rPr>
      </w:pPr>
      <w:r w:rsidRPr="00715C88">
        <w:rPr>
          <w:rFonts w:ascii="Avenir Next" w:hAnsi="Avenir Next"/>
          <w:color w:val="808080" w:themeColor="background1" w:themeShade="80"/>
        </w:rPr>
        <w:t>With referance to legal proceedings against the insolvents estate, a</w:t>
      </w:r>
      <w:r w:rsidR="007E4814" w:rsidRPr="00715C88">
        <w:rPr>
          <w:rFonts w:ascii="Avenir Next" w:hAnsi="Avenir Next"/>
          <w:color w:val="808080" w:themeColor="background1" w:themeShade="80"/>
        </w:rPr>
        <w:t xml:space="preserve">ny proceedings instituted against a debtor before the sequestration of his estate shall lapse within three weeks after </w:t>
      </w:r>
      <w:r w:rsidR="00622B2C" w:rsidRPr="00715C88">
        <w:rPr>
          <w:rFonts w:ascii="Avenir Next" w:hAnsi="Avenir Next"/>
          <w:color w:val="808080" w:themeColor="background1" w:themeShade="80"/>
        </w:rPr>
        <w:t xml:space="preserve">the date of the first creditor meeting, unless notice of intention to proceed with the proceedings has been issued to the Master or trustee. </w:t>
      </w:r>
      <w:r w:rsidRPr="00715C88">
        <w:rPr>
          <w:rFonts w:ascii="Avenir Next" w:hAnsi="Avenir Next"/>
          <w:color w:val="808080" w:themeColor="background1" w:themeShade="80"/>
        </w:rPr>
        <w:t xml:space="preserve">Section 75 </w:t>
      </w:r>
      <w:r w:rsidR="00622B2C" w:rsidRPr="00715C88">
        <w:rPr>
          <w:rFonts w:ascii="Avenir Next" w:hAnsi="Avenir Next"/>
          <w:color w:val="808080" w:themeColor="background1" w:themeShade="80"/>
        </w:rPr>
        <w:t>(2) however does allow for legal proceedings to be instituted in terms of a dispute of claim against the insolvents estate</w:t>
      </w:r>
      <w:r w:rsidRPr="00715C88">
        <w:rPr>
          <w:rFonts w:ascii="Avenir Next" w:hAnsi="Avenir Next"/>
          <w:color w:val="808080" w:themeColor="background1" w:themeShade="80"/>
        </w:rPr>
        <w:t xml:space="preserve"> after the date of sequistration</w:t>
      </w:r>
      <w:r w:rsidR="00622B2C" w:rsidRPr="00715C88">
        <w:rPr>
          <w:rFonts w:ascii="Avenir Next" w:hAnsi="Avenir Next"/>
          <w:color w:val="808080" w:themeColor="background1" w:themeShade="80"/>
        </w:rPr>
        <w:t>, but not after the publication of the distribution account, unless allowed so by court</w:t>
      </w:r>
      <w:r w:rsidRPr="00715C88">
        <w:rPr>
          <w:rFonts w:ascii="Avenir Next" w:hAnsi="Avenir Next"/>
          <w:color w:val="808080" w:themeColor="background1" w:themeShade="80"/>
        </w:rPr>
        <w:t>.</w:t>
      </w: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30474486" w14:textId="77777777" w:rsidR="00DC7224" w:rsidRPr="00A16D53" w:rsidRDefault="00B31AA7" w:rsidP="00CC2E46">
      <w:pPr>
        <w:rPr>
          <w:color w:val="808080" w:themeColor="background1" w:themeShade="80"/>
        </w:rPr>
      </w:pPr>
      <w:r w:rsidRPr="00A16D53">
        <w:rPr>
          <w:color w:val="808080" w:themeColor="background1" w:themeShade="80"/>
        </w:rPr>
        <w:t xml:space="preserve">When referring to the allowable fee that may be charge by a business rescue practitioner, one must refer to Section 143 of the Companies Act 71 of 2008. </w:t>
      </w:r>
    </w:p>
    <w:p w14:paraId="167D4911" w14:textId="77777777" w:rsidR="00DC7224" w:rsidRPr="00A16D53" w:rsidRDefault="00DC7224" w:rsidP="00CC2E46">
      <w:pPr>
        <w:rPr>
          <w:color w:val="808080" w:themeColor="background1" w:themeShade="80"/>
        </w:rPr>
      </w:pPr>
    </w:p>
    <w:p w14:paraId="682327F4" w14:textId="5860D66D" w:rsidR="00CC2E46" w:rsidRPr="00A16D53" w:rsidRDefault="00B31AA7" w:rsidP="00CC2E46">
      <w:pPr>
        <w:rPr>
          <w:color w:val="808080" w:themeColor="background1" w:themeShade="80"/>
        </w:rPr>
      </w:pPr>
      <w:r w:rsidRPr="00A16D53">
        <w:rPr>
          <w:color w:val="808080" w:themeColor="background1" w:themeShade="80"/>
        </w:rPr>
        <w:t>Subsection (1) makes reference to the prescribed fee as defined in regulation 128 of the Companies Act 71 of 2008, which regulates the prescribed fee and the experience level of the business rescue practitioner in accordance with the PI Score of the company.</w:t>
      </w:r>
      <w:r w:rsidR="00DC7224" w:rsidRPr="00A16D53">
        <w:rPr>
          <w:color w:val="808080" w:themeColor="background1" w:themeShade="80"/>
        </w:rPr>
        <w:t xml:space="preserve"> Section 150 requires a fee agreement in respect of the abovementioned to be included as a annexure to the proposed business rescue plan.</w:t>
      </w:r>
    </w:p>
    <w:p w14:paraId="08283361" w14:textId="0947BEC6" w:rsidR="00B31AA7" w:rsidRPr="00A16D53" w:rsidRDefault="00B31AA7" w:rsidP="00CC2E46">
      <w:pPr>
        <w:rPr>
          <w:color w:val="808080" w:themeColor="background1" w:themeShade="80"/>
        </w:rPr>
      </w:pPr>
    </w:p>
    <w:p w14:paraId="206E5DB1" w14:textId="160EF6A8" w:rsidR="00B31AA7" w:rsidRPr="00A16D53" w:rsidRDefault="00B31AA7" w:rsidP="00CC2E46">
      <w:pPr>
        <w:rPr>
          <w:color w:val="808080" w:themeColor="background1" w:themeShade="80"/>
        </w:rPr>
      </w:pPr>
      <w:r w:rsidRPr="00A16D53">
        <w:rPr>
          <w:color w:val="808080" w:themeColor="background1" w:themeShade="80"/>
        </w:rPr>
        <w:t xml:space="preserve">Regulation 128 stipulates that a business rescue practitioner  may become entitled to additional renumeration over and above the prescribed fee, subject to the renumeration being declared and the </w:t>
      </w:r>
      <w:r w:rsidRPr="00A16D53">
        <w:rPr>
          <w:color w:val="808080" w:themeColor="background1" w:themeShade="80"/>
        </w:rPr>
        <w:lastRenderedPageBreak/>
        <w:t>creditors voting thereon. Furthermore, the business rescue practitioner is entitled to reimbursements of expenses forgone.</w:t>
      </w:r>
    </w:p>
    <w:p w14:paraId="57194374" w14:textId="7F3D8A5C" w:rsidR="00DC7224" w:rsidRPr="00A16D53" w:rsidRDefault="00DC7224" w:rsidP="00CC2E46">
      <w:pPr>
        <w:rPr>
          <w:color w:val="808080" w:themeColor="background1" w:themeShade="80"/>
        </w:rPr>
      </w:pPr>
    </w:p>
    <w:p w14:paraId="76F1E7BA" w14:textId="79C3059E" w:rsidR="00DC7224" w:rsidRPr="00A16D53" w:rsidRDefault="00DC7224" w:rsidP="00CC2E46">
      <w:pPr>
        <w:rPr>
          <w:color w:val="808080" w:themeColor="background1" w:themeShade="80"/>
        </w:rPr>
      </w:pPr>
      <w:r w:rsidRPr="00A16D53">
        <w:rPr>
          <w:color w:val="808080" w:themeColor="background1" w:themeShade="80"/>
        </w:rPr>
        <w:t>Section 143(2) of the companies act stipulates that an agreement relating to further renumeration must be published to affected persons, and voted on as a separate resolution by the holders of the majority voting interest present at the Section 151 meeting.</w:t>
      </w:r>
    </w:p>
    <w:p w14:paraId="49BB73D0" w14:textId="3756BE51" w:rsidR="00F96E59" w:rsidRPr="00A16D53" w:rsidRDefault="00F96E59" w:rsidP="00CC2E46">
      <w:pPr>
        <w:rPr>
          <w:color w:val="808080" w:themeColor="background1" w:themeShade="80"/>
        </w:rPr>
      </w:pPr>
    </w:p>
    <w:p w14:paraId="15CFF568" w14:textId="6CCF2DCC" w:rsidR="00F96E59" w:rsidRPr="00A16D53" w:rsidRDefault="00F96E59" w:rsidP="00CC2E46">
      <w:pPr>
        <w:rPr>
          <w:color w:val="808080" w:themeColor="background1" w:themeShade="80"/>
        </w:rPr>
      </w:pPr>
      <w:r w:rsidRPr="00A16D53">
        <w:rPr>
          <w:color w:val="808080" w:themeColor="background1" w:themeShade="80"/>
        </w:rPr>
        <w:t xml:space="preserve">In the matter of </w:t>
      </w:r>
      <w:proofErr w:type="spellStart"/>
      <w:r w:rsidRPr="00A16D53">
        <w:rPr>
          <w:color w:val="808080" w:themeColor="background1" w:themeShade="80"/>
        </w:rPr>
        <w:t>Caratco</w:t>
      </w:r>
      <w:proofErr w:type="spellEnd"/>
      <w:r w:rsidRPr="00A16D53">
        <w:rPr>
          <w:color w:val="808080" w:themeColor="background1" w:themeShade="80"/>
        </w:rPr>
        <w:t xml:space="preserve"> (PTY) LTD vs Independent Advisory (PTY) LTD, the court was clear that it is imperative that further renumeration proposed must be voted on at a separate meeting of creditors or the Section 151 meeting, to vote on the plan.</w:t>
      </w:r>
    </w:p>
    <w:p w14:paraId="5FE885ED" w14:textId="7666BC7F" w:rsidR="00DC7224" w:rsidRPr="00A16D53" w:rsidRDefault="00DC7224" w:rsidP="00CC2E46">
      <w:pPr>
        <w:rPr>
          <w:color w:val="808080" w:themeColor="background1" w:themeShade="80"/>
        </w:rPr>
      </w:pPr>
    </w:p>
    <w:p w14:paraId="5E5A4773" w14:textId="0C734E61" w:rsidR="00DC7224" w:rsidRPr="00A16D53" w:rsidRDefault="00DC7224" w:rsidP="00CC2E46">
      <w:pPr>
        <w:rPr>
          <w:color w:val="808080" w:themeColor="background1" w:themeShade="80"/>
        </w:rPr>
      </w:pPr>
      <w:r w:rsidRPr="00A16D53">
        <w:rPr>
          <w:color w:val="808080" w:themeColor="background1" w:themeShade="80"/>
        </w:rPr>
        <w:t>Furthermore, Section 135(3) defines the order and preference of payment of post-commencement financiers, the BRP and related expenses standing 1</w:t>
      </w:r>
      <w:r w:rsidRPr="00A16D53">
        <w:rPr>
          <w:color w:val="808080" w:themeColor="background1" w:themeShade="80"/>
          <w:vertAlign w:val="superscript"/>
        </w:rPr>
        <w:t>st</w:t>
      </w:r>
      <w:r w:rsidRPr="00A16D53">
        <w:rPr>
          <w:color w:val="808080" w:themeColor="background1" w:themeShade="80"/>
        </w:rPr>
        <w:t xml:space="preserve"> inline, then the employees and then the sequence of the payment waterfall.</w:t>
      </w:r>
    </w:p>
    <w:p w14:paraId="3E929D81" w14:textId="19B13588" w:rsidR="00F96E59" w:rsidRPr="00A16D53" w:rsidRDefault="00F96E59" w:rsidP="00CC2E46">
      <w:pPr>
        <w:rPr>
          <w:color w:val="808080" w:themeColor="background1" w:themeShade="80"/>
        </w:rPr>
      </w:pPr>
    </w:p>
    <w:p w14:paraId="3E5F69D0" w14:textId="631CEC0F" w:rsidR="00F96E59" w:rsidRPr="00A16D53" w:rsidRDefault="00F96E59" w:rsidP="00F96E59">
      <w:pPr>
        <w:rPr>
          <w:color w:val="808080" w:themeColor="background1" w:themeShade="80"/>
        </w:rPr>
      </w:pPr>
      <w:r w:rsidRPr="00A16D53">
        <w:rPr>
          <w:color w:val="808080" w:themeColor="background1" w:themeShade="80"/>
        </w:rPr>
        <w:t xml:space="preserve">In the matter of </w:t>
      </w:r>
      <w:proofErr w:type="spellStart"/>
      <w:r w:rsidRPr="00A16D53">
        <w:rPr>
          <w:color w:val="808080" w:themeColor="background1" w:themeShade="80"/>
        </w:rPr>
        <w:t>Montic</w:t>
      </w:r>
      <w:proofErr w:type="spellEnd"/>
      <w:r w:rsidRPr="00A16D53">
        <w:rPr>
          <w:color w:val="808080" w:themeColor="background1" w:themeShade="80"/>
        </w:rPr>
        <w:t xml:space="preserve"> Diary and others vs Mazars, it became apparent that any expenses paid to the Business Rescue Practitioners, after a winding up order has been applied for, such payments will be classified as a voidable disposition and such fees will be repayable to the estate of the insolvent.</w:t>
      </w:r>
    </w:p>
    <w:p w14:paraId="6798EC84" w14:textId="70B66176" w:rsidR="00F96E59" w:rsidRPr="00A16D53" w:rsidRDefault="00F96E59" w:rsidP="00F96E59">
      <w:pPr>
        <w:rPr>
          <w:color w:val="808080" w:themeColor="background1" w:themeShade="80"/>
        </w:rPr>
      </w:pPr>
    </w:p>
    <w:p w14:paraId="1FC5E015" w14:textId="47F60348" w:rsidR="00F96E59" w:rsidRPr="00A16D53" w:rsidRDefault="00F96E59" w:rsidP="00F96E59">
      <w:pPr>
        <w:rPr>
          <w:color w:val="808080" w:themeColor="background1" w:themeShade="80"/>
        </w:rPr>
      </w:pPr>
      <w:r w:rsidRPr="00A16D53">
        <w:rPr>
          <w:color w:val="808080" w:themeColor="background1" w:themeShade="80"/>
        </w:rPr>
        <w:t xml:space="preserve">Lastly, In instances </w:t>
      </w:r>
      <w:proofErr w:type="spellStart"/>
      <w:r w:rsidRPr="00A16D53">
        <w:rPr>
          <w:color w:val="808080" w:themeColor="background1" w:themeShade="80"/>
        </w:rPr>
        <w:t>were</w:t>
      </w:r>
      <w:proofErr w:type="spellEnd"/>
      <w:r w:rsidRPr="00A16D53">
        <w:rPr>
          <w:color w:val="808080" w:themeColor="background1" w:themeShade="80"/>
        </w:rPr>
        <w:t xml:space="preserve"> the Business Rescue Practitioner was not fully renumerated at the time </w:t>
      </w:r>
      <w:r w:rsidR="00C00E5E" w:rsidRPr="00A16D53">
        <w:rPr>
          <w:color w:val="808080" w:themeColor="background1" w:themeShade="80"/>
        </w:rPr>
        <w:t>that a business rescue was converted to liquidation, the business rescue practitioner shall enjoy a preference following the cost of Section 97 of the Insolvency Act has been concluded. This matter has been reiterated in the matter of Diener NO vs Minister of Justice.</w:t>
      </w:r>
    </w:p>
    <w:p w14:paraId="2B839A0A" w14:textId="72B94866" w:rsidR="00DC7224" w:rsidRDefault="00DC7224" w:rsidP="00CC2E46">
      <w:pPr>
        <w:rPr>
          <w:color w:val="808080" w:themeColor="background1" w:themeShade="80"/>
        </w:rPr>
      </w:pPr>
    </w:p>
    <w:p w14:paraId="491B57EE" w14:textId="77777777" w:rsidR="00DC7224" w:rsidRPr="00CC2E46" w:rsidRDefault="00DC7224"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3F394C17" w:rsidR="00CC2E46" w:rsidRPr="00A16D53" w:rsidRDefault="00902032" w:rsidP="00CC2E46">
      <w:pPr>
        <w:rPr>
          <w:color w:val="808080" w:themeColor="background1" w:themeShade="80"/>
        </w:rPr>
      </w:pPr>
      <w:r w:rsidRPr="00A16D53">
        <w:rPr>
          <w:color w:val="808080" w:themeColor="background1" w:themeShade="80"/>
        </w:rPr>
        <w:t>The sequestration of a partner does not automatically constitute the sequestration of the partnership. The sequestration of a partnership does however lead to the dissolution of a partnership. The so called dissolution, will result in the winding-up and liquidation of the partnership. Should the partnership be sequestrated as a result of the dissolution, the partners become jointly and severable liable for the payment of the liabilities of the partnership as a result of same.</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lastRenderedPageBreak/>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7DA2E7F3" w14:textId="5F54CE3C" w:rsidR="002F712A" w:rsidRDefault="00435999" w:rsidP="00CC2E46">
      <w:pPr>
        <w:rPr>
          <w:color w:val="808080" w:themeColor="background1" w:themeShade="80"/>
        </w:rPr>
      </w:pPr>
      <w:r>
        <w:rPr>
          <w:color w:val="808080" w:themeColor="background1" w:themeShade="80"/>
        </w:rPr>
        <w:t>There is a distinction in the treatment of the matter in respect of marriage in-community of property and marriage out of community of property</w:t>
      </w:r>
      <w:r w:rsidR="002F712A">
        <w:rPr>
          <w:color w:val="808080" w:themeColor="background1" w:themeShade="80"/>
        </w:rPr>
        <w:t xml:space="preserve">, </w:t>
      </w:r>
      <w:r>
        <w:rPr>
          <w:color w:val="808080" w:themeColor="background1" w:themeShade="80"/>
        </w:rPr>
        <w:t xml:space="preserve">In the instances of a marriage/ civil union, </w:t>
      </w:r>
      <w:r w:rsidR="002F712A">
        <w:rPr>
          <w:color w:val="808080" w:themeColor="background1" w:themeShade="80"/>
        </w:rPr>
        <w:t>If one partner or spouse has been declared insolvent, both partners will automatically be sequestrated, and the estate o</w:t>
      </w:r>
      <w:r>
        <w:rPr>
          <w:color w:val="808080" w:themeColor="background1" w:themeShade="80"/>
        </w:rPr>
        <w:t>f</w:t>
      </w:r>
      <w:r w:rsidR="002F712A">
        <w:rPr>
          <w:color w:val="808080" w:themeColor="background1" w:themeShade="80"/>
        </w:rPr>
        <w:t xml:space="preserve"> both partners will vest in the Master</w:t>
      </w:r>
      <w:r>
        <w:rPr>
          <w:color w:val="808080" w:themeColor="background1" w:themeShade="80"/>
        </w:rPr>
        <w:t>, until a trustee has been appointed.</w:t>
      </w:r>
    </w:p>
    <w:p w14:paraId="5378CDDB" w14:textId="5C7E2046" w:rsidR="00435999" w:rsidRDefault="00435999" w:rsidP="00CC2E46">
      <w:pPr>
        <w:rPr>
          <w:color w:val="808080" w:themeColor="background1" w:themeShade="80"/>
        </w:rPr>
      </w:pPr>
    </w:p>
    <w:p w14:paraId="6DA915D6" w14:textId="4118AB58" w:rsidR="00435999" w:rsidRDefault="008822D5" w:rsidP="00CC2E46">
      <w:pPr>
        <w:rPr>
          <w:color w:val="808080" w:themeColor="background1" w:themeShade="80"/>
        </w:rPr>
      </w:pPr>
      <w:r>
        <w:rPr>
          <w:color w:val="808080" w:themeColor="background1" w:themeShade="80"/>
        </w:rPr>
        <w:t>Section 21 o</w:t>
      </w:r>
      <w:r w:rsidR="007C51F0">
        <w:rPr>
          <w:color w:val="808080" w:themeColor="background1" w:themeShade="80"/>
        </w:rPr>
        <w:t>f</w:t>
      </w:r>
      <w:r>
        <w:rPr>
          <w:color w:val="808080" w:themeColor="background1" w:themeShade="80"/>
        </w:rPr>
        <w:t xml:space="preserve"> the Insolvency Act specifically refers to when a </w:t>
      </w:r>
      <w:r w:rsidR="00435999">
        <w:rPr>
          <w:color w:val="808080" w:themeColor="background1" w:themeShade="80"/>
        </w:rPr>
        <w:t xml:space="preserve">civil union </w:t>
      </w:r>
      <w:r>
        <w:rPr>
          <w:color w:val="808080" w:themeColor="background1" w:themeShade="80"/>
        </w:rPr>
        <w:t xml:space="preserve">marriage </w:t>
      </w:r>
      <w:r w:rsidR="00435999">
        <w:rPr>
          <w:color w:val="808080" w:themeColor="background1" w:themeShade="80"/>
        </w:rPr>
        <w:t>was concluded, out of community of property</w:t>
      </w:r>
      <w:r>
        <w:rPr>
          <w:color w:val="808080" w:themeColor="background1" w:themeShade="80"/>
        </w:rPr>
        <w:t>. In this case</w:t>
      </w:r>
      <w:r w:rsidR="00435999">
        <w:rPr>
          <w:color w:val="808080" w:themeColor="background1" w:themeShade="80"/>
        </w:rPr>
        <w:t xml:space="preserve"> both of the </w:t>
      </w:r>
      <w:r>
        <w:rPr>
          <w:color w:val="808080" w:themeColor="background1" w:themeShade="80"/>
        </w:rPr>
        <w:t>partners</w:t>
      </w:r>
      <w:r w:rsidR="00435999">
        <w:rPr>
          <w:color w:val="808080" w:themeColor="background1" w:themeShade="80"/>
        </w:rPr>
        <w:t xml:space="preserve"> estate shall vest in the master, or alternatively the Trustee, once appointed</w:t>
      </w:r>
      <w:r>
        <w:rPr>
          <w:color w:val="808080" w:themeColor="background1" w:themeShade="80"/>
        </w:rPr>
        <w:t>. The onus will be placed on the solvent partner, to prove to the abovementioned that he/she is the rightful owner of the property, and that same should be released from the Master/ Trustee.</w:t>
      </w:r>
    </w:p>
    <w:p w14:paraId="2C9FFF09" w14:textId="77777777" w:rsidR="003755C5" w:rsidRDefault="003755C5" w:rsidP="00CC2E46">
      <w:pPr>
        <w:rPr>
          <w:color w:val="808080" w:themeColor="background1" w:themeShade="80"/>
        </w:rPr>
      </w:pPr>
    </w:p>
    <w:p w14:paraId="01773855" w14:textId="6672771F" w:rsidR="007C51F0" w:rsidRDefault="007C51F0" w:rsidP="00CC2E46">
      <w:pPr>
        <w:rPr>
          <w:color w:val="808080" w:themeColor="background1" w:themeShade="80"/>
        </w:rPr>
      </w:pPr>
      <w:r>
        <w:rPr>
          <w:color w:val="808080" w:themeColor="background1" w:themeShade="80"/>
        </w:rPr>
        <w:t>The trustee shall as soon as practicably possible, after his appointment, take possession of the solvents estate subject to ascertaining a warrant and after the sheriff has concluded a comprehensive inventory.</w:t>
      </w:r>
    </w:p>
    <w:p w14:paraId="23D5752B" w14:textId="5050CEEE" w:rsidR="008822D5" w:rsidRDefault="008822D5" w:rsidP="00CC2E46">
      <w:pPr>
        <w:rPr>
          <w:color w:val="808080" w:themeColor="background1" w:themeShade="80"/>
        </w:rPr>
      </w:pPr>
    </w:p>
    <w:p w14:paraId="5EA4839D" w14:textId="5EC5ED8E" w:rsidR="007C51F0" w:rsidRDefault="007C51F0" w:rsidP="007C51F0">
      <w:pPr>
        <w:rPr>
          <w:color w:val="808080" w:themeColor="background1" w:themeShade="80"/>
        </w:rPr>
      </w:pPr>
      <w:r>
        <w:rPr>
          <w:color w:val="808080" w:themeColor="background1" w:themeShade="80"/>
        </w:rPr>
        <w:t xml:space="preserve">A trustee shall not dispose of any property of a solvent estate, until the </w:t>
      </w:r>
      <w:r w:rsidR="00A260F3">
        <w:rPr>
          <w:color w:val="808080" w:themeColor="background1" w:themeShade="80"/>
        </w:rPr>
        <w:t>expiry</w:t>
      </w:r>
      <w:r>
        <w:rPr>
          <w:color w:val="808080" w:themeColor="background1" w:themeShade="80"/>
        </w:rPr>
        <w:t xml:space="preserve"> of six weeks after such notice has been issued. Such notice will also be published in local newspapers and the Gazette, in a effort to invite creditors to submit their claims. The creditors will be require to prove their claims in the ordinary provisions of the act, and be paid from the </w:t>
      </w:r>
      <w:r w:rsidR="0078207F">
        <w:rPr>
          <w:color w:val="808080" w:themeColor="background1" w:themeShade="80"/>
        </w:rPr>
        <w:t xml:space="preserve">available proceeds for distribution, after the realization cost has </w:t>
      </w:r>
      <w:proofErr w:type="spellStart"/>
      <w:r w:rsidR="0078207F">
        <w:rPr>
          <w:color w:val="808080" w:themeColor="background1" w:themeShade="80"/>
        </w:rPr>
        <w:t>ben</w:t>
      </w:r>
      <w:proofErr w:type="spellEnd"/>
      <w:r w:rsidR="0078207F">
        <w:rPr>
          <w:color w:val="808080" w:themeColor="background1" w:themeShade="80"/>
        </w:rPr>
        <w:t xml:space="preserve"> catered for.</w:t>
      </w:r>
    </w:p>
    <w:p w14:paraId="4FA32E15" w14:textId="422BC55A" w:rsidR="0078207F" w:rsidRDefault="0078207F" w:rsidP="007C51F0">
      <w:pPr>
        <w:rPr>
          <w:color w:val="808080" w:themeColor="background1" w:themeShade="80"/>
        </w:rPr>
      </w:pPr>
    </w:p>
    <w:p w14:paraId="243EF2DA" w14:textId="367FEB5B" w:rsidR="0078207F" w:rsidRDefault="0078207F" w:rsidP="007C51F0">
      <w:pPr>
        <w:rPr>
          <w:color w:val="808080" w:themeColor="background1" w:themeShade="80"/>
        </w:rPr>
      </w:pPr>
      <w:r>
        <w:rPr>
          <w:color w:val="808080" w:themeColor="background1" w:themeShade="80"/>
        </w:rPr>
        <w:t>In the instances where a antenuptial contract exist, Section 27 of the Insolvency Act states that no property delivered before three months of marriage shall be regarded as a voidable disposition without value, unless the insolvent was sequestrated within 2 years of the signature of such a contract.</w:t>
      </w:r>
    </w:p>
    <w:p w14:paraId="6474CE09" w14:textId="70111026" w:rsidR="0078207F" w:rsidRDefault="0078207F" w:rsidP="007C51F0">
      <w:pPr>
        <w:rPr>
          <w:color w:val="808080" w:themeColor="background1" w:themeShade="80"/>
        </w:rPr>
      </w:pPr>
    </w:p>
    <w:p w14:paraId="59A57CB0" w14:textId="726EDBB5" w:rsidR="0078207F" w:rsidRDefault="0078207F" w:rsidP="007C51F0">
      <w:pPr>
        <w:rPr>
          <w:color w:val="808080" w:themeColor="background1" w:themeShade="80"/>
        </w:rPr>
      </w:pPr>
      <w:r>
        <w:rPr>
          <w:color w:val="808080" w:themeColor="background1" w:themeShade="80"/>
        </w:rPr>
        <w:t xml:space="preserve">With reference to the immoveable property that </w:t>
      </w:r>
      <w:proofErr w:type="spellStart"/>
      <w:r>
        <w:rPr>
          <w:color w:val="808080" w:themeColor="background1" w:themeShade="80"/>
        </w:rPr>
        <w:t>Mr</w:t>
      </w:r>
      <w:proofErr w:type="spellEnd"/>
      <w:r>
        <w:rPr>
          <w:color w:val="808080" w:themeColor="background1" w:themeShade="80"/>
        </w:rPr>
        <w:t xml:space="preserve"> X donated to </w:t>
      </w:r>
      <w:proofErr w:type="spellStart"/>
      <w:r>
        <w:rPr>
          <w:color w:val="808080" w:themeColor="background1" w:themeShade="80"/>
        </w:rPr>
        <w:t>Mr</w:t>
      </w:r>
      <w:proofErr w:type="spellEnd"/>
      <w:r>
        <w:rPr>
          <w:color w:val="808080" w:themeColor="background1" w:themeShade="80"/>
        </w:rPr>
        <w:t xml:space="preserve"> Y, </w:t>
      </w:r>
      <w:r w:rsidR="003755C5">
        <w:rPr>
          <w:color w:val="808080" w:themeColor="background1" w:themeShade="80"/>
        </w:rPr>
        <w:t>Section 22 of the Matrimonial Property  Act, does not classify a transfer of property as  automatically void. A</w:t>
      </w:r>
      <w:r>
        <w:rPr>
          <w:color w:val="808080" w:themeColor="background1" w:themeShade="80"/>
        </w:rPr>
        <w:t xml:space="preserve"> valid transfer of title has been executed and registered in the deeds office in March 2011</w:t>
      </w:r>
      <w:r w:rsidR="003755C5">
        <w:rPr>
          <w:color w:val="808080" w:themeColor="background1" w:themeShade="80"/>
        </w:rPr>
        <w:t xml:space="preserve"> and thus the property lawfully is property of </w:t>
      </w:r>
      <w:proofErr w:type="spellStart"/>
      <w:r w:rsidR="003755C5">
        <w:rPr>
          <w:color w:val="808080" w:themeColor="background1" w:themeShade="80"/>
        </w:rPr>
        <w:t>Mr</w:t>
      </w:r>
      <w:proofErr w:type="spellEnd"/>
      <w:r w:rsidR="003755C5">
        <w:rPr>
          <w:color w:val="808080" w:themeColor="background1" w:themeShade="80"/>
        </w:rPr>
        <w:t xml:space="preserve"> Y’s estate and thus not fall in </w:t>
      </w:r>
      <w:proofErr w:type="spellStart"/>
      <w:r w:rsidR="003755C5">
        <w:rPr>
          <w:color w:val="808080" w:themeColor="background1" w:themeShade="80"/>
        </w:rPr>
        <w:t>Mr</w:t>
      </w:r>
      <w:proofErr w:type="spellEnd"/>
      <w:r w:rsidR="003755C5">
        <w:rPr>
          <w:color w:val="808080" w:themeColor="background1" w:themeShade="80"/>
        </w:rPr>
        <w:t xml:space="preserve"> X insolvent estate.</w:t>
      </w:r>
    </w:p>
    <w:p w14:paraId="21EF9ABA" w14:textId="000FA1AC" w:rsidR="003755C5" w:rsidRDefault="003755C5" w:rsidP="007C51F0">
      <w:pPr>
        <w:rPr>
          <w:color w:val="808080" w:themeColor="background1" w:themeShade="80"/>
        </w:rPr>
      </w:pPr>
    </w:p>
    <w:p w14:paraId="6443E187" w14:textId="77777777" w:rsidR="003755C5" w:rsidRDefault="003755C5" w:rsidP="003755C5">
      <w:pPr>
        <w:rPr>
          <w:color w:val="808080" w:themeColor="background1" w:themeShade="80"/>
        </w:rPr>
      </w:pPr>
      <w:r>
        <w:rPr>
          <w:color w:val="808080" w:themeColor="background1" w:themeShade="80"/>
        </w:rPr>
        <w:t xml:space="preserve">With regards to the Land Rover Defender, it is likely that </w:t>
      </w:r>
      <w:proofErr w:type="spellStart"/>
      <w:r>
        <w:rPr>
          <w:color w:val="808080" w:themeColor="background1" w:themeShade="80"/>
        </w:rPr>
        <w:t>Mr</w:t>
      </w:r>
      <w:proofErr w:type="spellEnd"/>
      <w:r>
        <w:rPr>
          <w:color w:val="808080" w:themeColor="background1" w:themeShade="80"/>
        </w:rPr>
        <w:t xml:space="preserve"> X was insolvent 2 months to the sequestration, and that the transaction can potentially be considered a voidable disposition in terms of Section 26, 30 and 31 of the Insolvency Act, if it can be proved that the disposition resulted to insolvency.</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38BBFFEC" w:rsidR="00CC2E46" w:rsidRDefault="00A260F3" w:rsidP="00CC2E46">
      <w:pPr>
        <w:rPr>
          <w:color w:val="808080" w:themeColor="background1" w:themeShade="80"/>
        </w:rPr>
      </w:pPr>
      <w:r>
        <w:rPr>
          <w:color w:val="808080" w:themeColor="background1" w:themeShade="80"/>
        </w:rPr>
        <w:t>As a point of departure, the Civil Unions Act 17 of 2006 has legalized same sex unions in South Africa and the term “spouse” now includes same. The abovementioned has given effect that a civil union carries the same matrimonial and patrimonial consequences in terms of the Marriage Act 25 of 1961.</w:t>
      </w:r>
    </w:p>
    <w:p w14:paraId="1F55DD0C" w14:textId="3C0DE6CF" w:rsidR="00C86537" w:rsidRDefault="00C86537" w:rsidP="00CC2E46">
      <w:pPr>
        <w:rPr>
          <w:color w:val="808080" w:themeColor="background1" w:themeShade="80"/>
        </w:rPr>
      </w:pPr>
    </w:p>
    <w:p w14:paraId="7C5C57AE" w14:textId="3E8391AE" w:rsidR="00C86537" w:rsidRDefault="00C86537" w:rsidP="00CC2E46">
      <w:pPr>
        <w:rPr>
          <w:color w:val="808080" w:themeColor="background1" w:themeShade="80"/>
        </w:rPr>
      </w:pPr>
      <w:r>
        <w:rPr>
          <w:color w:val="808080" w:themeColor="background1" w:themeShade="80"/>
        </w:rPr>
        <w:t xml:space="preserve">From the abovementioned, it is </w:t>
      </w:r>
      <w:r w:rsidR="00894300">
        <w:rPr>
          <w:color w:val="808080" w:themeColor="background1" w:themeShade="80"/>
        </w:rPr>
        <w:t>therefore</w:t>
      </w:r>
      <w:r>
        <w:rPr>
          <w:color w:val="808080" w:themeColor="background1" w:themeShade="80"/>
        </w:rPr>
        <w:t xml:space="preserve"> clear that </w:t>
      </w:r>
      <w:proofErr w:type="spellStart"/>
      <w:r>
        <w:rPr>
          <w:color w:val="808080" w:themeColor="background1" w:themeShade="80"/>
        </w:rPr>
        <w:t>Mr</w:t>
      </w:r>
      <w:proofErr w:type="spellEnd"/>
      <w:r>
        <w:rPr>
          <w:color w:val="808080" w:themeColor="background1" w:themeShade="80"/>
        </w:rPr>
        <w:t xml:space="preserve"> Y will be regarded as a spouse, and the process as set-out in section 13.1 shall be followed accordingly.</w:t>
      </w:r>
    </w:p>
    <w:p w14:paraId="3901B921" w14:textId="2F7EBF6F" w:rsidR="00C86537" w:rsidRDefault="00C86537" w:rsidP="00CC2E46">
      <w:pPr>
        <w:rPr>
          <w:color w:val="808080" w:themeColor="background1" w:themeShade="80"/>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2163F374" w:rsidR="00CC2E46" w:rsidRPr="00894300" w:rsidRDefault="00F07E9F" w:rsidP="00CC2E46">
      <w:pPr>
        <w:rPr>
          <w:color w:val="808080" w:themeColor="background1" w:themeShade="80"/>
        </w:rPr>
      </w:pPr>
      <w:r w:rsidRPr="00894300">
        <w:rPr>
          <w:color w:val="808080" w:themeColor="background1" w:themeShade="80"/>
        </w:rPr>
        <w:t xml:space="preserve">During the consultation with </w:t>
      </w:r>
      <w:proofErr w:type="spellStart"/>
      <w:r w:rsidRPr="00894300">
        <w:rPr>
          <w:color w:val="808080" w:themeColor="background1" w:themeShade="80"/>
        </w:rPr>
        <w:t>Mr</w:t>
      </w:r>
      <w:proofErr w:type="spellEnd"/>
      <w:r w:rsidRPr="00894300">
        <w:rPr>
          <w:color w:val="808080" w:themeColor="background1" w:themeShade="80"/>
        </w:rPr>
        <w:t xml:space="preserve"> Kekana, the following will be explained,</w:t>
      </w:r>
    </w:p>
    <w:p w14:paraId="127F78CB" w14:textId="3B69042D" w:rsidR="00F07E9F" w:rsidRPr="00894300" w:rsidRDefault="00F07E9F" w:rsidP="00F07E9F">
      <w:pPr>
        <w:pStyle w:val="ListParagraph"/>
        <w:numPr>
          <w:ilvl w:val="0"/>
          <w:numId w:val="37"/>
        </w:numPr>
        <w:rPr>
          <w:rFonts w:ascii="Avenir Next" w:hAnsi="Avenir Next"/>
          <w:color w:val="808080" w:themeColor="background1" w:themeShade="80"/>
        </w:rPr>
      </w:pPr>
      <w:r w:rsidRPr="00894300">
        <w:rPr>
          <w:rFonts w:ascii="Avenir Next" w:hAnsi="Avenir Next"/>
          <w:color w:val="808080" w:themeColor="background1" w:themeShade="80"/>
        </w:rPr>
        <w:t>Section 38 of the Insolvency Act applies.</w:t>
      </w:r>
    </w:p>
    <w:p w14:paraId="46D20152" w14:textId="36A46C63" w:rsidR="00F07E9F" w:rsidRPr="00894300" w:rsidRDefault="00F07E9F" w:rsidP="00F07E9F">
      <w:pPr>
        <w:pStyle w:val="ListParagraph"/>
        <w:numPr>
          <w:ilvl w:val="0"/>
          <w:numId w:val="37"/>
        </w:numPr>
        <w:rPr>
          <w:rFonts w:ascii="Avenir Next" w:hAnsi="Avenir Next"/>
          <w:color w:val="808080" w:themeColor="background1" w:themeShade="80"/>
        </w:rPr>
      </w:pPr>
      <w:r w:rsidRPr="00894300">
        <w:rPr>
          <w:rFonts w:ascii="Avenir Next" w:hAnsi="Avenir Next"/>
          <w:color w:val="808080" w:themeColor="background1" w:themeShade="80"/>
        </w:rPr>
        <w:t>All employment agreements are suspended on the date that the order was granted on 3 May 2022.</w:t>
      </w:r>
    </w:p>
    <w:p w14:paraId="5CDEE7E8" w14:textId="66C3D322" w:rsidR="00F07E9F" w:rsidRPr="00894300" w:rsidRDefault="00F07E9F" w:rsidP="00F07E9F">
      <w:pPr>
        <w:pStyle w:val="ListParagraph"/>
        <w:numPr>
          <w:ilvl w:val="0"/>
          <w:numId w:val="37"/>
        </w:numPr>
        <w:rPr>
          <w:rFonts w:ascii="Avenir Next" w:hAnsi="Avenir Next"/>
          <w:color w:val="808080" w:themeColor="background1" w:themeShade="80"/>
        </w:rPr>
      </w:pPr>
      <w:r w:rsidRPr="00894300">
        <w:rPr>
          <w:rFonts w:ascii="Avenir Next" w:hAnsi="Avenir Next"/>
          <w:color w:val="808080" w:themeColor="background1" w:themeShade="80"/>
        </w:rPr>
        <w:t>The employees are not required to render services in terms of the employment agreement.</w:t>
      </w:r>
    </w:p>
    <w:p w14:paraId="0187A0FD" w14:textId="4FEDDE91" w:rsidR="00F07E9F" w:rsidRPr="00894300" w:rsidRDefault="00F07E9F" w:rsidP="00F07E9F">
      <w:pPr>
        <w:pStyle w:val="ListParagraph"/>
        <w:numPr>
          <w:ilvl w:val="0"/>
          <w:numId w:val="37"/>
        </w:numPr>
        <w:rPr>
          <w:rFonts w:ascii="Avenir Next" w:hAnsi="Avenir Next"/>
          <w:color w:val="808080" w:themeColor="background1" w:themeShade="80"/>
        </w:rPr>
      </w:pPr>
      <w:r w:rsidRPr="00894300">
        <w:rPr>
          <w:rFonts w:ascii="Avenir Next" w:hAnsi="Avenir Next"/>
          <w:color w:val="808080" w:themeColor="background1" w:themeShade="80"/>
        </w:rPr>
        <w:t>The employees are not entitled to renumeration in regards to the employment agreement.</w:t>
      </w:r>
    </w:p>
    <w:p w14:paraId="738046BA" w14:textId="2CC0B98B" w:rsidR="00F07E9F" w:rsidRPr="00894300" w:rsidRDefault="00F07E9F" w:rsidP="00F07E9F">
      <w:pPr>
        <w:pStyle w:val="ListParagraph"/>
        <w:numPr>
          <w:ilvl w:val="0"/>
          <w:numId w:val="37"/>
        </w:numPr>
        <w:rPr>
          <w:rFonts w:ascii="Avenir Next" w:hAnsi="Avenir Next"/>
          <w:color w:val="808080" w:themeColor="background1" w:themeShade="80"/>
        </w:rPr>
      </w:pPr>
      <w:r w:rsidRPr="00894300">
        <w:rPr>
          <w:rFonts w:ascii="Avenir Next" w:hAnsi="Avenir Next"/>
          <w:color w:val="808080" w:themeColor="background1" w:themeShade="80"/>
        </w:rPr>
        <w:t>The employees are entitled to claim Unemployment Insurance Benefits.</w:t>
      </w:r>
    </w:p>
    <w:p w14:paraId="789AE581" w14:textId="78083244" w:rsidR="00F07E9F" w:rsidRPr="00894300" w:rsidRDefault="00F07E9F" w:rsidP="00F07E9F">
      <w:pPr>
        <w:pStyle w:val="ListParagraph"/>
        <w:numPr>
          <w:ilvl w:val="0"/>
          <w:numId w:val="37"/>
        </w:numPr>
        <w:rPr>
          <w:rFonts w:ascii="Avenir Next" w:hAnsi="Avenir Next"/>
          <w:color w:val="808080" w:themeColor="background1" w:themeShade="80"/>
        </w:rPr>
      </w:pPr>
      <w:r w:rsidRPr="00894300">
        <w:rPr>
          <w:rFonts w:ascii="Avenir Next" w:hAnsi="Avenir Next"/>
          <w:color w:val="808080" w:themeColor="background1" w:themeShade="80"/>
        </w:rPr>
        <w:t>Due process needs to be followed to terminate the respective employment agreements, following extensive consultation with all relative stakeholders.</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3DF8550D" w14:textId="77777777" w:rsidR="00F07E9F" w:rsidRPr="00894300" w:rsidRDefault="00F07E9F" w:rsidP="00F07E9F">
      <w:pPr>
        <w:pStyle w:val="ListParagraph"/>
        <w:numPr>
          <w:ilvl w:val="0"/>
          <w:numId w:val="38"/>
        </w:numPr>
        <w:rPr>
          <w:rFonts w:ascii="Avenir Next" w:hAnsi="Avenir Next"/>
          <w:color w:val="808080" w:themeColor="background1" w:themeShade="80"/>
        </w:rPr>
      </w:pPr>
      <w:r w:rsidRPr="00894300">
        <w:rPr>
          <w:rFonts w:ascii="Avenir Next" w:hAnsi="Avenir Next"/>
          <w:color w:val="808080" w:themeColor="background1" w:themeShade="80"/>
        </w:rPr>
        <w:t>Employees are entitled to a a prefferent claim per Section 98A of the Insolvency act.</w:t>
      </w:r>
    </w:p>
    <w:p w14:paraId="1885BED9" w14:textId="77777777" w:rsidR="00F07E9F" w:rsidRPr="00894300" w:rsidRDefault="00F07E9F" w:rsidP="00F07E9F">
      <w:pPr>
        <w:pStyle w:val="ListParagraph"/>
        <w:numPr>
          <w:ilvl w:val="0"/>
          <w:numId w:val="38"/>
        </w:numPr>
        <w:rPr>
          <w:rFonts w:ascii="Avenir Next" w:hAnsi="Avenir Next"/>
          <w:color w:val="808080" w:themeColor="background1" w:themeShade="80"/>
        </w:rPr>
      </w:pPr>
      <w:r w:rsidRPr="00894300">
        <w:rPr>
          <w:rFonts w:ascii="Avenir Next" w:hAnsi="Avenir Next"/>
          <w:color w:val="808080" w:themeColor="background1" w:themeShade="80"/>
        </w:rPr>
        <w:t>Mr Kekana may claim  upto 3 month salary limited to R10 000.00 per month, and leave pay, to a maximum of R4 000.00.</w:t>
      </w:r>
    </w:p>
    <w:p w14:paraId="6560E4EB" w14:textId="683D8F6C" w:rsidR="0077169C" w:rsidRPr="00894300" w:rsidRDefault="00F07E9F" w:rsidP="00C17C9B">
      <w:pPr>
        <w:pStyle w:val="ListParagraph"/>
        <w:numPr>
          <w:ilvl w:val="0"/>
          <w:numId w:val="38"/>
        </w:numPr>
        <w:rPr>
          <w:rFonts w:ascii="Avenir Next" w:hAnsi="Avenir Next"/>
          <w:color w:val="808080" w:themeColor="background1" w:themeShade="80"/>
        </w:rPr>
      </w:pPr>
      <w:r w:rsidRPr="00894300">
        <w:rPr>
          <w:rFonts w:ascii="Avenir Next" w:hAnsi="Avenir Next"/>
          <w:color w:val="808080" w:themeColor="background1" w:themeShade="80"/>
        </w:rPr>
        <w:t>Mr Kekana, would as a result be entitled to claim his full outstanding salary and leave pay as a prefernt claim in the liquidation.</w:t>
      </w: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1B735A18" w14:textId="6F7516BA" w:rsidR="003F53AD" w:rsidRPr="00894300" w:rsidRDefault="003F53AD" w:rsidP="003F53AD">
      <w:pPr>
        <w:pStyle w:val="ListParagraph"/>
        <w:numPr>
          <w:ilvl w:val="0"/>
          <w:numId w:val="41"/>
        </w:numPr>
        <w:rPr>
          <w:rFonts w:ascii="Avenir Next" w:hAnsi="Avenir Next"/>
          <w:color w:val="808080" w:themeColor="background1" w:themeShade="80"/>
        </w:rPr>
      </w:pPr>
      <w:r w:rsidRPr="00894300">
        <w:rPr>
          <w:rFonts w:ascii="Avenir Next" w:hAnsi="Avenir Next"/>
          <w:color w:val="808080" w:themeColor="background1" w:themeShade="80"/>
        </w:rPr>
        <w:t>Section 26, 29, 30 and 31 of the Insolvency Act applies.</w:t>
      </w:r>
    </w:p>
    <w:p w14:paraId="526DE4C7" w14:textId="49F37243" w:rsidR="00CC2E46" w:rsidRPr="00894300" w:rsidRDefault="003F53AD" w:rsidP="003F53AD">
      <w:pPr>
        <w:pStyle w:val="ListParagraph"/>
        <w:numPr>
          <w:ilvl w:val="0"/>
          <w:numId w:val="41"/>
        </w:numPr>
        <w:rPr>
          <w:rFonts w:ascii="Avenir Next" w:hAnsi="Avenir Next"/>
          <w:color w:val="808080" w:themeColor="background1" w:themeShade="80"/>
        </w:rPr>
      </w:pPr>
      <w:r w:rsidRPr="00894300">
        <w:rPr>
          <w:rFonts w:ascii="Avenir Next" w:hAnsi="Avenir Next"/>
          <w:color w:val="808080" w:themeColor="background1" w:themeShade="80"/>
        </w:rPr>
        <w:t>As a point of departure, Joe Bond is regarded as a secured creditor, given the rights that arise from a pledge.</w:t>
      </w:r>
    </w:p>
    <w:p w14:paraId="55D55BC7" w14:textId="0E098520" w:rsidR="003F53AD" w:rsidRPr="00894300" w:rsidRDefault="003F53AD" w:rsidP="003F53AD">
      <w:pPr>
        <w:pStyle w:val="ListParagraph"/>
        <w:numPr>
          <w:ilvl w:val="0"/>
          <w:numId w:val="41"/>
        </w:numPr>
        <w:rPr>
          <w:rFonts w:ascii="Avenir Next" w:hAnsi="Avenir Next"/>
          <w:color w:val="808080" w:themeColor="background1" w:themeShade="80"/>
        </w:rPr>
      </w:pPr>
      <w:r w:rsidRPr="00894300">
        <w:rPr>
          <w:rFonts w:ascii="Avenir Next" w:hAnsi="Avenir Next"/>
          <w:color w:val="808080" w:themeColor="background1" w:themeShade="80"/>
        </w:rPr>
        <w:t>The transaction is not considered a disposition without value given the fact that when the pledge was paid, the solvency of the debtor did not change to the detrimant of the other creditors.</w:t>
      </w:r>
    </w:p>
    <w:p w14:paraId="1E44C5C3" w14:textId="468D1457" w:rsidR="003F53AD" w:rsidRPr="00894300" w:rsidRDefault="003F53AD" w:rsidP="003F53AD">
      <w:pPr>
        <w:pStyle w:val="ListParagraph"/>
        <w:numPr>
          <w:ilvl w:val="0"/>
          <w:numId w:val="41"/>
        </w:numPr>
        <w:rPr>
          <w:rFonts w:ascii="Avenir Next" w:hAnsi="Avenir Next"/>
          <w:color w:val="808080" w:themeColor="background1" w:themeShade="80"/>
        </w:rPr>
      </w:pPr>
      <w:r w:rsidRPr="00894300">
        <w:rPr>
          <w:rFonts w:ascii="Avenir Next" w:hAnsi="Avenir Next"/>
          <w:color w:val="808080" w:themeColor="background1" w:themeShade="80"/>
        </w:rPr>
        <w:t xml:space="preserve">On </w:t>
      </w:r>
      <w:r w:rsidR="00572C1C" w:rsidRPr="00894300">
        <w:rPr>
          <w:rFonts w:ascii="Avenir Next" w:hAnsi="Avenir Next"/>
          <w:color w:val="808080" w:themeColor="background1" w:themeShade="80"/>
        </w:rPr>
        <w:t>p</w:t>
      </w:r>
      <w:r w:rsidRPr="00894300">
        <w:rPr>
          <w:rFonts w:ascii="Avenir Next" w:hAnsi="Avenir Next"/>
          <w:color w:val="808080" w:themeColor="background1" w:themeShade="80"/>
        </w:rPr>
        <w:t>ayment of the loan, the asset that was pledge was returned to the debtor’s estate.</w:t>
      </w:r>
    </w:p>
    <w:p w14:paraId="2D522D71" w14:textId="4EA0886B" w:rsidR="00572C1C" w:rsidRPr="00894300" w:rsidRDefault="00572C1C" w:rsidP="003F53AD">
      <w:pPr>
        <w:pStyle w:val="ListParagraph"/>
        <w:numPr>
          <w:ilvl w:val="0"/>
          <w:numId w:val="41"/>
        </w:numPr>
        <w:rPr>
          <w:rFonts w:ascii="Avenir Next" w:hAnsi="Avenir Next"/>
          <w:color w:val="808080" w:themeColor="background1" w:themeShade="80"/>
        </w:rPr>
      </w:pPr>
      <w:r w:rsidRPr="00894300">
        <w:rPr>
          <w:rFonts w:ascii="Avenir Next" w:hAnsi="Avenir Next"/>
          <w:color w:val="808080" w:themeColor="background1" w:themeShade="80"/>
        </w:rPr>
        <w:t>Assumingly the disposition did not prefer a single creditor as the asset was returned at value, and the transaction took place in the ordinary course of business.</w:t>
      </w:r>
    </w:p>
    <w:p w14:paraId="7F9E581E" w14:textId="64478ECA" w:rsidR="00572C1C" w:rsidRPr="00894300" w:rsidRDefault="00572C1C" w:rsidP="003F53AD">
      <w:pPr>
        <w:pStyle w:val="ListParagraph"/>
        <w:numPr>
          <w:ilvl w:val="0"/>
          <w:numId w:val="41"/>
        </w:numPr>
        <w:rPr>
          <w:rFonts w:ascii="Avenir Next" w:hAnsi="Avenir Next"/>
          <w:color w:val="808080" w:themeColor="background1" w:themeShade="80"/>
        </w:rPr>
      </w:pPr>
      <w:r w:rsidRPr="00894300">
        <w:rPr>
          <w:rFonts w:ascii="Avenir Next" w:hAnsi="Avenir Next"/>
          <w:color w:val="808080" w:themeColor="background1" w:themeShade="80"/>
        </w:rPr>
        <w:t>The time period of the transaction is however problematic given the fact that the transaction was concluded within 6 months of the sequestration, and Mr Bond will have to rely on the fact that he, as a creditor was not preffered, and that the estate fell insolvent as a result of the</w:t>
      </w:r>
      <w:r w:rsidR="00EE6A90" w:rsidRPr="00894300">
        <w:rPr>
          <w:rFonts w:ascii="Avenir Next" w:hAnsi="Avenir Next"/>
          <w:color w:val="808080" w:themeColor="background1" w:themeShade="80"/>
        </w:rPr>
        <w:t xml:space="preserve"> </w:t>
      </w:r>
      <w:r w:rsidRPr="00894300">
        <w:rPr>
          <w:rFonts w:ascii="Avenir Next" w:hAnsi="Avenir Next"/>
          <w:color w:val="808080" w:themeColor="background1" w:themeShade="80"/>
        </w:rPr>
        <w:t>transaction.</w:t>
      </w:r>
    </w:p>
    <w:p w14:paraId="283DC6AF" w14:textId="14A2E8D2" w:rsidR="00EE6A90" w:rsidRPr="00894300" w:rsidRDefault="00EE6A90" w:rsidP="00EE6A90">
      <w:pPr>
        <w:rPr>
          <w:color w:val="808080" w:themeColor="background1" w:themeShade="80"/>
        </w:rPr>
      </w:pPr>
      <w:r w:rsidRPr="00894300">
        <w:rPr>
          <w:color w:val="808080" w:themeColor="background1" w:themeShade="80"/>
        </w:rPr>
        <w:t xml:space="preserve">In conclusion, I would advise </w:t>
      </w:r>
      <w:proofErr w:type="spellStart"/>
      <w:r w:rsidRPr="00894300">
        <w:rPr>
          <w:color w:val="808080" w:themeColor="background1" w:themeShade="80"/>
        </w:rPr>
        <w:t>Mr</w:t>
      </w:r>
      <w:proofErr w:type="spellEnd"/>
      <w:r w:rsidRPr="00894300">
        <w:rPr>
          <w:color w:val="808080" w:themeColor="background1" w:themeShade="80"/>
        </w:rPr>
        <w:t xml:space="preserve"> Bond, to challenge setting aside on the basis of a voidable transaction.</w:t>
      </w:r>
    </w:p>
    <w:p w14:paraId="76DA3247" w14:textId="2BC7B246" w:rsidR="003F53AD" w:rsidRDefault="003F53AD" w:rsidP="003F53AD">
      <w:pPr>
        <w:rPr>
          <w:color w:val="808080" w:themeColor="background1" w:themeShade="80"/>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3C7B" w14:textId="77777777" w:rsidR="00682A24" w:rsidRDefault="00682A24" w:rsidP="001016B0">
      <w:r>
        <w:separator/>
      </w:r>
    </w:p>
  </w:endnote>
  <w:endnote w:type="continuationSeparator" w:id="0">
    <w:p w14:paraId="35639A51" w14:textId="77777777" w:rsidR="00682A24" w:rsidRDefault="00682A24"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A631" w14:textId="315E98EC" w:rsidR="00045C77" w:rsidRDefault="00045C77">
    <w:pPr>
      <w:pStyle w:val="Footer"/>
    </w:pPr>
    <w:r w:rsidRPr="00045C77">
      <w:t>202223-716.PAPER1FORMATIVE.</w:t>
    </w:r>
  </w:p>
  <w:p w14:paraId="77332963" w14:textId="7D3CDAAA" w:rsidR="001A20D0" w:rsidRDefault="001A20D0" w:rsidP="008A20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4BC7" w14:textId="77777777" w:rsidR="00682A24" w:rsidRDefault="00682A24" w:rsidP="001016B0">
      <w:r>
        <w:separator/>
      </w:r>
    </w:p>
  </w:footnote>
  <w:footnote w:type="continuationSeparator" w:id="0">
    <w:p w14:paraId="3B3C101F" w14:textId="77777777" w:rsidR="00682A24" w:rsidRDefault="00682A24"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5D4E"/>
    <w:multiLevelType w:val="hybridMultilevel"/>
    <w:tmpl w:val="4B405A9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772944"/>
    <w:multiLevelType w:val="hybridMultilevel"/>
    <w:tmpl w:val="84A2E220"/>
    <w:lvl w:ilvl="0" w:tplc="37CE52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D514DB"/>
    <w:multiLevelType w:val="hybridMultilevel"/>
    <w:tmpl w:val="62C0B384"/>
    <w:lvl w:ilvl="0" w:tplc="00087C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6"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F73315C"/>
    <w:multiLevelType w:val="hybridMultilevel"/>
    <w:tmpl w:val="4412CDCA"/>
    <w:lvl w:ilvl="0" w:tplc="713C9E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6615E4"/>
    <w:multiLevelType w:val="hybridMultilevel"/>
    <w:tmpl w:val="62C0B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9052F78"/>
    <w:multiLevelType w:val="hybridMultilevel"/>
    <w:tmpl w:val="C5CEF8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006D8"/>
    <w:multiLevelType w:val="hybridMultilevel"/>
    <w:tmpl w:val="86D04EA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87429"/>
    <w:multiLevelType w:val="hybridMultilevel"/>
    <w:tmpl w:val="87BE27BE"/>
    <w:lvl w:ilvl="0" w:tplc="9F306B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B7C84"/>
    <w:multiLevelType w:val="hybridMultilevel"/>
    <w:tmpl w:val="B1AEDAF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F456E88"/>
    <w:multiLevelType w:val="hybridMultilevel"/>
    <w:tmpl w:val="21643EE6"/>
    <w:lvl w:ilvl="0" w:tplc="519C65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931913"/>
    <w:multiLevelType w:val="hybridMultilevel"/>
    <w:tmpl w:val="58F07252"/>
    <w:lvl w:ilvl="0" w:tplc="C1B0F2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2801731">
    <w:abstractNumId w:val="12"/>
  </w:num>
  <w:num w:numId="2" w16cid:durableId="576285249">
    <w:abstractNumId w:val="39"/>
  </w:num>
  <w:num w:numId="3" w16cid:durableId="217133012">
    <w:abstractNumId w:val="36"/>
  </w:num>
  <w:num w:numId="4" w16cid:durableId="210381528">
    <w:abstractNumId w:val="14"/>
  </w:num>
  <w:num w:numId="5" w16cid:durableId="1580166443">
    <w:abstractNumId w:val="25"/>
  </w:num>
  <w:num w:numId="6" w16cid:durableId="291598604">
    <w:abstractNumId w:val="26"/>
  </w:num>
  <w:num w:numId="7" w16cid:durableId="1227378840">
    <w:abstractNumId w:val="20"/>
  </w:num>
  <w:num w:numId="8" w16cid:durableId="1726873776">
    <w:abstractNumId w:val="5"/>
  </w:num>
  <w:num w:numId="9" w16cid:durableId="380403481">
    <w:abstractNumId w:val="30"/>
  </w:num>
  <w:num w:numId="10" w16cid:durableId="1047265666">
    <w:abstractNumId w:val="18"/>
  </w:num>
  <w:num w:numId="11" w16cid:durableId="1930040109">
    <w:abstractNumId w:val="1"/>
  </w:num>
  <w:num w:numId="12" w16cid:durableId="712508713">
    <w:abstractNumId w:val="13"/>
  </w:num>
  <w:num w:numId="13" w16cid:durableId="447817831">
    <w:abstractNumId w:val="16"/>
  </w:num>
  <w:num w:numId="14" w16cid:durableId="264198254">
    <w:abstractNumId w:val="11"/>
  </w:num>
  <w:num w:numId="15" w16cid:durableId="231088749">
    <w:abstractNumId w:val="37"/>
  </w:num>
  <w:num w:numId="16" w16cid:durableId="184951742">
    <w:abstractNumId w:val="31"/>
  </w:num>
  <w:num w:numId="17" w16cid:durableId="2022388408">
    <w:abstractNumId w:val="33"/>
  </w:num>
  <w:num w:numId="18" w16cid:durableId="398216305">
    <w:abstractNumId w:val="28"/>
  </w:num>
  <w:num w:numId="19" w16cid:durableId="1606888766">
    <w:abstractNumId w:val="22"/>
  </w:num>
  <w:num w:numId="20" w16cid:durableId="579565227">
    <w:abstractNumId w:val="41"/>
  </w:num>
  <w:num w:numId="21" w16cid:durableId="1508323715">
    <w:abstractNumId w:val="40"/>
  </w:num>
  <w:num w:numId="22" w16cid:durableId="1612081687">
    <w:abstractNumId w:val="27"/>
  </w:num>
  <w:num w:numId="23" w16cid:durableId="383411314">
    <w:abstractNumId w:val="8"/>
  </w:num>
  <w:num w:numId="24" w16cid:durableId="756093327">
    <w:abstractNumId w:val="24"/>
  </w:num>
  <w:num w:numId="25" w16cid:durableId="1525097720">
    <w:abstractNumId w:val="21"/>
  </w:num>
  <w:num w:numId="26" w16cid:durableId="1516075228">
    <w:abstractNumId w:val="29"/>
  </w:num>
  <w:num w:numId="27" w16cid:durableId="1279335532">
    <w:abstractNumId w:val="7"/>
  </w:num>
  <w:num w:numId="28" w16cid:durableId="80376852">
    <w:abstractNumId w:val="6"/>
  </w:num>
  <w:num w:numId="29" w16cid:durableId="843281261">
    <w:abstractNumId w:val="10"/>
  </w:num>
  <w:num w:numId="30" w16cid:durableId="109129727">
    <w:abstractNumId w:val="38"/>
  </w:num>
  <w:num w:numId="31" w16cid:durableId="2072073287">
    <w:abstractNumId w:val="0"/>
  </w:num>
  <w:num w:numId="32" w16cid:durableId="1567955203">
    <w:abstractNumId w:val="9"/>
  </w:num>
  <w:num w:numId="33" w16cid:durableId="266081311">
    <w:abstractNumId w:val="3"/>
  </w:num>
  <w:num w:numId="34" w16cid:durableId="1495340825">
    <w:abstractNumId w:val="35"/>
  </w:num>
  <w:num w:numId="35" w16cid:durableId="1048531277">
    <w:abstractNumId w:val="23"/>
  </w:num>
  <w:num w:numId="36" w16cid:durableId="1017655793">
    <w:abstractNumId w:val="34"/>
  </w:num>
  <w:num w:numId="37" w16cid:durableId="1251085155">
    <w:abstractNumId w:val="4"/>
  </w:num>
  <w:num w:numId="38" w16cid:durableId="20086434">
    <w:abstractNumId w:val="15"/>
  </w:num>
  <w:num w:numId="39" w16cid:durableId="862936982">
    <w:abstractNumId w:val="19"/>
  </w:num>
  <w:num w:numId="40" w16cid:durableId="1008024348">
    <w:abstractNumId w:val="32"/>
  </w:num>
  <w:num w:numId="41" w16cid:durableId="463163422">
    <w:abstractNumId w:val="17"/>
  </w:num>
  <w:num w:numId="42" w16cid:durableId="126722866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mirrorMargins/>
  <w:activeWritingStyle w:appName="MSWord" w:lang="en-GB" w:vendorID="64" w:dllVersion="4096" w:nlCheck="1" w:checkStyle="0"/>
  <w:proofState w:spelling="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26EDC"/>
    <w:rsid w:val="00033D18"/>
    <w:rsid w:val="00034FC0"/>
    <w:rsid w:val="000451AA"/>
    <w:rsid w:val="00045503"/>
    <w:rsid w:val="00045C77"/>
    <w:rsid w:val="000470BF"/>
    <w:rsid w:val="000554CA"/>
    <w:rsid w:val="000672ED"/>
    <w:rsid w:val="00071EFD"/>
    <w:rsid w:val="00073862"/>
    <w:rsid w:val="000943C5"/>
    <w:rsid w:val="00096F6D"/>
    <w:rsid w:val="000A714C"/>
    <w:rsid w:val="000D340C"/>
    <w:rsid w:val="000D5B7A"/>
    <w:rsid w:val="000D6C79"/>
    <w:rsid w:val="000F1349"/>
    <w:rsid w:val="000F7E2C"/>
    <w:rsid w:val="001016B0"/>
    <w:rsid w:val="001165C7"/>
    <w:rsid w:val="00117579"/>
    <w:rsid w:val="00120495"/>
    <w:rsid w:val="001336C3"/>
    <w:rsid w:val="0015608F"/>
    <w:rsid w:val="00194D76"/>
    <w:rsid w:val="001A1043"/>
    <w:rsid w:val="001A20D0"/>
    <w:rsid w:val="001A370C"/>
    <w:rsid w:val="001B0AE9"/>
    <w:rsid w:val="001B4CC3"/>
    <w:rsid w:val="001D2F9B"/>
    <w:rsid w:val="001E72C8"/>
    <w:rsid w:val="001F65C0"/>
    <w:rsid w:val="00211EE8"/>
    <w:rsid w:val="00213DA5"/>
    <w:rsid w:val="00216818"/>
    <w:rsid w:val="00221041"/>
    <w:rsid w:val="00221087"/>
    <w:rsid w:val="00234313"/>
    <w:rsid w:val="00244935"/>
    <w:rsid w:val="00257792"/>
    <w:rsid w:val="00270263"/>
    <w:rsid w:val="0027308F"/>
    <w:rsid w:val="00283584"/>
    <w:rsid w:val="002A454F"/>
    <w:rsid w:val="002B7150"/>
    <w:rsid w:val="002C1C6F"/>
    <w:rsid w:val="002C473E"/>
    <w:rsid w:val="002C53FA"/>
    <w:rsid w:val="002F2E23"/>
    <w:rsid w:val="002F49CF"/>
    <w:rsid w:val="002F712A"/>
    <w:rsid w:val="00300368"/>
    <w:rsid w:val="00303C2F"/>
    <w:rsid w:val="00322734"/>
    <w:rsid w:val="00337E93"/>
    <w:rsid w:val="00342DDB"/>
    <w:rsid w:val="00343065"/>
    <w:rsid w:val="00345A22"/>
    <w:rsid w:val="00347074"/>
    <w:rsid w:val="00362356"/>
    <w:rsid w:val="00373930"/>
    <w:rsid w:val="003755C5"/>
    <w:rsid w:val="003B06BB"/>
    <w:rsid w:val="003B0D2F"/>
    <w:rsid w:val="003B4199"/>
    <w:rsid w:val="003B4A44"/>
    <w:rsid w:val="003C5D82"/>
    <w:rsid w:val="003D15EA"/>
    <w:rsid w:val="003D779F"/>
    <w:rsid w:val="003F53AD"/>
    <w:rsid w:val="004031E2"/>
    <w:rsid w:val="004165ED"/>
    <w:rsid w:val="00416B97"/>
    <w:rsid w:val="00435999"/>
    <w:rsid w:val="00454E81"/>
    <w:rsid w:val="00467E11"/>
    <w:rsid w:val="00470B76"/>
    <w:rsid w:val="00472927"/>
    <w:rsid w:val="00483C38"/>
    <w:rsid w:val="00486DBE"/>
    <w:rsid w:val="00497863"/>
    <w:rsid w:val="004B491D"/>
    <w:rsid w:val="004C206D"/>
    <w:rsid w:val="004C6612"/>
    <w:rsid w:val="004C7945"/>
    <w:rsid w:val="00504A64"/>
    <w:rsid w:val="00542B4C"/>
    <w:rsid w:val="00562DC2"/>
    <w:rsid w:val="00563F78"/>
    <w:rsid w:val="00572C1C"/>
    <w:rsid w:val="00574240"/>
    <w:rsid w:val="005C0FF6"/>
    <w:rsid w:val="005C6498"/>
    <w:rsid w:val="005E42AF"/>
    <w:rsid w:val="005E45BD"/>
    <w:rsid w:val="005F3F13"/>
    <w:rsid w:val="00601C4A"/>
    <w:rsid w:val="006027A2"/>
    <w:rsid w:val="00604564"/>
    <w:rsid w:val="00622B2C"/>
    <w:rsid w:val="0063766F"/>
    <w:rsid w:val="00643725"/>
    <w:rsid w:val="00647006"/>
    <w:rsid w:val="0066147F"/>
    <w:rsid w:val="006659FD"/>
    <w:rsid w:val="006773FC"/>
    <w:rsid w:val="00682A24"/>
    <w:rsid w:val="0068617E"/>
    <w:rsid w:val="0069113C"/>
    <w:rsid w:val="0069468A"/>
    <w:rsid w:val="006B4C64"/>
    <w:rsid w:val="006D34F1"/>
    <w:rsid w:val="006E218D"/>
    <w:rsid w:val="006E3289"/>
    <w:rsid w:val="006E3E96"/>
    <w:rsid w:val="006E481A"/>
    <w:rsid w:val="006F7EC1"/>
    <w:rsid w:val="007120A0"/>
    <w:rsid w:val="007123BB"/>
    <w:rsid w:val="00715982"/>
    <w:rsid w:val="00715C88"/>
    <w:rsid w:val="00733777"/>
    <w:rsid w:val="007347BC"/>
    <w:rsid w:val="00755F63"/>
    <w:rsid w:val="0077169C"/>
    <w:rsid w:val="00772EF9"/>
    <w:rsid w:val="007747E8"/>
    <w:rsid w:val="00781C2C"/>
    <w:rsid w:val="0078207F"/>
    <w:rsid w:val="007836DB"/>
    <w:rsid w:val="007A1000"/>
    <w:rsid w:val="007B1B03"/>
    <w:rsid w:val="007B1C2D"/>
    <w:rsid w:val="007B607D"/>
    <w:rsid w:val="007B6DD3"/>
    <w:rsid w:val="007C51F0"/>
    <w:rsid w:val="007E4814"/>
    <w:rsid w:val="007F02EC"/>
    <w:rsid w:val="007F385C"/>
    <w:rsid w:val="00804FC8"/>
    <w:rsid w:val="0081003D"/>
    <w:rsid w:val="00812BFB"/>
    <w:rsid w:val="00822A4C"/>
    <w:rsid w:val="008735A4"/>
    <w:rsid w:val="008822D5"/>
    <w:rsid w:val="00894300"/>
    <w:rsid w:val="008A1E6D"/>
    <w:rsid w:val="008A20AC"/>
    <w:rsid w:val="008A2EB4"/>
    <w:rsid w:val="008B18AE"/>
    <w:rsid w:val="008B2794"/>
    <w:rsid w:val="008C52C5"/>
    <w:rsid w:val="008C5DCB"/>
    <w:rsid w:val="008D7189"/>
    <w:rsid w:val="008E6B76"/>
    <w:rsid w:val="008F0B7C"/>
    <w:rsid w:val="008F33E1"/>
    <w:rsid w:val="008F4BC6"/>
    <w:rsid w:val="008F7D39"/>
    <w:rsid w:val="00902032"/>
    <w:rsid w:val="00903B0F"/>
    <w:rsid w:val="009143EA"/>
    <w:rsid w:val="00917205"/>
    <w:rsid w:val="0092725A"/>
    <w:rsid w:val="00930A74"/>
    <w:rsid w:val="009311C3"/>
    <w:rsid w:val="00954CBE"/>
    <w:rsid w:val="00957A2E"/>
    <w:rsid w:val="00960617"/>
    <w:rsid w:val="009700FE"/>
    <w:rsid w:val="009803AC"/>
    <w:rsid w:val="009A4CEF"/>
    <w:rsid w:val="009B0913"/>
    <w:rsid w:val="009B7D40"/>
    <w:rsid w:val="009C7BB4"/>
    <w:rsid w:val="009D0718"/>
    <w:rsid w:val="009D27B4"/>
    <w:rsid w:val="009E2AEB"/>
    <w:rsid w:val="009E549B"/>
    <w:rsid w:val="00A0473E"/>
    <w:rsid w:val="00A06708"/>
    <w:rsid w:val="00A16D53"/>
    <w:rsid w:val="00A260F3"/>
    <w:rsid w:val="00A322BC"/>
    <w:rsid w:val="00A379F5"/>
    <w:rsid w:val="00A46438"/>
    <w:rsid w:val="00A514C8"/>
    <w:rsid w:val="00A52660"/>
    <w:rsid w:val="00A53A45"/>
    <w:rsid w:val="00A55B7D"/>
    <w:rsid w:val="00A70406"/>
    <w:rsid w:val="00A71C38"/>
    <w:rsid w:val="00A81BF9"/>
    <w:rsid w:val="00A82E83"/>
    <w:rsid w:val="00A83984"/>
    <w:rsid w:val="00A90D21"/>
    <w:rsid w:val="00A91174"/>
    <w:rsid w:val="00A9189A"/>
    <w:rsid w:val="00A9217C"/>
    <w:rsid w:val="00A95393"/>
    <w:rsid w:val="00AB4460"/>
    <w:rsid w:val="00AC37E2"/>
    <w:rsid w:val="00AC3A2B"/>
    <w:rsid w:val="00AE0ADA"/>
    <w:rsid w:val="00AE356E"/>
    <w:rsid w:val="00AF146A"/>
    <w:rsid w:val="00AF7C3D"/>
    <w:rsid w:val="00B17707"/>
    <w:rsid w:val="00B20098"/>
    <w:rsid w:val="00B20CA5"/>
    <w:rsid w:val="00B22A54"/>
    <w:rsid w:val="00B31AA7"/>
    <w:rsid w:val="00B3456B"/>
    <w:rsid w:val="00B40A75"/>
    <w:rsid w:val="00B57F03"/>
    <w:rsid w:val="00B62FFC"/>
    <w:rsid w:val="00B83811"/>
    <w:rsid w:val="00B91E5F"/>
    <w:rsid w:val="00BA24B1"/>
    <w:rsid w:val="00BA451C"/>
    <w:rsid w:val="00BB1EBB"/>
    <w:rsid w:val="00BD2DF8"/>
    <w:rsid w:val="00BE35A9"/>
    <w:rsid w:val="00BF243A"/>
    <w:rsid w:val="00C00E5E"/>
    <w:rsid w:val="00C17C9B"/>
    <w:rsid w:val="00C73233"/>
    <w:rsid w:val="00C77709"/>
    <w:rsid w:val="00C84F3F"/>
    <w:rsid w:val="00C8583F"/>
    <w:rsid w:val="00C86537"/>
    <w:rsid w:val="00CC2E46"/>
    <w:rsid w:val="00CD44FE"/>
    <w:rsid w:val="00CD618E"/>
    <w:rsid w:val="00CE057B"/>
    <w:rsid w:val="00CF24EA"/>
    <w:rsid w:val="00CF3421"/>
    <w:rsid w:val="00CF6645"/>
    <w:rsid w:val="00D47E91"/>
    <w:rsid w:val="00D62745"/>
    <w:rsid w:val="00D67E9B"/>
    <w:rsid w:val="00D7312A"/>
    <w:rsid w:val="00D73BB0"/>
    <w:rsid w:val="00D82D88"/>
    <w:rsid w:val="00D85DAC"/>
    <w:rsid w:val="00DB58C0"/>
    <w:rsid w:val="00DC20CF"/>
    <w:rsid w:val="00DC7224"/>
    <w:rsid w:val="00DE6FDB"/>
    <w:rsid w:val="00DF4BA7"/>
    <w:rsid w:val="00E03AD1"/>
    <w:rsid w:val="00E12660"/>
    <w:rsid w:val="00E36270"/>
    <w:rsid w:val="00E40A16"/>
    <w:rsid w:val="00E5559A"/>
    <w:rsid w:val="00E56F95"/>
    <w:rsid w:val="00E64F45"/>
    <w:rsid w:val="00E755CA"/>
    <w:rsid w:val="00E756DF"/>
    <w:rsid w:val="00E7781C"/>
    <w:rsid w:val="00E83556"/>
    <w:rsid w:val="00E93E62"/>
    <w:rsid w:val="00E9506C"/>
    <w:rsid w:val="00EA2B57"/>
    <w:rsid w:val="00EA6193"/>
    <w:rsid w:val="00EB6910"/>
    <w:rsid w:val="00EB6DA5"/>
    <w:rsid w:val="00EC3162"/>
    <w:rsid w:val="00EC7A8C"/>
    <w:rsid w:val="00ED192E"/>
    <w:rsid w:val="00EE6A90"/>
    <w:rsid w:val="00EF285F"/>
    <w:rsid w:val="00EF5AB0"/>
    <w:rsid w:val="00EF75EE"/>
    <w:rsid w:val="00F01D9B"/>
    <w:rsid w:val="00F07E9F"/>
    <w:rsid w:val="00F11319"/>
    <w:rsid w:val="00F11598"/>
    <w:rsid w:val="00F254AF"/>
    <w:rsid w:val="00F35CA0"/>
    <w:rsid w:val="00F6582B"/>
    <w:rsid w:val="00F96E59"/>
    <w:rsid w:val="00FA596D"/>
    <w:rsid w:val="00FA602E"/>
    <w:rsid w:val="00FC074E"/>
    <w:rsid w:val="00FC5217"/>
    <w:rsid w:val="00FC6940"/>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Gideon Slabbert</cp:lastModifiedBy>
  <cp:revision>32</cp:revision>
  <cp:lastPrinted>2022-09-29T12:20:00Z</cp:lastPrinted>
  <dcterms:created xsi:type="dcterms:W3CDTF">2022-10-07T09:19:00Z</dcterms:created>
  <dcterms:modified xsi:type="dcterms:W3CDTF">2022-10-07T09:51:00Z</dcterms:modified>
</cp:coreProperties>
</file>