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A90D21" w:rsidRDefault="006F7EC1" w:rsidP="00FC5217">
      <w:pPr>
        <w:pStyle w:val="ListParagraph"/>
        <w:numPr>
          <w:ilvl w:val="0"/>
          <w:numId w:val="2"/>
        </w:numPr>
        <w:spacing w:after="0" w:line="240" w:lineRule="auto"/>
        <w:ind w:left="425"/>
        <w:rPr>
          <w:rFonts w:ascii="Avenir Next" w:hAnsi="Avenir Next"/>
          <w:color w:val="000000" w:themeColor="text1"/>
          <w:lang w:val="en-GB"/>
        </w:rPr>
      </w:pPr>
      <w:r w:rsidRPr="00A01F35">
        <w:rPr>
          <w:rFonts w:ascii="Avenir Next" w:hAnsi="Avenir Next"/>
          <w:color w:val="000000" w:themeColor="text1"/>
          <w:highlight w:val="yellow"/>
          <w:lang w:val="en-GB"/>
        </w:rPr>
        <w:t xml:space="preserve">(1) </w:t>
      </w:r>
      <w:r w:rsidR="00563F78" w:rsidRPr="00A01F35">
        <w:rPr>
          <w:rFonts w:ascii="Avenir Next" w:hAnsi="Avenir Next"/>
          <w:color w:val="000000" w:themeColor="text1"/>
          <w:highlight w:val="yellow"/>
          <w:lang w:val="en-GB"/>
        </w:rPr>
        <w:t>and (2) are correct</w:t>
      </w:r>
      <w:r w:rsidR="007747E8" w:rsidRPr="00A90D21">
        <w:rPr>
          <w:rFonts w:ascii="Avenir Next" w:hAnsi="Avenir Next"/>
          <w:color w:val="000000" w:themeColor="text1"/>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01F35">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r w:rsidRPr="00A90D21">
        <w:rPr>
          <w:rFonts w:ascii="Avenir Next" w:hAnsi="Avenir Next" w:cs="Arial"/>
          <w:color w:val="000000" w:themeColor="text1"/>
          <w:lang w:val="en-GB"/>
        </w:rPr>
        <w:t>.</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805C2F"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805C2F">
        <w:rPr>
          <w:rFonts w:ascii="Avenir Next" w:hAnsi="Avenir Next" w:cs="Arial"/>
          <w:color w:val="000000" w:themeColor="text1"/>
          <w:highlight w:val="yellow"/>
          <w:lang w:val="en-GB"/>
        </w:rPr>
        <w:t>d</w:t>
      </w:r>
      <w:r w:rsidR="00A9217C" w:rsidRPr="00805C2F">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A90D21" w:rsidRDefault="00343065" w:rsidP="00FC5217">
      <w:pPr>
        <w:pStyle w:val="ListParagraph"/>
        <w:numPr>
          <w:ilvl w:val="0"/>
          <w:numId w:val="6"/>
        </w:numPr>
        <w:spacing w:after="0" w:line="240" w:lineRule="auto"/>
        <w:ind w:left="426"/>
        <w:rPr>
          <w:rFonts w:ascii="Avenir Next" w:hAnsi="Avenir Next" w:cs="Arial"/>
          <w:color w:val="000000" w:themeColor="text1"/>
          <w:lang w:val="en-GB"/>
        </w:rPr>
      </w:pPr>
      <w:r w:rsidRPr="00D97D17">
        <w:rPr>
          <w:rFonts w:ascii="Avenir Next" w:hAnsi="Avenir Next" w:cs="Arial"/>
          <w:color w:val="000000" w:themeColor="text1"/>
          <w:highlight w:val="yellow"/>
          <w:lang w:val="en-GB"/>
        </w:rPr>
        <w:t>(1)</w:t>
      </w:r>
      <w:r w:rsidR="00F254AF" w:rsidRPr="00D97D17">
        <w:rPr>
          <w:rFonts w:ascii="Avenir Next" w:hAnsi="Avenir Next" w:cs="Arial"/>
          <w:color w:val="000000" w:themeColor="text1"/>
          <w:highlight w:val="yellow"/>
          <w:lang w:val="en-GB"/>
        </w:rPr>
        <w:t xml:space="preserve">, and </w:t>
      </w:r>
      <w:r w:rsidRPr="00D97D17">
        <w:rPr>
          <w:rFonts w:ascii="Avenir Next" w:hAnsi="Avenir Next" w:cs="Arial"/>
          <w:color w:val="000000" w:themeColor="text1"/>
          <w:highlight w:val="yellow"/>
          <w:lang w:val="en-GB"/>
        </w:rPr>
        <w:t>(4)</w:t>
      </w:r>
      <w:r w:rsidR="00F254AF" w:rsidRPr="00D97D17">
        <w:rPr>
          <w:rFonts w:ascii="Avenir Next" w:hAnsi="Avenir Next" w:cs="Arial"/>
          <w:color w:val="000000" w:themeColor="text1"/>
          <w:highlight w:val="yellow"/>
          <w:lang w:val="en-GB"/>
        </w:rPr>
        <w:t xml:space="preserve"> are correct</w:t>
      </w:r>
      <w:r w:rsidR="00194D76" w:rsidRPr="00D97D17">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805C2F"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sidRPr="00805C2F">
        <w:rPr>
          <w:rFonts w:ascii="Avenir Next" w:hAnsi="Avenir Next" w:cs="Arial"/>
          <w:color w:val="000000" w:themeColor="text1"/>
          <w:lang w:val="en-GB"/>
        </w:rPr>
        <w:t>(1)</w:t>
      </w:r>
      <w:r w:rsidR="00F254AF" w:rsidRPr="00805C2F">
        <w:rPr>
          <w:rFonts w:ascii="Avenir Next" w:hAnsi="Avenir Next" w:cs="Arial"/>
          <w:color w:val="000000" w:themeColor="text1"/>
          <w:lang w:val="en-GB"/>
        </w:rPr>
        <w:t xml:space="preserve">, </w:t>
      </w:r>
      <w:r w:rsidRPr="00805C2F">
        <w:rPr>
          <w:rFonts w:ascii="Avenir Next" w:hAnsi="Avenir Next" w:cs="Arial"/>
          <w:color w:val="000000" w:themeColor="text1"/>
          <w:lang w:val="en-GB"/>
        </w:rPr>
        <w:t>(4)</w:t>
      </w:r>
      <w:r w:rsidR="00F254AF" w:rsidRPr="00805C2F">
        <w:rPr>
          <w:rFonts w:ascii="Avenir Next" w:hAnsi="Avenir Next" w:cs="Arial"/>
          <w:color w:val="000000" w:themeColor="text1"/>
          <w:lang w:val="en-GB"/>
        </w:rPr>
        <w:t xml:space="preserve"> and </w:t>
      </w:r>
      <w:r w:rsidRPr="00805C2F">
        <w:rPr>
          <w:rFonts w:ascii="Avenir Next" w:hAnsi="Avenir Next" w:cs="Arial"/>
          <w:color w:val="000000" w:themeColor="text1"/>
          <w:lang w:val="en-GB"/>
        </w:rPr>
        <w:t>(5)</w:t>
      </w:r>
      <w:r w:rsidR="00F254AF" w:rsidRPr="00805C2F">
        <w:rPr>
          <w:rFonts w:ascii="Avenir Next" w:hAnsi="Avenir Next" w:cs="Arial"/>
          <w:color w:val="000000" w:themeColor="text1"/>
          <w:lang w:val="en-GB"/>
        </w:rPr>
        <w:t xml:space="preserve"> are correct</w:t>
      </w:r>
      <w:r w:rsidR="00194D76" w:rsidRPr="00805C2F">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D97D17"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D97D17">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A90D21" w:rsidRDefault="00EB6910" w:rsidP="00FC5217">
      <w:pPr>
        <w:pStyle w:val="ListParagraph"/>
        <w:numPr>
          <w:ilvl w:val="0"/>
          <w:numId w:val="16"/>
        </w:numPr>
        <w:spacing w:after="0" w:line="240" w:lineRule="auto"/>
        <w:ind w:left="426"/>
        <w:rPr>
          <w:rFonts w:ascii="Avenir Next" w:hAnsi="Avenir Next"/>
          <w:bCs/>
          <w:iCs/>
          <w:lang w:val="en-GB"/>
        </w:rPr>
      </w:pPr>
      <w:r w:rsidRPr="00512C19">
        <w:rPr>
          <w:rFonts w:ascii="Avenir Next" w:hAnsi="Avenir Next"/>
          <w:bCs/>
          <w:iCs/>
          <w:highlight w:val="yellow"/>
          <w:lang w:val="en-GB"/>
        </w:rPr>
        <w:t>A High Court</w:t>
      </w:r>
      <w:r w:rsidRPr="00A90D21">
        <w:rPr>
          <w:rFonts w:ascii="Avenir Next" w:hAnsi="Avenir Next"/>
          <w:bCs/>
          <w:iCs/>
          <w:lang w:val="en-GB"/>
        </w:rPr>
        <w: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7C4559">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1C0726" w:rsidRDefault="003D15EA" w:rsidP="00FC5217">
      <w:pPr>
        <w:pStyle w:val="ListParagraph"/>
        <w:numPr>
          <w:ilvl w:val="0"/>
          <w:numId w:val="18"/>
        </w:numPr>
        <w:spacing w:after="0" w:line="240" w:lineRule="auto"/>
        <w:ind w:left="426"/>
        <w:rPr>
          <w:rFonts w:ascii="Avenir Next" w:hAnsi="Avenir Next"/>
          <w:highlight w:val="yellow"/>
          <w:lang w:val="en-GB"/>
        </w:rPr>
      </w:pPr>
      <w:r w:rsidRPr="001C0726">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512C19">
        <w:rPr>
          <w:rFonts w:ascii="Avenir Next" w:hAnsi="Avenir Next"/>
          <w:highlight w:val="yellow"/>
          <w:lang w:val="en-GB"/>
        </w:rPr>
        <w:t>Both (a) and (b)</w:t>
      </w:r>
      <w:r w:rsidR="00BA451C" w:rsidRPr="00512C19">
        <w:rPr>
          <w:rFonts w:ascii="Avenir Next" w:hAnsi="Avenir Next"/>
          <w:highlight w:val="yellow"/>
          <w:lang w:val="en-GB"/>
        </w:rPr>
        <w:t xml:space="preserve"> are correct</w:t>
      </w:r>
      <w:r w:rsidR="00BA451C" w:rsidRPr="00A90D21">
        <w:rPr>
          <w:rFonts w:ascii="Avenir Next" w:hAnsi="Avenir Next"/>
          <w:lang w:val="en-GB"/>
        </w:rPr>
        <w: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E14FE7"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E14FE7">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6E2915"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6E2915">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7C1DDD"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7C1DDD">
        <w:rPr>
          <w:rFonts w:ascii="Avenir Next" w:hAnsi="Avenir Next" w:cs="Times New Roman"/>
          <w:highlight w:val="yellow"/>
          <w:lang w:val="en-GB"/>
        </w:rPr>
        <w:t xml:space="preserve">The statement is not correct since the preference of one creditor above others is not prescribed in </w:t>
      </w:r>
      <w:r w:rsidR="00A71C38" w:rsidRPr="007C1DDD">
        <w:rPr>
          <w:rFonts w:ascii="Avenir Next" w:hAnsi="Avenir Next" w:cs="Times New Roman"/>
          <w:highlight w:val="yellow"/>
          <w:lang w:val="en-GB"/>
        </w:rPr>
        <w:t xml:space="preserve">the </w:t>
      </w:r>
      <w:r w:rsidRPr="007C1DDD">
        <w:rPr>
          <w:rFonts w:ascii="Avenir Next" w:hAnsi="Avenir Next" w:cs="Times New Roman"/>
          <w:highlight w:val="yellow"/>
          <w:lang w:val="en-GB"/>
        </w:rPr>
        <w:t>case of dispositions for value</w:t>
      </w:r>
      <w:r w:rsidR="00A71C38" w:rsidRPr="007C1DDD">
        <w:rPr>
          <w:rFonts w:ascii="Avenir Next" w:hAnsi="Avenir Next" w:cs="Times New Roman"/>
          <w:highlight w:val="yellow"/>
          <w:lang w:val="en-GB"/>
        </w:rPr>
        <w:t>,</w:t>
      </w:r>
      <w:r w:rsidRPr="007C1DDD">
        <w:rPr>
          <w:rFonts w:ascii="Avenir Next" w:hAnsi="Avenir Next" w:cs="Times New Roman"/>
          <w:highlight w:val="yellow"/>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lastRenderedPageBreak/>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46628E"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46628E">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943C38"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943C38">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D8565D"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9C7934">
        <w:rPr>
          <w:rFonts w:ascii="Avenir Next" w:hAnsi="Avenir Next" w:cs="Times New Roman"/>
          <w:highlight w:val="yellow"/>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491283" w:rsidRDefault="00416B97" w:rsidP="00FC5217">
      <w:pPr>
        <w:pStyle w:val="ListParagraph"/>
        <w:numPr>
          <w:ilvl w:val="0"/>
          <w:numId w:val="24"/>
        </w:numPr>
        <w:spacing w:after="0" w:line="240" w:lineRule="auto"/>
        <w:ind w:left="426"/>
        <w:rPr>
          <w:rFonts w:ascii="Avenir Next" w:hAnsi="Avenir Next"/>
          <w:highlight w:val="yellow"/>
        </w:rPr>
      </w:pPr>
      <w:r w:rsidRPr="00491283">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8032A3">
        <w:rPr>
          <w:rFonts w:ascii="Avenir Next" w:hAnsi="Avenir Next"/>
          <w:highlight w:val="yellow"/>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A90D21" w:rsidRDefault="00E12660" w:rsidP="00FC5217">
      <w:pPr>
        <w:numPr>
          <w:ilvl w:val="0"/>
          <w:numId w:val="26"/>
        </w:numPr>
        <w:rPr>
          <w:lang w:val="en-ZA"/>
        </w:rPr>
      </w:pPr>
      <w:r w:rsidRPr="003E146B">
        <w:rPr>
          <w:highlight w:val="yellow"/>
          <w:lang w:val="en-ZA"/>
        </w:rPr>
        <w:t xml:space="preserve">Both </w:t>
      </w:r>
      <w:r w:rsidR="00FF44ED" w:rsidRPr="003E146B">
        <w:rPr>
          <w:highlight w:val="yellow"/>
          <w:lang w:val="en-ZA"/>
        </w:rPr>
        <w:t xml:space="preserve">statements </w:t>
      </w:r>
      <w:r w:rsidRPr="003E146B">
        <w:rPr>
          <w:highlight w:val="yellow"/>
          <w:lang w:val="en-ZA"/>
        </w:rPr>
        <w:t>(a) and (b)</w:t>
      </w:r>
      <w:r w:rsidR="00FF44ED" w:rsidRPr="003E146B">
        <w:rPr>
          <w:highlight w:val="yellow"/>
          <w:lang w:val="en-ZA"/>
        </w:rPr>
        <w:t xml:space="preserve"> are correct</w:t>
      </w:r>
      <w:r w:rsidRPr="00A90D21">
        <w:rPr>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5A4B48" w:rsidRDefault="00EF285F" w:rsidP="00FC5217">
      <w:pPr>
        <w:pStyle w:val="ListParagraph"/>
        <w:numPr>
          <w:ilvl w:val="0"/>
          <w:numId w:val="13"/>
        </w:numPr>
        <w:spacing w:after="0" w:line="240" w:lineRule="auto"/>
        <w:ind w:left="426"/>
        <w:rPr>
          <w:rFonts w:ascii="Avenir Next" w:hAnsi="Avenir Next"/>
          <w:highlight w:val="yellow"/>
          <w:lang w:val="en-GB"/>
        </w:rPr>
      </w:pPr>
      <w:r w:rsidRPr="005A4B48">
        <w:rPr>
          <w:rFonts w:ascii="Avenir Next" w:hAnsi="Avenir Next"/>
          <w:highlight w:val="yellow"/>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5A4B48"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5A4B48">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lastRenderedPageBreak/>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267413D4" w:rsidR="00A90D21" w:rsidRDefault="00E707F7" w:rsidP="00A514C8">
      <w:pPr>
        <w:rPr>
          <w:color w:val="808080" w:themeColor="background1" w:themeShade="80"/>
        </w:rPr>
      </w:pPr>
      <w:r>
        <w:rPr>
          <w:color w:val="808080" w:themeColor="background1" w:themeShade="80"/>
        </w:rPr>
        <w:t>Any payments due will be owed to the insolvent estate or trustee and the trustee can call upon all persons indebted to the estate to make payment thereof (Section 77 of Insolvency Act)</w:t>
      </w:r>
    </w:p>
    <w:p w14:paraId="571BE70E" w14:textId="0F33C5AC" w:rsidR="00E707F7" w:rsidRPr="00CC2E46" w:rsidRDefault="00E707F7" w:rsidP="00A514C8">
      <w:pPr>
        <w:rPr>
          <w:color w:val="808080" w:themeColor="background1" w:themeShade="80"/>
        </w:rPr>
      </w:pPr>
      <w:r>
        <w:rPr>
          <w:color w:val="808080" w:themeColor="background1" w:themeShade="80"/>
        </w:rPr>
        <w:t>If debtor to the estate made payment to the insolvent the obligation will terminate if the debtor can prove that he acted in good faith and had no knowledge of the sequestration.</w:t>
      </w:r>
    </w:p>
    <w:p w14:paraId="0ECB8AE1" w14:textId="744934B0" w:rsidR="00A90D21" w:rsidRDefault="00A90D21" w:rsidP="00A514C8">
      <w:pPr>
        <w:rPr>
          <w:color w:val="000000" w:themeColor="text1"/>
        </w:rPr>
      </w:pPr>
    </w:p>
    <w:p w14:paraId="377728B8" w14:textId="68C3240D"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7EC851F5" w:rsidR="00CC2E46" w:rsidRPr="00CC2E46" w:rsidRDefault="00A94C73" w:rsidP="00CC2E46">
      <w:pPr>
        <w:rPr>
          <w:color w:val="808080" w:themeColor="background1" w:themeShade="80"/>
        </w:rPr>
      </w:pPr>
      <w:r>
        <w:rPr>
          <w:color w:val="808080" w:themeColor="background1" w:themeShade="80"/>
        </w:rPr>
        <w:t>In voluntary surrender applications a positive proof of advantage is required, whereas in the compulsory sequestration only a reasonable prospect of an advantage to creditors is required.</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1DD21D6" w14:textId="3DE3EDA3" w:rsidR="00CC2E46" w:rsidRPr="00CC2E46" w:rsidRDefault="000A5379" w:rsidP="00CC2E46">
      <w:pPr>
        <w:rPr>
          <w:color w:val="808080" w:themeColor="background1" w:themeShade="80"/>
        </w:rPr>
      </w:pPr>
      <w:r>
        <w:rPr>
          <w:color w:val="808080" w:themeColor="background1" w:themeShade="80"/>
        </w:rPr>
        <w:t xml:space="preserve">A witness must be subpoenaed at a reasonable time before attendance is required.  </w:t>
      </w:r>
      <w:r w:rsidR="009B620A">
        <w:rPr>
          <w:color w:val="808080" w:themeColor="background1" w:themeShade="80"/>
        </w:rPr>
        <w:t>Subpoenas are prepared by the insolvency practitioner or a legal representative and submitted to the presiding officer for signature.  If the subpoena is for the insolvent or his/her spouse the need of interrogation is obvious, for all other witnesses a proper submission regarding their evidence is required.  Fees and allowances prescribed in Magistrates’ Courts Act must be prepaid otherwise witness is not obliged to attend.  Travelling expenses and accommodation expenses must also accompany the subpoena.  The subpoena can be served by the insolvency practitioner or his clerk.</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7682B195" w:rsidR="00CC2E46" w:rsidRDefault="00C6674E" w:rsidP="00CC2E46">
      <w:pPr>
        <w:rPr>
          <w:color w:val="808080" w:themeColor="background1" w:themeShade="80"/>
        </w:rPr>
      </w:pPr>
      <w:r>
        <w:rPr>
          <w:color w:val="808080" w:themeColor="background1" w:themeShade="80"/>
        </w:rPr>
        <w:t>There are three questions to ask, namely:</w:t>
      </w:r>
    </w:p>
    <w:p w14:paraId="0EE38C0E" w14:textId="4A80B05B" w:rsidR="008154B9" w:rsidRDefault="008154B9" w:rsidP="00CC2E46">
      <w:pPr>
        <w:rPr>
          <w:color w:val="808080" w:themeColor="background1" w:themeShade="80"/>
        </w:rPr>
      </w:pPr>
    </w:p>
    <w:p w14:paraId="45FA6089" w14:textId="20C09ADD" w:rsidR="008154B9" w:rsidRDefault="008154B9" w:rsidP="008154B9">
      <w:pPr>
        <w:rPr>
          <w:color w:val="808080" w:themeColor="background1" w:themeShade="80"/>
        </w:rPr>
      </w:pPr>
      <w:r w:rsidRPr="008154B9">
        <w:rPr>
          <w:color w:val="808080" w:themeColor="background1" w:themeShade="80"/>
        </w:rPr>
        <w:t>1.</w:t>
      </w:r>
      <w:r>
        <w:rPr>
          <w:color w:val="808080" w:themeColor="background1" w:themeShade="80"/>
        </w:rPr>
        <w:t xml:space="preserve"> Can the section apply to a winding-up?</w:t>
      </w:r>
    </w:p>
    <w:p w14:paraId="1801CA95" w14:textId="68329781" w:rsidR="008154B9" w:rsidRDefault="008154B9" w:rsidP="008154B9">
      <w:pPr>
        <w:rPr>
          <w:color w:val="808080" w:themeColor="background1" w:themeShade="80"/>
        </w:rPr>
      </w:pPr>
      <w:r>
        <w:rPr>
          <w:color w:val="808080" w:themeColor="background1" w:themeShade="80"/>
        </w:rPr>
        <w:t>Certain provisions cannot apply, such as rehabilitation and exclusion of assets form an insolvent estate.</w:t>
      </w:r>
    </w:p>
    <w:p w14:paraId="77EB2E0A" w14:textId="14523158" w:rsidR="008154B9" w:rsidRDefault="008154B9" w:rsidP="008154B9">
      <w:pPr>
        <w:rPr>
          <w:color w:val="808080" w:themeColor="background1" w:themeShade="80"/>
        </w:rPr>
      </w:pPr>
    </w:p>
    <w:p w14:paraId="303BAC40" w14:textId="30FEC4EA" w:rsidR="008154B9" w:rsidRDefault="008154B9" w:rsidP="008154B9">
      <w:pPr>
        <w:rPr>
          <w:color w:val="808080" w:themeColor="background1" w:themeShade="80"/>
        </w:rPr>
      </w:pPr>
      <w:r w:rsidRPr="008154B9">
        <w:rPr>
          <w:color w:val="808080" w:themeColor="background1" w:themeShade="80"/>
        </w:rPr>
        <w:t>2.</w:t>
      </w:r>
      <w:r>
        <w:rPr>
          <w:color w:val="808080" w:themeColor="background1" w:themeShade="80"/>
        </w:rPr>
        <w:t xml:space="preserve"> Is the matter specially provided for by the Companies Act?</w:t>
      </w:r>
    </w:p>
    <w:p w14:paraId="38D52524" w14:textId="79FEC1C3" w:rsidR="008154B9" w:rsidRDefault="008154B9" w:rsidP="008154B9">
      <w:pPr>
        <w:rPr>
          <w:color w:val="808080" w:themeColor="background1" w:themeShade="80"/>
        </w:rPr>
      </w:pPr>
      <w:r>
        <w:rPr>
          <w:color w:val="808080" w:themeColor="background1" w:themeShade="80"/>
        </w:rPr>
        <w:t xml:space="preserve">When dealing with a company unable to pay its debts the insolvency law shall </w:t>
      </w:r>
      <w:proofErr w:type="spellStart"/>
      <w:r>
        <w:rPr>
          <w:color w:val="808080" w:themeColor="background1" w:themeShade="80"/>
        </w:rPr>
        <w:t>appy</w:t>
      </w:r>
      <w:proofErr w:type="spellEnd"/>
      <w:r>
        <w:rPr>
          <w:color w:val="808080" w:themeColor="background1" w:themeShade="80"/>
        </w:rPr>
        <w:t xml:space="preserve"> as far as it is applicable as per Section 339 of the Companies Act 1973.</w:t>
      </w:r>
    </w:p>
    <w:p w14:paraId="3D5C3CA4" w14:textId="168F4183" w:rsidR="008154B9" w:rsidRDefault="008154B9" w:rsidP="008154B9">
      <w:pPr>
        <w:rPr>
          <w:color w:val="808080" w:themeColor="background1" w:themeShade="80"/>
        </w:rPr>
      </w:pPr>
    </w:p>
    <w:p w14:paraId="10D10194" w14:textId="728CDED8" w:rsidR="008154B9" w:rsidRDefault="008154B9" w:rsidP="008154B9">
      <w:pPr>
        <w:rPr>
          <w:color w:val="808080" w:themeColor="background1" w:themeShade="80"/>
        </w:rPr>
      </w:pPr>
      <w:r w:rsidRPr="008154B9">
        <w:rPr>
          <w:color w:val="808080" w:themeColor="background1" w:themeShade="80"/>
        </w:rPr>
        <w:t>3.</w:t>
      </w:r>
      <w:r>
        <w:rPr>
          <w:color w:val="808080" w:themeColor="background1" w:themeShade="80"/>
        </w:rPr>
        <w:t xml:space="preserve"> Does the provision apply to the mode of liquidation in question?</w:t>
      </w:r>
    </w:p>
    <w:p w14:paraId="214DE654" w14:textId="34B21F5D" w:rsidR="008154B9" w:rsidRPr="008154B9" w:rsidRDefault="008154B9" w:rsidP="008154B9">
      <w:pPr>
        <w:rPr>
          <w:color w:val="808080" w:themeColor="background1" w:themeShade="80"/>
        </w:rPr>
      </w:pPr>
      <w:r>
        <w:rPr>
          <w:color w:val="808080" w:themeColor="background1" w:themeShade="80"/>
        </w:rPr>
        <w:t>If company is unable to pay its debts and the Companies Act does not specially provide for the matter in question then the Insolvency Act applies.</w:t>
      </w:r>
    </w:p>
    <w:p w14:paraId="7FE66987" w14:textId="77777777" w:rsidR="007C1DDD" w:rsidRDefault="007C1DDD" w:rsidP="00CC2E46">
      <w:pPr>
        <w:rPr>
          <w:color w:val="808080" w:themeColor="background1" w:themeShade="80"/>
        </w:rPr>
      </w:pP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4F443D09" w:rsidR="00CC2E46" w:rsidRPr="00CC2E46" w:rsidRDefault="005710E3" w:rsidP="00CC2E46">
      <w:pPr>
        <w:rPr>
          <w:color w:val="808080" w:themeColor="background1" w:themeShade="80"/>
        </w:rPr>
      </w:pPr>
      <w:r>
        <w:rPr>
          <w:color w:val="808080" w:themeColor="background1" w:themeShade="80"/>
        </w:rPr>
        <w:t>If the partnership estate is sequestrated the court must at the same time sequestrate the private estate of each and every member of the partnership except if the partner is not residing in the Republic, or who have undertaken to pay the debts of the partnership</w:t>
      </w:r>
      <w:r w:rsidR="00251853">
        <w:rPr>
          <w:color w:val="808080" w:themeColor="background1" w:themeShade="80"/>
        </w:rPr>
        <w:t xml:space="preserve"> within a determined time</w:t>
      </w:r>
      <w:r>
        <w:rPr>
          <w:color w:val="808080" w:themeColor="background1" w:themeShade="80"/>
        </w:rPr>
        <w:t xml:space="preserve"> and have given security for the payment.</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3D1B2462" w:rsidR="00CC2E46" w:rsidRDefault="003431C1" w:rsidP="00CC2E46">
      <w:pPr>
        <w:rPr>
          <w:color w:val="808080" w:themeColor="background1" w:themeShade="80"/>
        </w:rPr>
      </w:pPr>
      <w:r>
        <w:rPr>
          <w:color w:val="808080" w:themeColor="background1" w:themeShade="80"/>
        </w:rPr>
        <w:t>After</w:t>
      </w:r>
      <w:r w:rsidR="00620248">
        <w:rPr>
          <w:color w:val="808080" w:themeColor="background1" w:themeShade="80"/>
        </w:rPr>
        <w:t xml:space="preserve"> the publication of the notice of surrender</w:t>
      </w:r>
      <w:r>
        <w:rPr>
          <w:color w:val="808080" w:themeColor="background1" w:themeShade="80"/>
        </w:rPr>
        <w:t xml:space="preserve"> all sales in execution are stayed.  It is unlawful to sell any property </w:t>
      </w:r>
      <w:r w:rsidR="00B83447">
        <w:rPr>
          <w:color w:val="808080" w:themeColor="background1" w:themeShade="80"/>
        </w:rPr>
        <w:t>which has been attached under a writ of execution.  The Master (if amount is less than R5000) or the court (if amount exceeds R5000) may authorize to continue with the sale of execution.</w:t>
      </w:r>
    </w:p>
    <w:p w14:paraId="554F8E61" w14:textId="7D78DD91" w:rsidR="00B83447" w:rsidRDefault="00B83447" w:rsidP="00CC2E46">
      <w:pPr>
        <w:rPr>
          <w:color w:val="808080" w:themeColor="background1" w:themeShade="80"/>
        </w:rPr>
      </w:pPr>
      <w:r>
        <w:rPr>
          <w:color w:val="808080" w:themeColor="background1" w:themeShade="80"/>
        </w:rPr>
        <w:t xml:space="preserve">A curator </w:t>
      </w:r>
      <w:proofErr w:type="spellStart"/>
      <w:r>
        <w:rPr>
          <w:color w:val="808080" w:themeColor="background1" w:themeShade="80"/>
        </w:rPr>
        <w:t>bonis</w:t>
      </w:r>
      <w:proofErr w:type="spellEnd"/>
      <w:r>
        <w:rPr>
          <w:color w:val="808080" w:themeColor="background1" w:themeShade="80"/>
        </w:rPr>
        <w:t xml:space="preserve"> may be appointed by the Master to control the estate as a safeguard that the debtor does not dissipate his assets.  Creditors may approach the Master stating reasons for such appointment.</w:t>
      </w:r>
    </w:p>
    <w:p w14:paraId="20D90F3B" w14:textId="11A2D328" w:rsidR="00B83447" w:rsidRPr="00CC2E46" w:rsidRDefault="00B83447" w:rsidP="00CC2E46">
      <w:pPr>
        <w:rPr>
          <w:color w:val="808080" w:themeColor="background1" w:themeShade="80"/>
        </w:rPr>
      </w:pPr>
      <w:r>
        <w:rPr>
          <w:color w:val="808080" w:themeColor="background1" w:themeShade="80"/>
        </w:rPr>
        <w:t xml:space="preserve">If debtor fails to lodge statement of affairs or </w:t>
      </w:r>
      <w:r w:rsidR="005710E3">
        <w:rPr>
          <w:color w:val="808080" w:themeColor="background1" w:themeShade="80"/>
        </w:rPr>
        <w:t>lodge a statement that is incorrect or incomplete or does not apply for the notice of surrender to be properly withdrawn he commits an act of insolvency and a creditor will be entitled to apply for compulsory sequestration of the debtor’s estate.</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00464196" w:rsidR="00CC2E46" w:rsidRDefault="0031183B" w:rsidP="00CC2E46">
      <w:pPr>
        <w:rPr>
          <w:color w:val="808080" w:themeColor="background1" w:themeShade="80"/>
        </w:rPr>
      </w:pPr>
      <w:r>
        <w:rPr>
          <w:color w:val="808080" w:themeColor="background1" w:themeShade="80"/>
        </w:rPr>
        <w:t>No, she can recover for her own benefit any pension she is entitled to for services rendered by her as per Section 23(7) of the Insolvency Act.  According to Section 3 of the General Pensions Act 29 of 1979 also state that pension is protected and will not form part of the assets if an estate is sequestrated.</w:t>
      </w:r>
    </w:p>
    <w:p w14:paraId="224EC846" w14:textId="7069D923" w:rsidR="00FD3D72" w:rsidRPr="00CC2E46" w:rsidRDefault="00FD3D72" w:rsidP="00CC2E46">
      <w:pPr>
        <w:rPr>
          <w:color w:val="808080" w:themeColor="background1" w:themeShade="80"/>
        </w:rPr>
      </w:pPr>
      <w:r>
        <w:rPr>
          <w:color w:val="808080" w:themeColor="background1" w:themeShade="80"/>
        </w:rPr>
        <w:t>However, if this pension was paid before sequestration it will not be protected and it will form part of the insolvent’s estate.</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44C4EDB3" w14:textId="77777777" w:rsidR="0023778C" w:rsidRDefault="006B1712" w:rsidP="00CC2E46">
      <w:pPr>
        <w:rPr>
          <w:color w:val="808080" w:themeColor="background1" w:themeShade="80"/>
        </w:rPr>
      </w:pPr>
      <w:r>
        <w:rPr>
          <w:color w:val="808080" w:themeColor="background1" w:themeShade="80"/>
        </w:rPr>
        <w:lastRenderedPageBreak/>
        <w:t xml:space="preserve">In terms of Section 63 of the Long-Term Insurance Act 1998 the entire sum of a life insurance policy is protected if that </w:t>
      </w:r>
      <w:r w:rsidR="008F068A">
        <w:rPr>
          <w:color w:val="808080" w:themeColor="background1" w:themeShade="80"/>
        </w:rPr>
        <w:t xml:space="preserve">protected </w:t>
      </w:r>
      <w:r>
        <w:rPr>
          <w:color w:val="808080" w:themeColor="background1" w:themeShade="80"/>
        </w:rPr>
        <w:t xml:space="preserve">person or the spouse of that person is the life insured and </w:t>
      </w:r>
      <w:r w:rsidR="008F068A">
        <w:rPr>
          <w:color w:val="808080" w:themeColor="background1" w:themeShade="80"/>
        </w:rPr>
        <w:t xml:space="preserve">the policy has </w:t>
      </w:r>
      <w:r>
        <w:rPr>
          <w:color w:val="808080" w:themeColor="background1" w:themeShade="80"/>
        </w:rPr>
        <w:t>been in force for at least three years</w:t>
      </w:r>
      <w:r w:rsidR="008F068A">
        <w:rPr>
          <w:color w:val="808080" w:themeColor="background1" w:themeShade="80"/>
        </w:rPr>
        <w:t xml:space="preserve"> and the policy does not serve as security for a debt of the debtor during that person’s lifetime.  Upon the death</w:t>
      </w:r>
      <w:r w:rsidR="00BD7F3F">
        <w:rPr>
          <w:color w:val="808080" w:themeColor="background1" w:themeShade="80"/>
        </w:rPr>
        <w:t>, if survived by a spouse child, stepchild or parent, not be available for the purpose of payment of his or her debts.</w:t>
      </w:r>
      <w:r w:rsidR="0023778C">
        <w:rPr>
          <w:color w:val="808080" w:themeColor="background1" w:themeShade="80"/>
        </w:rPr>
        <w:t xml:space="preserve">  </w:t>
      </w:r>
      <w:r w:rsidR="008D23BE">
        <w:rPr>
          <w:color w:val="808080" w:themeColor="background1" w:themeShade="80"/>
        </w:rPr>
        <w:t xml:space="preserve">If the policy benefits are payable to them as nominated beneficiaries in terms of the relevant policy, section 63 does not apply.  </w:t>
      </w:r>
    </w:p>
    <w:p w14:paraId="0F9B841A" w14:textId="77777777" w:rsidR="0023778C" w:rsidRDefault="0023778C" w:rsidP="00CC2E46">
      <w:pPr>
        <w:rPr>
          <w:color w:val="808080" w:themeColor="background1" w:themeShade="80"/>
        </w:rPr>
      </w:pPr>
    </w:p>
    <w:p w14:paraId="5EC0D4E9" w14:textId="7A9536E8" w:rsidR="008D23BE" w:rsidRDefault="008D23BE" w:rsidP="00CC2E46">
      <w:pPr>
        <w:rPr>
          <w:color w:val="808080" w:themeColor="background1" w:themeShade="80"/>
        </w:rPr>
      </w:pPr>
      <w:r>
        <w:rPr>
          <w:color w:val="808080" w:themeColor="background1" w:themeShade="80"/>
        </w:rPr>
        <w:t xml:space="preserve">In Pieterse v </w:t>
      </w:r>
      <w:proofErr w:type="spellStart"/>
      <w:r>
        <w:rPr>
          <w:color w:val="808080" w:themeColor="background1" w:themeShade="80"/>
        </w:rPr>
        <w:t>Shrosbee</w:t>
      </w:r>
      <w:proofErr w:type="spellEnd"/>
      <w:r>
        <w:rPr>
          <w:color w:val="808080" w:themeColor="background1" w:themeShade="80"/>
        </w:rPr>
        <w:t xml:space="preserve"> NO &amp; Others, as well as </w:t>
      </w:r>
      <w:proofErr w:type="spellStart"/>
      <w:r>
        <w:rPr>
          <w:color w:val="808080" w:themeColor="background1" w:themeShade="80"/>
        </w:rPr>
        <w:t>Shrosbree</w:t>
      </w:r>
      <w:proofErr w:type="spellEnd"/>
      <w:r>
        <w:rPr>
          <w:color w:val="808080" w:themeColor="background1" w:themeShade="80"/>
        </w:rPr>
        <w:t xml:space="preserve"> NO v Love and Others, the Supreme Court of Appeal decided that section 63 of the Lon</w:t>
      </w:r>
      <w:r w:rsidR="00BD7F3F">
        <w:rPr>
          <w:color w:val="808080" w:themeColor="background1" w:themeShade="80"/>
        </w:rPr>
        <w:t>g</w:t>
      </w:r>
      <w:r>
        <w:rPr>
          <w:color w:val="808080" w:themeColor="background1" w:themeShade="80"/>
        </w:rPr>
        <w:t xml:space="preserve">-Term Insurance Act </w:t>
      </w:r>
      <w:r w:rsidR="0023778C">
        <w:rPr>
          <w:color w:val="808080" w:themeColor="background1" w:themeShade="80"/>
        </w:rPr>
        <w:t xml:space="preserve">does not regulate the payment of the proceeds of the insurance policies </w:t>
      </w:r>
      <w:r w:rsidR="00541B06">
        <w:rPr>
          <w:color w:val="808080" w:themeColor="background1" w:themeShade="80"/>
        </w:rPr>
        <w:t>since the appointment of a beneficiary has the effect that payment of the proceeds will be made to the beneficiary and not to the estate of the deceased.</w:t>
      </w:r>
    </w:p>
    <w:p w14:paraId="2FD97250" w14:textId="44032FE5" w:rsidR="00BD7F3F" w:rsidRDefault="00BD7F3F" w:rsidP="00CC2E46">
      <w:pPr>
        <w:rPr>
          <w:color w:val="808080" w:themeColor="background1" w:themeShade="80"/>
        </w:rPr>
      </w:pPr>
    </w:p>
    <w:p w14:paraId="49512CF2" w14:textId="617D667B" w:rsidR="00BD7F3F" w:rsidRDefault="00BD7F3F" w:rsidP="00CC2E46">
      <w:pPr>
        <w:rPr>
          <w:color w:val="808080" w:themeColor="background1" w:themeShade="80"/>
        </w:rPr>
      </w:pPr>
      <w:r>
        <w:rPr>
          <w:color w:val="808080" w:themeColor="background1" w:themeShade="80"/>
        </w:rPr>
        <w:t>Protection shall apply to policy benefits and assets acquired solely with the policy benefits for a period of five years from the date when the policy benefits were provided.</w:t>
      </w:r>
    </w:p>
    <w:p w14:paraId="22D16DD4" w14:textId="576F1C21" w:rsidR="0023778C" w:rsidRDefault="0023778C" w:rsidP="00CC2E46">
      <w:pPr>
        <w:rPr>
          <w:color w:val="808080" w:themeColor="background1" w:themeShade="80"/>
        </w:rPr>
      </w:pPr>
    </w:p>
    <w:p w14:paraId="5C970E14" w14:textId="4198F34C" w:rsidR="0023778C" w:rsidRDefault="0023778C" w:rsidP="00CC2E46">
      <w:pPr>
        <w:rPr>
          <w:color w:val="808080" w:themeColor="background1" w:themeShade="80"/>
        </w:rPr>
      </w:pPr>
      <w:r>
        <w:rPr>
          <w:color w:val="808080" w:themeColor="background1" w:themeShade="80"/>
        </w:rPr>
        <w:t>The onus is on the person claiming protection to prove on a balance of probabilities that the protection is afforded to him or her under this section (Section 63)</w:t>
      </w:r>
      <w:r w:rsidR="00541B06">
        <w:rPr>
          <w:color w:val="808080" w:themeColor="background1" w:themeShade="80"/>
        </w:rPr>
        <w:t>.</w:t>
      </w:r>
    </w:p>
    <w:p w14:paraId="23BA802E" w14:textId="44D428D2" w:rsidR="00541B06" w:rsidRDefault="00541B06" w:rsidP="00CC2E46">
      <w:pPr>
        <w:rPr>
          <w:color w:val="808080" w:themeColor="background1" w:themeShade="80"/>
        </w:rPr>
      </w:pPr>
    </w:p>
    <w:p w14:paraId="1A2EDE67" w14:textId="56A3CC49" w:rsidR="00541B06" w:rsidRDefault="00541B06" w:rsidP="00CC2E46">
      <w:pPr>
        <w:rPr>
          <w:color w:val="808080" w:themeColor="background1" w:themeShade="80"/>
        </w:rPr>
      </w:pPr>
      <w:r>
        <w:rPr>
          <w:color w:val="808080" w:themeColor="background1" w:themeShade="80"/>
        </w:rPr>
        <w:t>Policy benefits will also not be protected if it can be shown that the policy was taken out with the intention to defraud creditors.</w:t>
      </w:r>
    </w:p>
    <w:p w14:paraId="0C8EC1DF" w14:textId="5BB03FE8" w:rsidR="0023778C" w:rsidRDefault="0023778C" w:rsidP="00CC2E46">
      <w:pPr>
        <w:rPr>
          <w:color w:val="808080" w:themeColor="background1" w:themeShade="80"/>
        </w:rPr>
      </w:pPr>
    </w:p>
    <w:p w14:paraId="13909474" w14:textId="77777777" w:rsidR="0023778C" w:rsidRPr="00CC2E46" w:rsidRDefault="0023778C" w:rsidP="00CC2E46">
      <w:pPr>
        <w:rPr>
          <w:color w:val="808080" w:themeColor="background1" w:themeShade="80"/>
        </w:rPr>
      </w:pP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460196F" w14:textId="51ED2D35" w:rsidR="00CC2E46" w:rsidRDefault="00A80928" w:rsidP="00CC2E46">
      <w:pPr>
        <w:rPr>
          <w:color w:val="808080" w:themeColor="background1" w:themeShade="80"/>
        </w:rPr>
      </w:pPr>
      <w:r>
        <w:rPr>
          <w:color w:val="808080" w:themeColor="background1" w:themeShade="80"/>
        </w:rPr>
        <w:t>Section 20(1)(c) of the Insolvency Act provides that the execution of a judgment is stayed as soon as the sheriff concerned becomes aware of the sequestration unless the court directs otherwise.  The court may however order that the execution continue if this is expedient and the general body of creditors will not be prejudiced. The proceeds must be paid to the Master or the trustee.</w:t>
      </w:r>
    </w:p>
    <w:p w14:paraId="12EC1CE7" w14:textId="071D8ACF" w:rsidR="00A80928" w:rsidRDefault="00A80928" w:rsidP="00CC2E46">
      <w:pPr>
        <w:rPr>
          <w:color w:val="808080" w:themeColor="background1" w:themeShade="80"/>
        </w:rPr>
      </w:pPr>
    </w:p>
    <w:p w14:paraId="1362E638" w14:textId="62D32554" w:rsidR="00A80928" w:rsidRDefault="00A80928" w:rsidP="00CC2E46">
      <w:pPr>
        <w:rPr>
          <w:color w:val="808080" w:themeColor="background1" w:themeShade="80"/>
        </w:rPr>
      </w:pPr>
      <w:r>
        <w:rPr>
          <w:color w:val="808080" w:themeColor="background1" w:themeShade="80"/>
        </w:rPr>
        <w:t>Section 20(1)(b) of the Insolvency Act provides that any civil proceedings instituted against or by the insolvent are stayed</w:t>
      </w:r>
      <w:r w:rsidR="00343273">
        <w:rPr>
          <w:color w:val="808080" w:themeColor="background1" w:themeShade="80"/>
        </w:rPr>
        <w:t xml:space="preserve"> until a trustee is appointed</w:t>
      </w:r>
      <w:r>
        <w:rPr>
          <w:color w:val="808080" w:themeColor="background1" w:themeShade="80"/>
        </w:rPr>
        <w:t xml:space="preserve">, expect proceedings in terms of Section 23 where it is instituted by the insolvent for his own benefit or may be instituted against the insolvent.  Exceptions refer to </w:t>
      </w:r>
      <w:r w:rsidR="00343273">
        <w:rPr>
          <w:color w:val="808080" w:themeColor="background1" w:themeShade="80"/>
        </w:rPr>
        <w:t>proceedings not affecting the insolvent estate, such as relating to status or assets that do not form part of the insolvent estate.</w:t>
      </w:r>
    </w:p>
    <w:p w14:paraId="594BE9F8" w14:textId="505BC2DB" w:rsidR="00343273" w:rsidRDefault="00343273" w:rsidP="00CC2E46">
      <w:pPr>
        <w:rPr>
          <w:color w:val="808080" w:themeColor="background1" w:themeShade="80"/>
        </w:rPr>
      </w:pPr>
    </w:p>
    <w:p w14:paraId="6B4F3DBF" w14:textId="620A567E" w:rsidR="00343273" w:rsidRPr="00CC2E46" w:rsidRDefault="00343273" w:rsidP="00CC2E46">
      <w:pPr>
        <w:rPr>
          <w:color w:val="808080" w:themeColor="background1" w:themeShade="80"/>
        </w:rPr>
      </w:pPr>
      <w:r>
        <w:rPr>
          <w:color w:val="808080" w:themeColor="background1" w:themeShade="80"/>
        </w:rPr>
        <w:t>Section 75 of the Insolvency Act provides that any civil proceedings instituted before sequestration shall lapse after a period of three weeks after the first meeting of creditors, unless the person who instituted the proceedings has given notice within that period to the trustee or the Master that he intends to continue the proceedings and after three weeks of the notice prosecute those proceedings with reasonable expedition.  If the court is of the opinion that there was a reasonable excuse for such failure as to when notice was not given, the court may permit the continuation of the proceedings on such conditions as it may think fit.</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lastRenderedPageBreak/>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682327F4" w14:textId="267DC4F5" w:rsidR="00CC2E46" w:rsidRDefault="00461260" w:rsidP="00CC2E46">
      <w:pPr>
        <w:rPr>
          <w:color w:val="808080" w:themeColor="background1" w:themeShade="80"/>
        </w:rPr>
      </w:pPr>
      <w:r>
        <w:rPr>
          <w:color w:val="808080" w:themeColor="background1" w:themeShade="80"/>
        </w:rPr>
        <w:t xml:space="preserve">Section 143 of the Companies Act deals with the remuneration of the business rescue practitioner.  As per Section 143(1) the practitioner is entitled to charge an amount to the company in accordance with the tariff prescribed in terms of Section 143(6).  </w:t>
      </w:r>
      <w:proofErr w:type="spellStart"/>
      <w:r>
        <w:rPr>
          <w:color w:val="808080" w:themeColor="background1" w:themeShade="80"/>
        </w:rPr>
        <w:t>I.t.o</w:t>
      </w:r>
      <w:proofErr w:type="spellEnd"/>
      <w:r>
        <w:rPr>
          <w:color w:val="808080" w:themeColor="background1" w:themeShade="80"/>
        </w:rPr>
        <w:t>. Section 143(2) the practitioner may propose an agreement with the company for further remuneration, additional to that in section 143(1), to be calculated on basis of a contingency related to the adoption of a business rescue plan at all, or within a particular time or the inclusion of any particular matter within such a plan; or the attainment of any particular result or combination of results relating to the business proceedings.</w:t>
      </w:r>
    </w:p>
    <w:p w14:paraId="41F9B628" w14:textId="23CDFD7E" w:rsidR="00461260" w:rsidRDefault="00461260" w:rsidP="00CC2E46">
      <w:pPr>
        <w:rPr>
          <w:color w:val="808080" w:themeColor="background1" w:themeShade="80"/>
        </w:rPr>
      </w:pPr>
    </w:p>
    <w:p w14:paraId="30827FE6" w14:textId="269D9E82" w:rsidR="00461260" w:rsidRDefault="00461260" w:rsidP="00CC2E46">
      <w:pPr>
        <w:rPr>
          <w:color w:val="808080" w:themeColor="background1" w:themeShade="80"/>
        </w:rPr>
      </w:pPr>
      <w:r>
        <w:rPr>
          <w:color w:val="808080" w:themeColor="background1" w:themeShade="80"/>
        </w:rPr>
        <w:t>This section, section 143(3) requires an agreement to be approved at a meeting called for the purpose of considering the proposed agreement and without the approval at a meeting called for this purpose such a fee is invalid.</w:t>
      </w:r>
    </w:p>
    <w:p w14:paraId="07D699A7" w14:textId="4ED14687" w:rsidR="00940C68" w:rsidRDefault="00940C68" w:rsidP="00CC2E46">
      <w:pPr>
        <w:rPr>
          <w:color w:val="808080" w:themeColor="background1" w:themeShade="80"/>
        </w:rPr>
      </w:pPr>
    </w:p>
    <w:p w14:paraId="4D8B7EFC" w14:textId="5609E3C0" w:rsidR="00940C68" w:rsidRDefault="00940C68" w:rsidP="00CC2E46">
      <w:pPr>
        <w:rPr>
          <w:color w:val="808080" w:themeColor="background1" w:themeShade="80"/>
        </w:rPr>
      </w:pPr>
      <w:r>
        <w:rPr>
          <w:color w:val="808080" w:themeColor="background1" w:themeShade="80"/>
        </w:rPr>
        <w:t>Once an application for winding-up is presented to court, the company is precluded from making payments to third parties, including the business rescue practitioner and any disposition made in such circumstances will be void unless otherwise ordered by the court.</w:t>
      </w:r>
    </w:p>
    <w:p w14:paraId="5473207B" w14:textId="5FB1DF74" w:rsidR="00940C68" w:rsidRDefault="00940C68" w:rsidP="00CC2E46">
      <w:pPr>
        <w:rPr>
          <w:color w:val="808080" w:themeColor="background1" w:themeShade="80"/>
        </w:rPr>
      </w:pPr>
    </w:p>
    <w:p w14:paraId="45D65E00" w14:textId="12DFDA5C" w:rsidR="00940C68" w:rsidRDefault="00940C68" w:rsidP="00CC2E46">
      <w:pPr>
        <w:rPr>
          <w:color w:val="808080" w:themeColor="background1" w:themeShade="80"/>
        </w:rPr>
      </w:pPr>
      <w:r>
        <w:rPr>
          <w:color w:val="808080" w:themeColor="background1" w:themeShade="80"/>
        </w:rPr>
        <w:t xml:space="preserve">The Supreme Court of Appeal held in </w:t>
      </w:r>
      <w:proofErr w:type="spellStart"/>
      <w:r>
        <w:rPr>
          <w:color w:val="808080" w:themeColor="background1" w:themeShade="80"/>
        </w:rPr>
        <w:t>Caratco</w:t>
      </w:r>
      <w:proofErr w:type="spellEnd"/>
      <w:r>
        <w:rPr>
          <w:color w:val="808080" w:themeColor="background1" w:themeShade="80"/>
        </w:rPr>
        <w:t xml:space="preserve"> (Pty) Ltd v Independent Advisory (Pty) Ltd that section 143 only applies to the remuneration of business rescue practitioners by the company under business rescue and does not deal with fee arrangements concluded between practitioners and third parties.  It further held that there is nothing in section 143 that suggests that an agreement </w:t>
      </w:r>
      <w:r w:rsidR="008C0B83">
        <w:rPr>
          <w:color w:val="808080" w:themeColor="background1" w:themeShade="80"/>
        </w:rPr>
        <w:t xml:space="preserve">not falling within its ambit is void.  The court noted that the Companies Act 2008 does not penalize the conclusion of remuneration agreements with third parties and does not contain language entitling a court to draw an inference that the legislature intended to invalidate such fee agreements.  </w:t>
      </w:r>
    </w:p>
    <w:p w14:paraId="30C8C454" w14:textId="21209A3E" w:rsidR="008C0B83" w:rsidRDefault="008C0B83" w:rsidP="00CC2E46">
      <w:pPr>
        <w:rPr>
          <w:color w:val="808080" w:themeColor="background1" w:themeShade="80"/>
        </w:rPr>
      </w:pPr>
    </w:p>
    <w:p w14:paraId="7AC9FA30" w14:textId="79E6350C" w:rsidR="008C0B83" w:rsidRDefault="008C0B83" w:rsidP="00CC2E46">
      <w:pPr>
        <w:rPr>
          <w:color w:val="808080" w:themeColor="background1" w:themeShade="80"/>
        </w:rPr>
      </w:pPr>
      <w:r>
        <w:rPr>
          <w:color w:val="808080" w:themeColor="background1" w:themeShade="80"/>
        </w:rPr>
        <w:t>Accordingly the Supreme Court of Appeal held that remuneration agreements, or so-called success fee or special fee agreements, concluded between business rescue practitioners and third-parties outside the ambit of section 143 are neither prohibited, illegal, nor contrary to public policy.</w:t>
      </w:r>
    </w:p>
    <w:p w14:paraId="0F8E0998" w14:textId="77777777" w:rsidR="008C0B83" w:rsidRPr="00CC2E46" w:rsidRDefault="008C0B83" w:rsidP="00CC2E46">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25569B6B" w:rsidR="00CC2E46" w:rsidRPr="00CC2E46" w:rsidRDefault="00AA3845" w:rsidP="00CC2E46">
      <w:pPr>
        <w:rPr>
          <w:color w:val="808080" w:themeColor="background1" w:themeShade="80"/>
        </w:rPr>
      </w:pPr>
      <w:r>
        <w:rPr>
          <w:color w:val="808080" w:themeColor="background1" w:themeShade="80"/>
        </w:rPr>
        <w:t>Insolvency Act treats the estates of a partnership and the partners as separate entities.</w:t>
      </w:r>
      <w:r w:rsidR="00EF613F">
        <w:rPr>
          <w:color w:val="808080" w:themeColor="background1" w:themeShade="80"/>
        </w:rPr>
        <w:t xml:space="preserve">  The sequestration of one of the partners will not sequestrate the partnership or the estates of the other partners, but it will dissolve the partnership or the partnership will terminate and it will be wound-up.  The assets from the winding-up of the partnership will be divided amongst the partners, either in terms of an agreement or the common law, and the assets due to the partner who is insolvent will vest in the trustee of the insolvent partner’s estate.</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w:t>
      </w:r>
      <w:r w:rsidRPr="00715982">
        <w:rPr>
          <w:lang w:val="en-GB"/>
        </w:rPr>
        <w:lastRenderedPageBreak/>
        <w:t>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D96A71C" w14:textId="77777777" w:rsidR="00204DE7" w:rsidRDefault="00204DE7" w:rsidP="00CC2E46">
      <w:pPr>
        <w:rPr>
          <w:color w:val="808080" w:themeColor="background1" w:themeShade="80"/>
        </w:rPr>
      </w:pPr>
      <w:r>
        <w:rPr>
          <w:color w:val="808080" w:themeColor="background1" w:themeShade="80"/>
        </w:rPr>
        <w:t xml:space="preserve">Section 22 of Matrimonial Property Act legalized the donations between spouses.  </w:t>
      </w:r>
      <w:r w:rsidR="006C2A34">
        <w:rPr>
          <w:color w:val="808080" w:themeColor="background1" w:themeShade="80"/>
        </w:rPr>
        <w:t>If considered that the civil union entered stipulated provisions to be out of community of property</w:t>
      </w:r>
      <w:r w:rsidR="004E57D4">
        <w:rPr>
          <w:color w:val="808080" w:themeColor="background1" w:themeShade="80"/>
        </w:rPr>
        <w:t xml:space="preserve"> the solvent spouse’s property (</w:t>
      </w:r>
      <w:proofErr w:type="spellStart"/>
      <w:r w:rsidR="004E57D4">
        <w:rPr>
          <w:color w:val="808080" w:themeColor="background1" w:themeShade="80"/>
        </w:rPr>
        <w:t>Mr</w:t>
      </w:r>
      <w:proofErr w:type="spellEnd"/>
      <w:r w:rsidR="004E57D4">
        <w:rPr>
          <w:color w:val="808080" w:themeColor="background1" w:themeShade="80"/>
        </w:rPr>
        <w:t xml:space="preserve"> Y) will vest in the insolvent estate as dealt with in Section 21 of the Insolvency Act. </w:t>
      </w:r>
      <w:proofErr w:type="spellStart"/>
      <w:r w:rsidR="004E57D4">
        <w:rPr>
          <w:color w:val="808080" w:themeColor="background1" w:themeShade="80"/>
        </w:rPr>
        <w:t>Mr</w:t>
      </w:r>
      <w:proofErr w:type="spellEnd"/>
      <w:r w:rsidR="004E57D4">
        <w:rPr>
          <w:color w:val="808080" w:themeColor="background1" w:themeShade="80"/>
        </w:rPr>
        <w:t xml:space="preserve"> Y will have to prove that he is entitled to the property in terms of Section 21(2) and the trustee can only release the property if it was acquired during the marriage by a title valid against creditors. </w:t>
      </w:r>
      <w:r>
        <w:rPr>
          <w:color w:val="808080" w:themeColor="background1" w:themeShade="80"/>
        </w:rPr>
        <w:t>It has to be a valid and a real donation and cannot be a donation designed to defeat the rights of creditors.</w:t>
      </w:r>
    </w:p>
    <w:p w14:paraId="369A9441" w14:textId="77777777" w:rsidR="00204DE7" w:rsidRDefault="00204DE7" w:rsidP="00CC2E46">
      <w:pPr>
        <w:rPr>
          <w:color w:val="808080" w:themeColor="background1" w:themeShade="80"/>
        </w:rPr>
      </w:pPr>
    </w:p>
    <w:p w14:paraId="57BF192F" w14:textId="341508B5" w:rsidR="004E57D4" w:rsidRDefault="004E57D4" w:rsidP="00CC2E46">
      <w:pPr>
        <w:rPr>
          <w:color w:val="808080" w:themeColor="background1" w:themeShade="80"/>
        </w:rPr>
      </w:pPr>
      <w:r>
        <w:rPr>
          <w:color w:val="808080" w:themeColor="background1" w:themeShade="80"/>
        </w:rPr>
        <w:t xml:space="preserve">The immovable property was transferred to </w:t>
      </w:r>
      <w:proofErr w:type="spellStart"/>
      <w:r>
        <w:rPr>
          <w:color w:val="808080" w:themeColor="background1" w:themeShade="80"/>
        </w:rPr>
        <w:t>Mr</w:t>
      </w:r>
      <w:proofErr w:type="spellEnd"/>
      <w:r>
        <w:rPr>
          <w:color w:val="808080" w:themeColor="background1" w:themeShade="80"/>
        </w:rPr>
        <w:t xml:space="preserve"> Y and was registered in the Deeds Office.  </w:t>
      </w:r>
      <w:r w:rsidR="00204DE7">
        <w:rPr>
          <w:color w:val="808080" w:themeColor="background1" w:themeShade="80"/>
        </w:rPr>
        <w:t xml:space="preserve">The donation of the immovable property to </w:t>
      </w:r>
      <w:proofErr w:type="spellStart"/>
      <w:r w:rsidR="00204DE7">
        <w:rPr>
          <w:color w:val="808080" w:themeColor="background1" w:themeShade="80"/>
        </w:rPr>
        <w:t>Mr</w:t>
      </w:r>
      <w:proofErr w:type="spellEnd"/>
      <w:r w:rsidR="00204DE7">
        <w:rPr>
          <w:color w:val="808080" w:themeColor="background1" w:themeShade="80"/>
        </w:rPr>
        <w:t xml:space="preserve"> Y appears to be a real donation and can therefore be released.</w:t>
      </w:r>
    </w:p>
    <w:p w14:paraId="25FBCCFD" w14:textId="47F3D974" w:rsidR="00204DE7" w:rsidRDefault="00204DE7" w:rsidP="00CC2E46">
      <w:pPr>
        <w:rPr>
          <w:color w:val="808080" w:themeColor="background1" w:themeShade="80"/>
        </w:rPr>
      </w:pPr>
    </w:p>
    <w:p w14:paraId="55FE95A1" w14:textId="77777777" w:rsidR="00EC1C5F" w:rsidRDefault="00204DE7" w:rsidP="00EC1C5F">
      <w:pPr>
        <w:rPr>
          <w:color w:val="808080" w:themeColor="background1" w:themeShade="80"/>
        </w:rPr>
      </w:pPr>
      <w:r>
        <w:rPr>
          <w:color w:val="808080" w:themeColor="background1" w:themeShade="80"/>
        </w:rPr>
        <w:t>The trustee can still challenge</w:t>
      </w:r>
      <w:r w:rsidR="00EC1C5F">
        <w:rPr>
          <w:color w:val="808080" w:themeColor="background1" w:themeShade="80"/>
        </w:rPr>
        <w:t xml:space="preserve"> this real donation in terms of Section 26 of the Insolvency Act or in terms of the action </w:t>
      </w:r>
      <w:proofErr w:type="spellStart"/>
      <w:r w:rsidR="00EC1C5F">
        <w:rPr>
          <w:color w:val="808080" w:themeColor="background1" w:themeShade="80"/>
        </w:rPr>
        <w:t>Pauliana</w:t>
      </w:r>
      <w:proofErr w:type="spellEnd"/>
      <w:r w:rsidR="00EC1C5F">
        <w:rPr>
          <w:color w:val="808080" w:themeColor="background1" w:themeShade="80"/>
        </w:rPr>
        <w:t xml:space="preserve"> provided that the invalidity of donations between spouses not relied upon.  </w:t>
      </w:r>
      <w:r w:rsidR="00EC1C5F">
        <w:rPr>
          <w:color w:val="808080" w:themeColor="background1" w:themeShade="80"/>
        </w:rPr>
        <w:t xml:space="preserve">In the case of the immovable property the disposition was made more than two years before sequestration and this can only be set aside if the trustee can prove that immediately after the disposition the liabilities of the insolvent exceeded his assets. (Section 26(1)(a) of the Insolvency Act).  </w:t>
      </w:r>
    </w:p>
    <w:p w14:paraId="0A4DAED1" w14:textId="19A1EA84" w:rsidR="004E57D4" w:rsidRDefault="004E57D4" w:rsidP="00CC2E46">
      <w:pPr>
        <w:rPr>
          <w:color w:val="808080" w:themeColor="background1" w:themeShade="80"/>
        </w:rPr>
      </w:pPr>
    </w:p>
    <w:p w14:paraId="73AE8F1C" w14:textId="77777777" w:rsidR="00EC1C5F" w:rsidRDefault="00EC1C5F" w:rsidP="00CC2E46">
      <w:pPr>
        <w:rPr>
          <w:color w:val="808080" w:themeColor="background1" w:themeShade="80"/>
        </w:rPr>
      </w:pPr>
    </w:p>
    <w:p w14:paraId="480F8425" w14:textId="648960F4" w:rsidR="00CC2E46" w:rsidRDefault="00C8146F" w:rsidP="00CC2E46">
      <w:pPr>
        <w:rPr>
          <w:color w:val="808080" w:themeColor="background1" w:themeShade="80"/>
        </w:rPr>
      </w:pPr>
      <w:r>
        <w:rPr>
          <w:color w:val="808080" w:themeColor="background1" w:themeShade="80"/>
        </w:rPr>
        <w:t>The Land Rover Defender will fall into the insolvent’s estate</w:t>
      </w:r>
      <w:r w:rsidR="00EC1C5F">
        <w:rPr>
          <w:color w:val="808080" w:themeColor="background1" w:themeShade="80"/>
        </w:rPr>
        <w:t xml:space="preserve">, it cannot constitute a real donation as it was shortly before the sequestration of </w:t>
      </w:r>
      <w:proofErr w:type="spellStart"/>
      <w:r w:rsidR="00EC1C5F">
        <w:rPr>
          <w:color w:val="808080" w:themeColor="background1" w:themeShade="80"/>
        </w:rPr>
        <w:t>Mr</w:t>
      </w:r>
      <w:proofErr w:type="spellEnd"/>
      <w:r w:rsidR="00EC1C5F">
        <w:rPr>
          <w:color w:val="808080" w:themeColor="background1" w:themeShade="80"/>
        </w:rPr>
        <w:t xml:space="preserve"> X and cannot be released.  This disposition is a dispo</w:t>
      </w:r>
      <w:r>
        <w:rPr>
          <w:color w:val="808080" w:themeColor="background1" w:themeShade="80"/>
        </w:rPr>
        <w:t>sition made without value and may be set aside. The disposition was made within two years of the sequestration (two months before), unless it can be proved that immediately after the disposition was made the assets of the insolvent exceeded his liabilities. (Section 26(1)(b) of the Insolvency Act)</w:t>
      </w:r>
    </w:p>
    <w:p w14:paraId="542721E4" w14:textId="7C4C19CA" w:rsidR="00C8146F" w:rsidRDefault="00C8146F" w:rsidP="00CC2E46">
      <w:pPr>
        <w:rPr>
          <w:color w:val="808080" w:themeColor="background1" w:themeShade="80"/>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3611EF16" w:rsidR="00CC2E46" w:rsidRDefault="003322CE" w:rsidP="00CC2E46">
      <w:pPr>
        <w:rPr>
          <w:color w:val="808080" w:themeColor="background1" w:themeShade="80"/>
        </w:rPr>
      </w:pPr>
      <w:r>
        <w:rPr>
          <w:color w:val="808080" w:themeColor="background1" w:themeShade="80"/>
        </w:rPr>
        <w:t>In terms of Section 21(13) the word “spouse” has an extended meaning and includes a wife or husband married according to any law or custom as well as persons living together as husband and wife, though not legally married.  The Civil Union Act legalized civil unions between same-sex partners which now has the same legal consequences as any marriage in any other law.  “Spouse” therefore includes a “civil union partner” in terms of the Civil Union Act</w:t>
      </w:r>
      <w:r w:rsidR="009001DE">
        <w:rPr>
          <w:color w:val="808080" w:themeColor="background1" w:themeShade="80"/>
        </w:rPr>
        <w:t xml:space="preserve">.  </w:t>
      </w:r>
      <w:proofErr w:type="spellStart"/>
      <w:r w:rsidR="009001DE">
        <w:rPr>
          <w:color w:val="808080" w:themeColor="background1" w:themeShade="80"/>
        </w:rPr>
        <w:t>Mr</w:t>
      </w:r>
      <w:proofErr w:type="spellEnd"/>
      <w:r w:rsidR="009001DE">
        <w:rPr>
          <w:color w:val="808080" w:themeColor="background1" w:themeShade="80"/>
        </w:rPr>
        <w:t xml:space="preserve"> Y will qualify as a spouse in terms of Section 21 and are therefore subject to the provisions thereof.</w:t>
      </w:r>
    </w:p>
    <w:p w14:paraId="690DED4A" w14:textId="565528F7" w:rsidR="006C2A34" w:rsidRDefault="006C2A34" w:rsidP="00CC2E46">
      <w:pPr>
        <w:rPr>
          <w:color w:val="808080" w:themeColor="background1" w:themeShade="80"/>
        </w:rPr>
      </w:pPr>
    </w:p>
    <w:p w14:paraId="1C1179F4" w14:textId="3832ABDC" w:rsidR="006C2A34" w:rsidRPr="00CC2E46" w:rsidRDefault="006C2A34" w:rsidP="00CC2E46">
      <w:pPr>
        <w:rPr>
          <w:color w:val="808080" w:themeColor="background1" w:themeShade="80"/>
        </w:rPr>
      </w:pPr>
      <w:r>
        <w:rPr>
          <w:color w:val="808080" w:themeColor="background1" w:themeShade="80"/>
        </w:rPr>
        <w:t>However, due to their civil union not stipulating otherwise it will be assumed that it is a union in community of property.  Section 21 can only apply where there is a solvent spouse.  Due to marriage in community of property the joint estate of spouses is sequestrated and Section 21 cannot apply.</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3F25C409" w:rsidR="00CC2E46" w:rsidRPr="00CC2E46" w:rsidRDefault="00502A38" w:rsidP="00CC2E46">
      <w:pPr>
        <w:rPr>
          <w:color w:val="808080" w:themeColor="background1" w:themeShade="80"/>
        </w:rPr>
      </w:pPr>
      <w:r>
        <w:rPr>
          <w:color w:val="808080" w:themeColor="background1" w:themeShade="80"/>
        </w:rPr>
        <w:t>The contract of employment will be suspended.  During the time of the suspension he will not be required to work but will also not be remunerated.  In terms of the Unemployment Insurance Act Thabo will be entitled to unemployment benefits.  His contract of employment may be terminated if the liquidator consults with employee representatives on measures to save the business or part there</w:t>
      </w:r>
      <w:r w:rsidR="00C22420">
        <w:rPr>
          <w:color w:val="808080" w:themeColor="background1" w:themeShade="80"/>
        </w:rPr>
        <w:t>of.  His contract may be terminated 45 days after the appointment of the liquidator if no agreement is reached on continued employment.</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7506F3F6" w14:textId="26760DE0" w:rsidR="00BD68CA" w:rsidRDefault="00BD68CA" w:rsidP="00CC2E46">
      <w:pPr>
        <w:rPr>
          <w:color w:val="808080" w:themeColor="background1" w:themeShade="80"/>
        </w:rPr>
      </w:pPr>
      <w:r>
        <w:rPr>
          <w:color w:val="808080" w:themeColor="background1" w:themeShade="80"/>
        </w:rPr>
        <w:t>Thabo has not been paid for the months of February, March and April 2022, thus 3 months salary not paid.</w:t>
      </w:r>
    </w:p>
    <w:p w14:paraId="19FF0C2A" w14:textId="77777777" w:rsidR="00BD68CA" w:rsidRDefault="00BD68CA" w:rsidP="00CC2E46">
      <w:pPr>
        <w:rPr>
          <w:color w:val="808080" w:themeColor="background1" w:themeShade="80"/>
        </w:rPr>
      </w:pPr>
    </w:p>
    <w:p w14:paraId="03ED9A21" w14:textId="0D905484" w:rsidR="00CC2E46" w:rsidRDefault="00BD68CA" w:rsidP="00CC2E46">
      <w:pPr>
        <w:rPr>
          <w:color w:val="808080" w:themeColor="background1" w:themeShade="80"/>
        </w:rPr>
      </w:pPr>
      <w:r>
        <w:rPr>
          <w:color w:val="808080" w:themeColor="background1" w:themeShade="80"/>
        </w:rPr>
        <w:t>Thabo will have a claim for the following:</w:t>
      </w:r>
    </w:p>
    <w:p w14:paraId="6E2FF455" w14:textId="40BD5817" w:rsidR="00BD68CA" w:rsidRDefault="00BD68CA" w:rsidP="00CC2E46">
      <w:pPr>
        <w:rPr>
          <w:color w:val="808080" w:themeColor="background1" w:themeShade="80"/>
        </w:rPr>
      </w:pPr>
    </w:p>
    <w:p w14:paraId="7BE4F339" w14:textId="7FB76B99" w:rsidR="00BD68CA" w:rsidRDefault="00BD68CA" w:rsidP="00CC2E46">
      <w:pPr>
        <w:rPr>
          <w:color w:val="808080" w:themeColor="background1" w:themeShade="80"/>
        </w:rPr>
      </w:pPr>
      <w:r>
        <w:rPr>
          <w:color w:val="808080" w:themeColor="background1" w:themeShade="80"/>
        </w:rPr>
        <w:t>Salary:  R10 000 x 3 = R30 000 of which R12 000 will be a preferent claim and the remaining R18 000 will be a concurrent claim</w:t>
      </w:r>
      <w:r w:rsidR="00502A38">
        <w:rPr>
          <w:color w:val="808080" w:themeColor="background1" w:themeShade="80"/>
        </w:rPr>
        <w:t xml:space="preserve">. The R12 000 is a statutory preferent claim </w:t>
      </w:r>
      <w:proofErr w:type="spellStart"/>
      <w:r w:rsidR="00502A38">
        <w:rPr>
          <w:color w:val="808080" w:themeColor="background1" w:themeShade="80"/>
        </w:rPr>
        <w:t>i.t.o</w:t>
      </w:r>
      <w:proofErr w:type="spellEnd"/>
      <w:r w:rsidR="00502A38">
        <w:rPr>
          <w:color w:val="808080" w:themeColor="background1" w:themeShade="80"/>
        </w:rPr>
        <w:t>. Section 98A of the Insolvency Act.</w:t>
      </w:r>
    </w:p>
    <w:p w14:paraId="22B17989" w14:textId="77777777" w:rsidR="00BD68CA" w:rsidRDefault="00BD68CA" w:rsidP="00CC2E46">
      <w:pPr>
        <w:rPr>
          <w:color w:val="808080" w:themeColor="background1" w:themeShade="80"/>
        </w:rPr>
      </w:pPr>
    </w:p>
    <w:p w14:paraId="2E3740AE" w14:textId="1F1D3EC5" w:rsidR="00BD68CA" w:rsidRDefault="00BD68CA" w:rsidP="00CC2E46">
      <w:pPr>
        <w:rPr>
          <w:color w:val="808080" w:themeColor="background1" w:themeShade="80"/>
        </w:rPr>
      </w:pPr>
      <w:r>
        <w:rPr>
          <w:color w:val="808080" w:themeColor="background1" w:themeShade="80"/>
        </w:rPr>
        <w:t>Leave Pay in amount of R3 500 (Preferent claim) (can claim to max of R4 000)</w:t>
      </w:r>
      <w:r w:rsidR="00502A38">
        <w:rPr>
          <w:color w:val="808080" w:themeColor="background1" w:themeShade="80"/>
        </w:rPr>
        <w:t xml:space="preserve"> </w:t>
      </w:r>
      <w:proofErr w:type="spellStart"/>
      <w:r w:rsidR="00502A38">
        <w:rPr>
          <w:color w:val="808080" w:themeColor="background1" w:themeShade="80"/>
        </w:rPr>
        <w:t>i.t.o</w:t>
      </w:r>
      <w:proofErr w:type="spellEnd"/>
      <w:r w:rsidR="00502A38">
        <w:rPr>
          <w:color w:val="808080" w:themeColor="background1" w:themeShade="80"/>
        </w:rPr>
        <w:t>. Section 98A of the Insolvency Act.</w:t>
      </w:r>
    </w:p>
    <w:p w14:paraId="66C2A5E8" w14:textId="546392B7" w:rsidR="00BD68CA" w:rsidRDefault="00BD68CA" w:rsidP="00CC2E46">
      <w:pPr>
        <w:rPr>
          <w:color w:val="808080" w:themeColor="background1" w:themeShade="80"/>
        </w:rPr>
      </w:pPr>
    </w:p>
    <w:p w14:paraId="0B0063BB" w14:textId="7966145D" w:rsidR="00BD68CA" w:rsidRPr="00CC2E46" w:rsidRDefault="00502A38" w:rsidP="00CC2E46">
      <w:pPr>
        <w:rPr>
          <w:color w:val="808080" w:themeColor="background1" w:themeShade="80"/>
        </w:rPr>
      </w:pPr>
      <w:r>
        <w:rPr>
          <w:color w:val="808080" w:themeColor="background1" w:themeShade="80"/>
        </w:rPr>
        <w:t>If the contract of employment is terminated h</w:t>
      </w:r>
      <w:r w:rsidR="00BD68CA">
        <w:rPr>
          <w:color w:val="808080" w:themeColor="background1" w:themeShade="80"/>
        </w:rPr>
        <w:t xml:space="preserve">e will also be entitled to </w:t>
      </w:r>
      <w:r>
        <w:rPr>
          <w:color w:val="808080" w:themeColor="background1" w:themeShade="80"/>
        </w:rPr>
        <w:t xml:space="preserve">severance benefits </w:t>
      </w:r>
      <w:proofErr w:type="spellStart"/>
      <w:r>
        <w:rPr>
          <w:color w:val="808080" w:themeColor="background1" w:themeShade="80"/>
        </w:rPr>
        <w:t>i.t.o</w:t>
      </w:r>
      <w:proofErr w:type="spellEnd"/>
      <w:r>
        <w:rPr>
          <w:color w:val="808080" w:themeColor="background1" w:themeShade="80"/>
        </w:rPr>
        <w:t xml:space="preserve">. Section 38 read with Section 98A of the Insolvency Act as well as </w:t>
      </w:r>
      <w:r w:rsidR="00BD68CA">
        <w:rPr>
          <w:color w:val="808080" w:themeColor="background1" w:themeShade="80"/>
        </w:rPr>
        <w:t>a concurrent claim as far as he might have suffered damages due to the premature termination of the contract</w:t>
      </w:r>
      <w:r>
        <w:rPr>
          <w:color w:val="808080" w:themeColor="background1" w:themeShade="80"/>
        </w:rPr>
        <w:t>.</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w:t>
      </w:r>
      <w:r w:rsidRPr="009143EA">
        <w:rPr>
          <w:rFonts w:ascii="Avenir Next" w:hAnsi="Avenir Next" w:cs="Times New Roman"/>
        </w:rPr>
        <w:lastRenderedPageBreak/>
        <w:t xml:space="preserve">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198519C5" w14:textId="3D675463" w:rsidR="00731051" w:rsidRDefault="00731051" w:rsidP="00731051">
      <w:pPr>
        <w:rPr>
          <w:color w:val="808080" w:themeColor="background1" w:themeShade="80"/>
        </w:rPr>
      </w:pPr>
      <w:r>
        <w:rPr>
          <w:color w:val="808080" w:themeColor="background1" w:themeShade="80"/>
        </w:rPr>
        <w:t>The trustee must prove the following requirements in terms of Section 29 of the Insolvency Act in order to have a disposition set aside as a voidable preference:</w:t>
      </w:r>
    </w:p>
    <w:p w14:paraId="401D2412" w14:textId="38FD92AB" w:rsidR="008154B9" w:rsidRDefault="008154B9" w:rsidP="00731051">
      <w:pPr>
        <w:rPr>
          <w:color w:val="808080" w:themeColor="background1" w:themeShade="80"/>
        </w:rPr>
      </w:pPr>
    </w:p>
    <w:p w14:paraId="72F07293" w14:textId="309A5D31" w:rsidR="008154B9" w:rsidRDefault="008154B9" w:rsidP="008154B9">
      <w:pPr>
        <w:rPr>
          <w:color w:val="808080" w:themeColor="background1" w:themeShade="80"/>
        </w:rPr>
      </w:pPr>
      <w:r w:rsidRPr="008154B9">
        <w:rPr>
          <w:color w:val="808080" w:themeColor="background1" w:themeShade="80"/>
        </w:rPr>
        <w:t>1.</w:t>
      </w:r>
      <w:r>
        <w:rPr>
          <w:color w:val="808080" w:themeColor="background1" w:themeShade="80"/>
        </w:rPr>
        <w:t xml:space="preserve"> The disposition was made by the insolvent within six months prior to the sequestration.  In the above matter it was 20 days before sequestration.</w:t>
      </w:r>
    </w:p>
    <w:p w14:paraId="2CF5DF4B" w14:textId="6F840674" w:rsidR="008154B9" w:rsidRDefault="008154B9" w:rsidP="008154B9">
      <w:pPr>
        <w:rPr>
          <w:color w:val="808080" w:themeColor="background1" w:themeShade="80"/>
        </w:rPr>
      </w:pPr>
    </w:p>
    <w:p w14:paraId="36F8718C" w14:textId="6324CF25" w:rsidR="008154B9" w:rsidRDefault="008154B9" w:rsidP="008154B9">
      <w:pPr>
        <w:rPr>
          <w:color w:val="808080" w:themeColor="background1" w:themeShade="80"/>
        </w:rPr>
      </w:pPr>
      <w:r w:rsidRPr="008154B9">
        <w:rPr>
          <w:color w:val="808080" w:themeColor="background1" w:themeShade="80"/>
        </w:rPr>
        <w:t>2.</w:t>
      </w:r>
      <w:r>
        <w:rPr>
          <w:color w:val="808080" w:themeColor="background1" w:themeShade="80"/>
        </w:rPr>
        <w:t xml:space="preserve"> That the effect of the disposition was to prefer one creditor above the others.</w:t>
      </w:r>
    </w:p>
    <w:p w14:paraId="162BAB8A" w14:textId="24609298" w:rsidR="008154B9" w:rsidRDefault="008154B9" w:rsidP="008154B9">
      <w:pPr>
        <w:rPr>
          <w:color w:val="808080" w:themeColor="background1" w:themeShade="80"/>
        </w:rPr>
      </w:pPr>
    </w:p>
    <w:p w14:paraId="27E4934F" w14:textId="453AA96E" w:rsidR="008154B9" w:rsidRPr="008154B9" w:rsidRDefault="008154B9" w:rsidP="008154B9">
      <w:pPr>
        <w:rPr>
          <w:color w:val="808080" w:themeColor="background1" w:themeShade="80"/>
        </w:rPr>
      </w:pPr>
      <w:r w:rsidRPr="008154B9">
        <w:rPr>
          <w:color w:val="808080" w:themeColor="background1" w:themeShade="80"/>
        </w:rPr>
        <w:t>3.</w:t>
      </w:r>
      <w:r>
        <w:rPr>
          <w:color w:val="808080" w:themeColor="background1" w:themeShade="80"/>
        </w:rPr>
        <w:t xml:space="preserve"> That immediately after making such disposition the debtor’s liabilities exceeded the value of his assets.</w:t>
      </w:r>
    </w:p>
    <w:p w14:paraId="4CF2FCAD" w14:textId="20D45E61" w:rsidR="00731051" w:rsidRDefault="00731051" w:rsidP="00731051">
      <w:pPr>
        <w:rPr>
          <w:color w:val="808080" w:themeColor="background1" w:themeShade="80"/>
        </w:rPr>
      </w:pPr>
    </w:p>
    <w:p w14:paraId="17481307" w14:textId="454DC5AA" w:rsidR="0028305A" w:rsidRDefault="0028305A" w:rsidP="00731051">
      <w:pPr>
        <w:rPr>
          <w:color w:val="808080" w:themeColor="background1" w:themeShade="80"/>
        </w:rPr>
      </w:pPr>
      <w:r>
        <w:rPr>
          <w:color w:val="808080" w:themeColor="background1" w:themeShade="80"/>
        </w:rPr>
        <w:t xml:space="preserve">Referring to the above there is a fair chance the trustee can set aside the settlement of debt by John.  </w:t>
      </w:r>
    </w:p>
    <w:p w14:paraId="242FFC3B" w14:textId="77777777" w:rsidR="0028305A" w:rsidRDefault="0028305A" w:rsidP="00731051">
      <w:pPr>
        <w:rPr>
          <w:color w:val="808080" w:themeColor="background1" w:themeShade="80"/>
        </w:rPr>
      </w:pPr>
    </w:p>
    <w:p w14:paraId="437E1266" w14:textId="1EA0B571" w:rsidR="009F5519" w:rsidRDefault="00251549" w:rsidP="00731051">
      <w:pPr>
        <w:rPr>
          <w:color w:val="808080" w:themeColor="background1" w:themeShade="80"/>
        </w:rPr>
      </w:pPr>
      <w:r>
        <w:rPr>
          <w:color w:val="808080" w:themeColor="background1" w:themeShade="80"/>
        </w:rPr>
        <w:t>Where the</w:t>
      </w:r>
      <w:r w:rsidR="00731051">
        <w:rPr>
          <w:color w:val="808080" w:themeColor="background1" w:themeShade="80"/>
        </w:rPr>
        <w:t xml:space="preserve"> settlement of the debt is voidable, Section 33</w:t>
      </w:r>
      <w:r w:rsidR="009F5519">
        <w:rPr>
          <w:color w:val="808080" w:themeColor="background1" w:themeShade="80"/>
        </w:rPr>
        <w:t xml:space="preserve">(1) of the Insolvency Act provides that the person who in return for any disposition which is liable to be set aside has parted with any property or security which he held shall, if he acted in good faith, not be obliged to restore any property or the benefit received under such disposition unless the trustee indemnified him for parting with such property or security. </w:t>
      </w:r>
      <w:r>
        <w:rPr>
          <w:color w:val="808080" w:themeColor="background1" w:themeShade="80"/>
        </w:rPr>
        <w:t xml:space="preserve"> </w:t>
      </w:r>
      <w:r w:rsidR="009F5519">
        <w:rPr>
          <w:color w:val="808080" w:themeColor="background1" w:themeShade="80"/>
        </w:rPr>
        <w:t xml:space="preserve">Joe may rely on the statutory </w:t>
      </w:r>
      <w:proofErr w:type="spellStart"/>
      <w:r w:rsidR="009F5519">
        <w:rPr>
          <w:color w:val="808080" w:themeColor="background1" w:themeShade="80"/>
        </w:rPr>
        <w:t>defence</w:t>
      </w:r>
      <w:proofErr w:type="spellEnd"/>
      <w:r w:rsidR="009F5519">
        <w:rPr>
          <w:color w:val="808080" w:themeColor="background1" w:themeShade="80"/>
        </w:rPr>
        <w:t xml:space="preserve"> and may be able to avoid the setting aside of the disposition</w:t>
      </w:r>
      <w:r w:rsidR="0028305A">
        <w:rPr>
          <w:color w:val="808080" w:themeColor="background1" w:themeShade="80"/>
        </w:rPr>
        <w:t>.</w:t>
      </w:r>
    </w:p>
    <w:p w14:paraId="165D8579" w14:textId="1CD62922" w:rsidR="00251549" w:rsidRDefault="00251549" w:rsidP="00731051">
      <w:pPr>
        <w:rPr>
          <w:color w:val="808080" w:themeColor="background1" w:themeShade="80"/>
        </w:rPr>
      </w:pPr>
    </w:p>
    <w:p w14:paraId="5EF4BD57" w14:textId="5A31F857" w:rsidR="00251549" w:rsidRPr="00731051" w:rsidRDefault="00251549" w:rsidP="00731051">
      <w:pPr>
        <w:rPr>
          <w:color w:val="808080" w:themeColor="background1" w:themeShade="80"/>
        </w:rPr>
      </w:pPr>
      <w:r>
        <w:rPr>
          <w:color w:val="808080" w:themeColor="background1" w:themeShade="80"/>
        </w:rPr>
        <w:t>Joe will have to prove that the disposition was made in the ordinary course of business and there was no intention to prefer one creditor above another.</w:t>
      </w:r>
      <w:r w:rsidR="0035429B">
        <w:rPr>
          <w:color w:val="808080" w:themeColor="background1" w:themeShade="80"/>
        </w:rPr>
        <w:t xml:space="preserve">  He will have to prove that the way in which he received payment was not in a roundabout way and must be legal and valid.  John can, if he is a reliable witness, testify to the facts whether there was any intention or preferring or just a friendship relationship.</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B86A" w14:textId="77777777" w:rsidR="00182309" w:rsidRDefault="00182309" w:rsidP="001016B0">
      <w:r>
        <w:separator/>
      </w:r>
    </w:p>
  </w:endnote>
  <w:endnote w:type="continuationSeparator" w:id="0">
    <w:p w14:paraId="3D4B8357" w14:textId="77777777" w:rsidR="00182309" w:rsidRDefault="00182309"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452D6B07" w:rsidR="001A20D0" w:rsidRDefault="0001568D" w:rsidP="008A20AC">
    <w:pPr>
      <w:pStyle w:val="Footer"/>
      <w:ind w:right="360"/>
    </w:pPr>
    <w:r>
      <w:t>202122-695</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473A" w14:textId="77777777" w:rsidR="00182309" w:rsidRDefault="00182309" w:rsidP="001016B0">
      <w:r>
        <w:separator/>
      </w:r>
    </w:p>
  </w:footnote>
  <w:footnote w:type="continuationSeparator" w:id="0">
    <w:p w14:paraId="008CED19" w14:textId="77777777" w:rsidR="00182309" w:rsidRDefault="00182309"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4FE24C6"/>
    <w:multiLevelType w:val="hybridMultilevel"/>
    <w:tmpl w:val="59AEFB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8505A14"/>
    <w:multiLevelType w:val="hybridMultilevel"/>
    <w:tmpl w:val="666466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37141"/>
    <w:multiLevelType w:val="hybridMultilevel"/>
    <w:tmpl w:val="35ECF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FE034B0"/>
    <w:multiLevelType w:val="hybridMultilevel"/>
    <w:tmpl w:val="535A25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C7394"/>
    <w:multiLevelType w:val="hybridMultilevel"/>
    <w:tmpl w:val="496E81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101442941">
    <w:abstractNumId w:val="11"/>
  </w:num>
  <w:num w:numId="2" w16cid:durableId="1596133136">
    <w:abstractNumId w:val="32"/>
  </w:num>
  <w:num w:numId="3" w16cid:durableId="1450932868">
    <w:abstractNumId w:val="29"/>
  </w:num>
  <w:num w:numId="4" w16cid:durableId="1265460209">
    <w:abstractNumId w:val="13"/>
  </w:num>
  <w:num w:numId="5" w16cid:durableId="1033775403">
    <w:abstractNumId w:val="21"/>
  </w:num>
  <w:num w:numId="6" w16cid:durableId="1553420321">
    <w:abstractNumId w:val="22"/>
  </w:num>
  <w:num w:numId="7" w16cid:durableId="1479999759">
    <w:abstractNumId w:val="16"/>
  </w:num>
  <w:num w:numId="8" w16cid:durableId="2019188755">
    <w:abstractNumId w:val="3"/>
  </w:num>
  <w:num w:numId="9" w16cid:durableId="254704575">
    <w:abstractNumId w:val="26"/>
  </w:num>
  <w:num w:numId="10" w16cid:durableId="2076002611">
    <w:abstractNumId w:val="15"/>
  </w:num>
  <w:num w:numId="11" w16cid:durableId="1665159541">
    <w:abstractNumId w:val="2"/>
  </w:num>
  <w:num w:numId="12" w16cid:durableId="2058240976">
    <w:abstractNumId w:val="12"/>
  </w:num>
  <w:num w:numId="13" w16cid:durableId="2093311782">
    <w:abstractNumId w:val="14"/>
  </w:num>
  <w:num w:numId="14" w16cid:durableId="1906254657">
    <w:abstractNumId w:val="10"/>
  </w:num>
  <w:num w:numId="15" w16cid:durableId="928468195">
    <w:abstractNumId w:val="30"/>
  </w:num>
  <w:num w:numId="16" w16cid:durableId="1828865768">
    <w:abstractNumId w:val="27"/>
  </w:num>
  <w:num w:numId="17" w16cid:durableId="494498976">
    <w:abstractNumId w:val="28"/>
  </w:num>
  <w:num w:numId="18" w16cid:durableId="2007511097">
    <w:abstractNumId w:val="24"/>
  </w:num>
  <w:num w:numId="19" w16cid:durableId="851800369">
    <w:abstractNumId w:val="19"/>
  </w:num>
  <w:num w:numId="20" w16cid:durableId="707219636">
    <w:abstractNumId w:val="35"/>
  </w:num>
  <w:num w:numId="21" w16cid:durableId="662900650">
    <w:abstractNumId w:val="34"/>
  </w:num>
  <w:num w:numId="22" w16cid:durableId="2051102303">
    <w:abstractNumId w:val="23"/>
  </w:num>
  <w:num w:numId="23" w16cid:durableId="1028525181">
    <w:abstractNumId w:val="6"/>
  </w:num>
  <w:num w:numId="24" w16cid:durableId="951130887">
    <w:abstractNumId w:val="20"/>
  </w:num>
  <w:num w:numId="25" w16cid:durableId="760106994">
    <w:abstractNumId w:val="18"/>
  </w:num>
  <w:num w:numId="26" w16cid:durableId="500512447">
    <w:abstractNumId w:val="25"/>
  </w:num>
  <w:num w:numId="27" w16cid:durableId="219175540">
    <w:abstractNumId w:val="5"/>
  </w:num>
  <w:num w:numId="28" w16cid:durableId="1665470426">
    <w:abstractNumId w:val="4"/>
  </w:num>
  <w:num w:numId="29" w16cid:durableId="855391733">
    <w:abstractNumId w:val="9"/>
  </w:num>
  <w:num w:numId="30" w16cid:durableId="1347362614">
    <w:abstractNumId w:val="31"/>
  </w:num>
  <w:num w:numId="31" w16cid:durableId="1829859545">
    <w:abstractNumId w:val="0"/>
  </w:num>
  <w:num w:numId="32" w16cid:durableId="1006829898">
    <w:abstractNumId w:val="17"/>
  </w:num>
  <w:num w:numId="33" w16cid:durableId="1787235642">
    <w:abstractNumId w:val="1"/>
  </w:num>
  <w:num w:numId="34" w16cid:durableId="1703364369">
    <w:abstractNumId w:val="33"/>
  </w:num>
  <w:num w:numId="35" w16cid:durableId="500508768">
    <w:abstractNumId w:val="7"/>
  </w:num>
  <w:num w:numId="36" w16cid:durableId="1971127933">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activeWritingStyle w:appName="MSWord" w:lang="en-GB" w:vendorID="64" w:dllVersion="4096" w:nlCheck="1" w:checkStyle="0"/>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568D"/>
    <w:rsid w:val="00033D18"/>
    <w:rsid w:val="00034FC0"/>
    <w:rsid w:val="000451AA"/>
    <w:rsid w:val="00045503"/>
    <w:rsid w:val="000554CA"/>
    <w:rsid w:val="000672ED"/>
    <w:rsid w:val="00071EFD"/>
    <w:rsid w:val="00073862"/>
    <w:rsid w:val="000943C5"/>
    <w:rsid w:val="000A5379"/>
    <w:rsid w:val="000D340C"/>
    <w:rsid w:val="000D5B7A"/>
    <w:rsid w:val="000E2265"/>
    <w:rsid w:val="000F1349"/>
    <w:rsid w:val="000F7E2C"/>
    <w:rsid w:val="001016B0"/>
    <w:rsid w:val="001165C7"/>
    <w:rsid w:val="00117579"/>
    <w:rsid w:val="00120495"/>
    <w:rsid w:val="001336C3"/>
    <w:rsid w:val="00172051"/>
    <w:rsid w:val="00182309"/>
    <w:rsid w:val="00194D76"/>
    <w:rsid w:val="001A1043"/>
    <w:rsid w:val="001A20D0"/>
    <w:rsid w:val="001A370C"/>
    <w:rsid w:val="001B4CC3"/>
    <w:rsid w:val="001C0726"/>
    <w:rsid w:val="001D2F9B"/>
    <w:rsid w:val="001E72C8"/>
    <w:rsid w:val="001F65C0"/>
    <w:rsid w:val="00204DE7"/>
    <w:rsid w:val="00211EE8"/>
    <w:rsid w:val="00213DA5"/>
    <w:rsid w:val="00216818"/>
    <w:rsid w:val="00221041"/>
    <w:rsid w:val="00234313"/>
    <w:rsid w:val="0023778C"/>
    <w:rsid w:val="00244935"/>
    <w:rsid w:val="00251549"/>
    <w:rsid w:val="00251853"/>
    <w:rsid w:val="00257792"/>
    <w:rsid w:val="00270263"/>
    <w:rsid w:val="0027308F"/>
    <w:rsid w:val="0028305A"/>
    <w:rsid w:val="00283584"/>
    <w:rsid w:val="002A454F"/>
    <w:rsid w:val="002B7150"/>
    <w:rsid w:val="002C1C6F"/>
    <w:rsid w:val="002F2E23"/>
    <w:rsid w:val="002F49CF"/>
    <w:rsid w:val="00300368"/>
    <w:rsid w:val="00303C2F"/>
    <w:rsid w:val="0031183B"/>
    <w:rsid w:val="003322CE"/>
    <w:rsid w:val="00337E93"/>
    <w:rsid w:val="00342DDB"/>
    <w:rsid w:val="00343065"/>
    <w:rsid w:val="003431C1"/>
    <w:rsid w:val="00343273"/>
    <w:rsid w:val="00345A22"/>
    <w:rsid w:val="00347074"/>
    <w:rsid w:val="0035429B"/>
    <w:rsid w:val="00362356"/>
    <w:rsid w:val="00373930"/>
    <w:rsid w:val="003B06BB"/>
    <w:rsid w:val="003B4199"/>
    <w:rsid w:val="003B4A44"/>
    <w:rsid w:val="003C5D82"/>
    <w:rsid w:val="003D15EA"/>
    <w:rsid w:val="003D779F"/>
    <w:rsid w:val="003E146B"/>
    <w:rsid w:val="004031E2"/>
    <w:rsid w:val="004165ED"/>
    <w:rsid w:val="00416B97"/>
    <w:rsid w:val="00454E81"/>
    <w:rsid w:val="00461260"/>
    <w:rsid w:val="0046628E"/>
    <w:rsid w:val="00470B76"/>
    <w:rsid w:val="00472927"/>
    <w:rsid w:val="00483C38"/>
    <w:rsid w:val="00491283"/>
    <w:rsid w:val="0049324F"/>
    <w:rsid w:val="00497863"/>
    <w:rsid w:val="004B491D"/>
    <w:rsid w:val="004C206D"/>
    <w:rsid w:val="004C6612"/>
    <w:rsid w:val="004C7945"/>
    <w:rsid w:val="004E57D4"/>
    <w:rsid w:val="00502A38"/>
    <w:rsid w:val="00504A64"/>
    <w:rsid w:val="00512C19"/>
    <w:rsid w:val="00541B06"/>
    <w:rsid w:val="00542B4C"/>
    <w:rsid w:val="00562DC2"/>
    <w:rsid w:val="00563F78"/>
    <w:rsid w:val="005710E3"/>
    <w:rsid w:val="00574240"/>
    <w:rsid w:val="005A4B48"/>
    <w:rsid w:val="005B52DE"/>
    <w:rsid w:val="005C0FF6"/>
    <w:rsid w:val="005E42AF"/>
    <w:rsid w:val="005E45BD"/>
    <w:rsid w:val="005F3F13"/>
    <w:rsid w:val="006027A2"/>
    <w:rsid w:val="00604564"/>
    <w:rsid w:val="00620248"/>
    <w:rsid w:val="006258C1"/>
    <w:rsid w:val="0063766F"/>
    <w:rsid w:val="00643725"/>
    <w:rsid w:val="00647006"/>
    <w:rsid w:val="0066147F"/>
    <w:rsid w:val="006659FD"/>
    <w:rsid w:val="006773FC"/>
    <w:rsid w:val="0068617E"/>
    <w:rsid w:val="0069113C"/>
    <w:rsid w:val="0069468A"/>
    <w:rsid w:val="006B1712"/>
    <w:rsid w:val="006B4C64"/>
    <w:rsid w:val="006C05DA"/>
    <w:rsid w:val="006C2A34"/>
    <w:rsid w:val="006D34F1"/>
    <w:rsid w:val="006E218D"/>
    <w:rsid w:val="006E2915"/>
    <w:rsid w:val="006E3289"/>
    <w:rsid w:val="006E3E96"/>
    <w:rsid w:val="006E481A"/>
    <w:rsid w:val="006F4E4C"/>
    <w:rsid w:val="006F7EC1"/>
    <w:rsid w:val="007120A0"/>
    <w:rsid w:val="00715982"/>
    <w:rsid w:val="00731051"/>
    <w:rsid w:val="00733777"/>
    <w:rsid w:val="00755F63"/>
    <w:rsid w:val="0077169C"/>
    <w:rsid w:val="00772EF9"/>
    <w:rsid w:val="007747E8"/>
    <w:rsid w:val="007836DB"/>
    <w:rsid w:val="007A1000"/>
    <w:rsid w:val="007B1B03"/>
    <w:rsid w:val="007B607D"/>
    <w:rsid w:val="007B6DD3"/>
    <w:rsid w:val="007C1DDD"/>
    <w:rsid w:val="007C4559"/>
    <w:rsid w:val="007F02EC"/>
    <w:rsid w:val="008032A3"/>
    <w:rsid w:val="00804FC8"/>
    <w:rsid w:val="00805C2F"/>
    <w:rsid w:val="0081003D"/>
    <w:rsid w:val="00812BFB"/>
    <w:rsid w:val="008154B9"/>
    <w:rsid w:val="00822A4C"/>
    <w:rsid w:val="008735A4"/>
    <w:rsid w:val="008A1E6D"/>
    <w:rsid w:val="008A20AC"/>
    <w:rsid w:val="008B18AE"/>
    <w:rsid w:val="008B2794"/>
    <w:rsid w:val="008C0B83"/>
    <w:rsid w:val="008C52C5"/>
    <w:rsid w:val="008C5DCB"/>
    <w:rsid w:val="008C7998"/>
    <w:rsid w:val="008D23BE"/>
    <w:rsid w:val="008D7189"/>
    <w:rsid w:val="008E6B76"/>
    <w:rsid w:val="008F068A"/>
    <w:rsid w:val="008F0B7C"/>
    <w:rsid w:val="008F4BC6"/>
    <w:rsid w:val="009001DE"/>
    <w:rsid w:val="00903B0F"/>
    <w:rsid w:val="00904FD9"/>
    <w:rsid w:val="009143EA"/>
    <w:rsid w:val="00917205"/>
    <w:rsid w:val="0092725A"/>
    <w:rsid w:val="00930A74"/>
    <w:rsid w:val="00940C68"/>
    <w:rsid w:val="00943C38"/>
    <w:rsid w:val="00954CBE"/>
    <w:rsid w:val="00957A2E"/>
    <w:rsid w:val="00960617"/>
    <w:rsid w:val="009700FE"/>
    <w:rsid w:val="009803AC"/>
    <w:rsid w:val="009A4CEF"/>
    <w:rsid w:val="009B0913"/>
    <w:rsid w:val="009B4E31"/>
    <w:rsid w:val="009B620A"/>
    <w:rsid w:val="009B7D40"/>
    <w:rsid w:val="009C7934"/>
    <w:rsid w:val="009C7BB4"/>
    <w:rsid w:val="009D0718"/>
    <w:rsid w:val="009D27B4"/>
    <w:rsid w:val="009E2AEB"/>
    <w:rsid w:val="009E549B"/>
    <w:rsid w:val="009F5519"/>
    <w:rsid w:val="00A01F35"/>
    <w:rsid w:val="00A0473E"/>
    <w:rsid w:val="00A06708"/>
    <w:rsid w:val="00A322BC"/>
    <w:rsid w:val="00A379F5"/>
    <w:rsid w:val="00A46438"/>
    <w:rsid w:val="00A514C8"/>
    <w:rsid w:val="00A52660"/>
    <w:rsid w:val="00A53A45"/>
    <w:rsid w:val="00A5563E"/>
    <w:rsid w:val="00A55B7D"/>
    <w:rsid w:val="00A70406"/>
    <w:rsid w:val="00A71C38"/>
    <w:rsid w:val="00A80928"/>
    <w:rsid w:val="00A81BF9"/>
    <w:rsid w:val="00A82E83"/>
    <w:rsid w:val="00A90D21"/>
    <w:rsid w:val="00A91174"/>
    <w:rsid w:val="00A9217C"/>
    <w:rsid w:val="00A94C73"/>
    <w:rsid w:val="00A95393"/>
    <w:rsid w:val="00AA3845"/>
    <w:rsid w:val="00AB4458"/>
    <w:rsid w:val="00AC37E2"/>
    <w:rsid w:val="00AC3A2B"/>
    <w:rsid w:val="00AE0ADA"/>
    <w:rsid w:val="00AF146A"/>
    <w:rsid w:val="00B17707"/>
    <w:rsid w:val="00B20098"/>
    <w:rsid w:val="00B22A54"/>
    <w:rsid w:val="00B24537"/>
    <w:rsid w:val="00B3456B"/>
    <w:rsid w:val="00B40A75"/>
    <w:rsid w:val="00B62FFC"/>
    <w:rsid w:val="00B83447"/>
    <w:rsid w:val="00B91E5F"/>
    <w:rsid w:val="00BA24B1"/>
    <w:rsid w:val="00BA451C"/>
    <w:rsid w:val="00BB1EBB"/>
    <w:rsid w:val="00BB5F2D"/>
    <w:rsid w:val="00BD2DF8"/>
    <w:rsid w:val="00BD68CA"/>
    <w:rsid w:val="00BD7F3F"/>
    <w:rsid w:val="00BE35A9"/>
    <w:rsid w:val="00BF243A"/>
    <w:rsid w:val="00C22420"/>
    <w:rsid w:val="00C451DF"/>
    <w:rsid w:val="00C61992"/>
    <w:rsid w:val="00C6674E"/>
    <w:rsid w:val="00C73233"/>
    <w:rsid w:val="00C77709"/>
    <w:rsid w:val="00C8146F"/>
    <w:rsid w:val="00C84F3F"/>
    <w:rsid w:val="00CC2E46"/>
    <w:rsid w:val="00CC438B"/>
    <w:rsid w:val="00CD618E"/>
    <w:rsid w:val="00CF24EA"/>
    <w:rsid w:val="00CF3421"/>
    <w:rsid w:val="00CF6645"/>
    <w:rsid w:val="00D47E91"/>
    <w:rsid w:val="00D62745"/>
    <w:rsid w:val="00D7312A"/>
    <w:rsid w:val="00D73BB0"/>
    <w:rsid w:val="00D82D88"/>
    <w:rsid w:val="00D8565D"/>
    <w:rsid w:val="00D85DAC"/>
    <w:rsid w:val="00D97D17"/>
    <w:rsid w:val="00DB58C0"/>
    <w:rsid w:val="00DC20CF"/>
    <w:rsid w:val="00DE6FDB"/>
    <w:rsid w:val="00E03AD1"/>
    <w:rsid w:val="00E12660"/>
    <w:rsid w:val="00E14FE7"/>
    <w:rsid w:val="00E36270"/>
    <w:rsid w:val="00E40A16"/>
    <w:rsid w:val="00E5559A"/>
    <w:rsid w:val="00E56F95"/>
    <w:rsid w:val="00E64F45"/>
    <w:rsid w:val="00E707F7"/>
    <w:rsid w:val="00E755CA"/>
    <w:rsid w:val="00E756DF"/>
    <w:rsid w:val="00E7781C"/>
    <w:rsid w:val="00E83556"/>
    <w:rsid w:val="00E9506C"/>
    <w:rsid w:val="00EA257F"/>
    <w:rsid w:val="00EA2B57"/>
    <w:rsid w:val="00EA6193"/>
    <w:rsid w:val="00EB5FD1"/>
    <w:rsid w:val="00EB6910"/>
    <w:rsid w:val="00EB6DA5"/>
    <w:rsid w:val="00EC1C5F"/>
    <w:rsid w:val="00EC68DF"/>
    <w:rsid w:val="00ED192E"/>
    <w:rsid w:val="00EF285F"/>
    <w:rsid w:val="00EF5AB0"/>
    <w:rsid w:val="00EF613F"/>
    <w:rsid w:val="00F01D9B"/>
    <w:rsid w:val="00F11319"/>
    <w:rsid w:val="00F11598"/>
    <w:rsid w:val="00F254AF"/>
    <w:rsid w:val="00F6582B"/>
    <w:rsid w:val="00FA596D"/>
    <w:rsid w:val="00FA602E"/>
    <w:rsid w:val="00FC074E"/>
    <w:rsid w:val="00FC5217"/>
    <w:rsid w:val="00FC6940"/>
    <w:rsid w:val="00FD3D72"/>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Elmarie Nash</cp:lastModifiedBy>
  <cp:revision>2</cp:revision>
  <cp:lastPrinted>2022-10-06T21:10:00Z</cp:lastPrinted>
  <dcterms:created xsi:type="dcterms:W3CDTF">2022-10-07T09:40:00Z</dcterms:created>
  <dcterms:modified xsi:type="dcterms:W3CDTF">2022-10-07T09:40:00Z</dcterms:modified>
</cp:coreProperties>
</file>