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823BD7"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823BD7">
        <w:rPr>
          <w:rFonts w:ascii="Avenir Next" w:hAnsi="Avenir Next"/>
          <w:color w:val="000000" w:themeColor="text1"/>
          <w:highlight w:val="yellow"/>
          <w:lang w:val="en-GB"/>
        </w:rPr>
        <w:t xml:space="preserve">(1) </w:t>
      </w:r>
      <w:r w:rsidR="00563F78" w:rsidRPr="00823BD7">
        <w:rPr>
          <w:rFonts w:ascii="Avenir Next" w:hAnsi="Avenir Next"/>
          <w:color w:val="000000" w:themeColor="text1"/>
          <w:highlight w:val="yellow"/>
          <w:lang w:val="en-GB"/>
        </w:rPr>
        <w:t>and (2) are correct</w:t>
      </w:r>
      <w:r w:rsidR="007747E8" w:rsidRPr="00823BD7">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823BD7"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823BD7">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E94528"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E94528">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Pr="00E94528" w:rsidRDefault="001B4CC3" w:rsidP="00FC5217">
      <w:pPr>
        <w:pStyle w:val="ListParagraph"/>
        <w:numPr>
          <w:ilvl w:val="0"/>
          <w:numId w:val="4"/>
        </w:numPr>
        <w:spacing w:after="0" w:line="240" w:lineRule="auto"/>
        <w:ind w:left="426"/>
        <w:rPr>
          <w:rFonts w:ascii="Avenir Next" w:hAnsi="Avenir Next" w:cs="Arial"/>
          <w:color w:val="000000" w:themeColor="text1"/>
          <w:highlight w:val="yellow"/>
          <w:lang w:val="en-GB"/>
        </w:rPr>
      </w:pPr>
      <w:r w:rsidRPr="00E94528">
        <w:rPr>
          <w:rFonts w:ascii="Avenir Next" w:hAnsi="Avenir Next" w:cs="Arial"/>
          <w:color w:val="000000" w:themeColor="text1"/>
          <w:highlight w:val="yellow"/>
          <w:lang w:val="en-GB"/>
        </w:rPr>
        <w:t>d</w:t>
      </w:r>
      <w:r w:rsidR="00A9217C" w:rsidRPr="00E94528">
        <w:rPr>
          <w:rFonts w:ascii="Avenir Next" w:hAnsi="Avenir Next" w:cs="Arial"/>
          <w:color w:val="000000" w:themeColor="text1"/>
          <w:highlight w:val="yellow"/>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A90D21" w:rsidRDefault="001B4CC3" w:rsidP="00FC5217">
      <w:pPr>
        <w:pStyle w:val="ListParagraph"/>
        <w:numPr>
          <w:ilvl w:val="0"/>
          <w:numId w:val="4"/>
        </w:numPr>
        <w:spacing w:after="0" w:line="240" w:lineRule="auto"/>
        <w:ind w:left="426"/>
        <w:rPr>
          <w:rFonts w:ascii="Avenir Next" w:hAnsi="Avenir Next"/>
          <w:color w:val="000000" w:themeColor="text1"/>
          <w:lang w:val="en-GB"/>
        </w:rPr>
      </w:pPr>
      <w:r w:rsidRPr="00A90D21">
        <w:rPr>
          <w:rFonts w:ascii="Avenir Next" w:hAnsi="Avenir Next" w:cs="Arial"/>
          <w:color w:val="000000" w:themeColor="text1"/>
          <w:lang w:val="en-GB"/>
        </w:rPr>
        <w:t>d</w:t>
      </w:r>
      <w:r w:rsidR="00A9217C" w:rsidRPr="00A90D21">
        <w:rPr>
          <w:rFonts w:ascii="Avenir Next" w:hAnsi="Avenir Next" w:cs="Arial"/>
          <w:color w:val="000000" w:themeColor="text1"/>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The family home</w:t>
      </w:r>
      <w:r w:rsidR="00194D7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E94528"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E94528">
        <w:rPr>
          <w:rFonts w:ascii="Avenir Next" w:hAnsi="Avenir Next" w:cs="Arial"/>
          <w:color w:val="000000" w:themeColor="text1"/>
          <w:highlight w:val="yellow"/>
          <w:lang w:val="en-GB"/>
        </w:rPr>
        <w:t>(1)</w:t>
      </w:r>
      <w:r w:rsidR="00F254AF" w:rsidRPr="00E94528">
        <w:rPr>
          <w:rFonts w:ascii="Avenir Next" w:hAnsi="Avenir Next" w:cs="Arial"/>
          <w:color w:val="000000" w:themeColor="text1"/>
          <w:highlight w:val="yellow"/>
          <w:lang w:val="en-GB"/>
        </w:rPr>
        <w:t xml:space="preserve">, and </w:t>
      </w:r>
      <w:r w:rsidRPr="00E94528">
        <w:rPr>
          <w:rFonts w:ascii="Avenir Next" w:hAnsi="Avenir Next" w:cs="Arial"/>
          <w:color w:val="000000" w:themeColor="text1"/>
          <w:highlight w:val="yellow"/>
          <w:lang w:val="en-GB"/>
        </w:rPr>
        <w:t>(4)</w:t>
      </w:r>
      <w:r w:rsidR="00F254AF" w:rsidRPr="00E94528">
        <w:rPr>
          <w:rFonts w:ascii="Avenir Next" w:hAnsi="Avenir Next" w:cs="Arial"/>
          <w:color w:val="000000" w:themeColor="text1"/>
          <w:highlight w:val="yellow"/>
          <w:lang w:val="en-GB"/>
        </w:rPr>
        <w:t xml:space="preserve"> are correct</w:t>
      </w:r>
      <w:r w:rsidR="00194D76" w:rsidRPr="00E94528">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E94528"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E94528">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E94528"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E94528">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893F77" w:rsidRDefault="0066147F" w:rsidP="00FC5217">
      <w:pPr>
        <w:pStyle w:val="ListParagraph"/>
        <w:numPr>
          <w:ilvl w:val="0"/>
          <w:numId w:val="17"/>
        </w:numPr>
        <w:spacing w:after="0" w:line="240" w:lineRule="auto"/>
        <w:ind w:left="426"/>
        <w:rPr>
          <w:rFonts w:ascii="Avenir Next" w:hAnsi="Avenir Next"/>
          <w:highlight w:val="yellow"/>
          <w:lang w:val="en-GB"/>
        </w:rPr>
      </w:pPr>
      <w:r w:rsidRPr="00893F77">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893F77" w:rsidRDefault="003D15EA" w:rsidP="00FC5217">
      <w:pPr>
        <w:pStyle w:val="ListParagraph"/>
        <w:numPr>
          <w:ilvl w:val="0"/>
          <w:numId w:val="18"/>
        </w:numPr>
        <w:spacing w:after="0" w:line="240" w:lineRule="auto"/>
        <w:ind w:left="426"/>
        <w:rPr>
          <w:rFonts w:ascii="Avenir Next" w:hAnsi="Avenir Next"/>
          <w:highlight w:val="yellow"/>
          <w:lang w:val="en-GB"/>
        </w:rPr>
      </w:pPr>
      <w:r w:rsidRPr="00893F77">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lastRenderedPageBreak/>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Pr="00893F77" w:rsidRDefault="000F1349" w:rsidP="00FC5217">
      <w:pPr>
        <w:pStyle w:val="NoSpacing"/>
        <w:numPr>
          <w:ilvl w:val="0"/>
          <w:numId w:val="19"/>
        </w:numPr>
        <w:ind w:left="426"/>
        <w:jc w:val="both"/>
        <w:rPr>
          <w:rFonts w:ascii="Avenir Next" w:hAnsi="Avenir Next"/>
          <w:highlight w:val="yellow"/>
        </w:rPr>
      </w:pPr>
      <w:r w:rsidRPr="00893F77">
        <w:rPr>
          <w:rFonts w:ascii="Avenir Next" w:hAnsi="Avenir Next"/>
          <w:highlight w:val="yellow"/>
        </w:rPr>
        <w:t>Be liquid.</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A90D21"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A90D21">
        <w:rPr>
          <w:rFonts w:ascii="Avenir Next" w:hAnsi="Avenir Next"/>
          <w:lang w:val="en-GB"/>
        </w:rPr>
        <w:t>Both (a) and (b)</w:t>
      </w:r>
      <w:r w:rsidR="00BA451C" w:rsidRPr="00A90D21">
        <w:rPr>
          <w:rFonts w:ascii="Avenir Next" w:hAnsi="Avenir Next"/>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A90D21"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A90D21">
        <w:rPr>
          <w:rFonts w:ascii="Avenir Next" w:hAnsi="Avenir Next"/>
          <w:color w:val="000000" w:themeColor="text1"/>
          <w:lang w:val="en-GB"/>
        </w:rPr>
        <w:t>True</w:t>
      </w:r>
    </w:p>
    <w:p w14:paraId="11635E95" w14:textId="2C302BE2" w:rsidR="00034FC0" w:rsidRDefault="00034FC0" w:rsidP="00117579">
      <w:pPr>
        <w:ind w:left="426"/>
        <w:rPr>
          <w:color w:val="000000" w:themeColor="text1"/>
          <w:lang w:val="en-GB"/>
        </w:rPr>
      </w:pPr>
    </w:p>
    <w:p w14:paraId="4F1047F4" w14:textId="50F1609F" w:rsidR="00034FC0" w:rsidRPr="00AC225C"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AC225C">
        <w:rPr>
          <w:rFonts w:ascii="Avenir Next" w:hAnsi="Avenir Next"/>
          <w:color w:val="000000" w:themeColor="text1"/>
          <w:highlight w:val="yellow"/>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AC225C"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AC225C">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AC225C"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AC225C">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41009A"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41009A">
        <w:rPr>
          <w:rFonts w:ascii="Avenir Next" w:hAnsi="Avenir Next" w:cs="Times New Roman"/>
          <w:highlight w:val="yellow"/>
          <w:lang w:val="en-GB"/>
        </w:rPr>
        <w:t xml:space="preserve">The statement is not correct since the preference of one creditor above others is not prescribed in </w:t>
      </w:r>
      <w:r w:rsidR="00A71C38" w:rsidRPr="0041009A">
        <w:rPr>
          <w:rFonts w:ascii="Avenir Next" w:hAnsi="Avenir Next" w:cs="Times New Roman"/>
          <w:highlight w:val="yellow"/>
          <w:lang w:val="en-GB"/>
        </w:rPr>
        <w:t xml:space="preserve">the </w:t>
      </w:r>
      <w:r w:rsidRPr="0041009A">
        <w:rPr>
          <w:rFonts w:ascii="Avenir Next" w:hAnsi="Avenir Next" w:cs="Times New Roman"/>
          <w:highlight w:val="yellow"/>
          <w:lang w:val="en-GB"/>
        </w:rPr>
        <w:t>case of dispositions for value</w:t>
      </w:r>
      <w:r w:rsidR="00A71C38" w:rsidRPr="0041009A">
        <w:rPr>
          <w:rFonts w:ascii="Avenir Next" w:hAnsi="Avenir Next" w:cs="Times New Roman"/>
          <w:highlight w:val="yellow"/>
          <w:lang w:val="en-GB"/>
        </w:rPr>
        <w:t>,</w:t>
      </w:r>
      <w:r w:rsidRPr="0041009A">
        <w:rPr>
          <w:rFonts w:ascii="Avenir Next" w:hAnsi="Avenir Next" w:cs="Times New Roman"/>
          <w:highlight w:val="yellow"/>
          <w:lang w:val="en-GB"/>
        </w:rPr>
        <w:t xml:space="preserve"> as dealt with in section 26 of the Insolvency Act. </w:t>
      </w:r>
    </w:p>
    <w:p w14:paraId="69DD99FE" w14:textId="77777777" w:rsidR="00117579" w:rsidRPr="0041009A"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lastRenderedPageBreak/>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B71BF2"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B71BF2">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B71BF2"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B71BF2">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B71BF2" w:rsidRDefault="00BA24B1" w:rsidP="00FC5217">
      <w:pPr>
        <w:pStyle w:val="ListParagraph"/>
        <w:numPr>
          <w:ilvl w:val="1"/>
          <w:numId w:val="23"/>
        </w:numPr>
        <w:spacing w:after="0" w:line="240" w:lineRule="auto"/>
        <w:ind w:left="426"/>
        <w:rPr>
          <w:rFonts w:ascii="Avenir Next" w:hAnsi="Avenir Next" w:cs="Times New Roman"/>
          <w:highlight w:val="yellow"/>
          <w:lang w:val="en-GB"/>
        </w:rPr>
      </w:pPr>
      <w:r w:rsidRPr="00B71BF2">
        <w:rPr>
          <w:rFonts w:ascii="Avenir Next" w:hAnsi="Avenir Next" w:cs="Times New Roman"/>
          <w:highlight w:val="yellow"/>
          <w:lang w:val="en-GB"/>
        </w:rPr>
        <w:t xml:space="preserve">W </w:t>
      </w:r>
      <w:r w:rsidR="00A95393" w:rsidRPr="00B71BF2">
        <w:rPr>
          <w:rFonts w:ascii="Avenir Next" w:hAnsi="Avenir Next" w:cs="Times New Roman"/>
          <w:highlight w:val="yellow"/>
          <w:lang w:val="en-GB"/>
        </w:rPr>
        <w:t xml:space="preserve">has </w:t>
      </w:r>
      <w:r w:rsidRPr="00B71BF2">
        <w:rPr>
          <w:rFonts w:ascii="Avenir Next" w:hAnsi="Avenir Next" w:cs="Times New Roman"/>
          <w:highlight w:val="yellow"/>
          <w:lang w:val="en-GB"/>
        </w:rPr>
        <w:t xml:space="preserve">lost ownership </w:t>
      </w:r>
      <w:r w:rsidR="00A95393" w:rsidRPr="00B71BF2">
        <w:rPr>
          <w:rFonts w:ascii="Avenir Next" w:hAnsi="Avenir Next" w:cs="Times New Roman"/>
          <w:highlight w:val="yellow"/>
          <w:lang w:val="en-GB"/>
        </w:rPr>
        <w:t>of</w:t>
      </w:r>
      <w:r w:rsidRPr="00B71BF2">
        <w:rPr>
          <w:rFonts w:ascii="Avenir Next" w:hAnsi="Avenir Next" w:cs="Times New Roman"/>
          <w:highlight w:val="yellow"/>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F17CB4"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F17CB4">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9E68F4" w:rsidRDefault="00416B97" w:rsidP="00FC5217">
      <w:pPr>
        <w:pStyle w:val="ListParagraph"/>
        <w:numPr>
          <w:ilvl w:val="0"/>
          <w:numId w:val="24"/>
        </w:numPr>
        <w:spacing w:after="0" w:line="240" w:lineRule="auto"/>
        <w:ind w:left="426"/>
        <w:rPr>
          <w:rFonts w:ascii="Avenir Next" w:hAnsi="Avenir Next"/>
          <w:highlight w:val="yellow"/>
        </w:rPr>
      </w:pPr>
      <w:r w:rsidRPr="009E68F4">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r>
        <w:rPr>
          <w:rFonts w:ascii="Avenir Next" w:hAnsi="Avenir Next"/>
          <w:lang w:val="en-US"/>
        </w:rPr>
        <w:t>.</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lastRenderedPageBreak/>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9E68F4" w:rsidRDefault="007120A0" w:rsidP="00FC5217">
      <w:pPr>
        <w:pStyle w:val="ListParagraph"/>
        <w:numPr>
          <w:ilvl w:val="0"/>
          <w:numId w:val="25"/>
        </w:numPr>
        <w:spacing w:after="0" w:line="240" w:lineRule="auto"/>
        <w:ind w:left="426"/>
        <w:rPr>
          <w:rFonts w:ascii="Avenir Next" w:hAnsi="Avenir Next"/>
          <w:highlight w:val="yellow"/>
          <w:lang w:val="en-GB"/>
        </w:rPr>
      </w:pPr>
      <w:r w:rsidRPr="009E68F4">
        <w:rPr>
          <w:rFonts w:ascii="Avenir Next" w:hAnsi="Avenir Next"/>
          <w:highlight w:val="yellow"/>
          <w:lang w:val="en-GB"/>
        </w:rPr>
        <w:t>All of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C66DC1" w:rsidRDefault="00E12660" w:rsidP="00FC5217">
      <w:pPr>
        <w:numPr>
          <w:ilvl w:val="0"/>
          <w:numId w:val="26"/>
        </w:numPr>
        <w:rPr>
          <w:highlight w:val="yellow"/>
          <w:lang w:val="en-ZA"/>
        </w:rPr>
      </w:pPr>
      <w:r w:rsidRPr="00C66DC1">
        <w:rPr>
          <w:highlight w:val="yellow"/>
          <w:lang w:val="en-ZA"/>
        </w:rPr>
        <w:t xml:space="preserve">Both </w:t>
      </w:r>
      <w:r w:rsidR="00FF44ED" w:rsidRPr="00C66DC1">
        <w:rPr>
          <w:highlight w:val="yellow"/>
          <w:lang w:val="en-ZA"/>
        </w:rPr>
        <w:t xml:space="preserve">statements </w:t>
      </w:r>
      <w:r w:rsidRPr="00C66DC1">
        <w:rPr>
          <w:highlight w:val="yellow"/>
          <w:lang w:val="en-ZA"/>
        </w:rPr>
        <w:t>(a) and (b)</w:t>
      </w:r>
      <w:r w:rsidR="00FF44ED" w:rsidRPr="00C66DC1">
        <w:rPr>
          <w:highlight w:val="yellow"/>
          <w:lang w:val="en-ZA"/>
        </w:rPr>
        <w:t xml:space="preserve"> are correct</w:t>
      </w:r>
      <w:r w:rsidRPr="00C66DC1">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C66DC1" w:rsidRDefault="00EF285F" w:rsidP="00FC5217">
      <w:pPr>
        <w:pStyle w:val="ListParagraph"/>
        <w:numPr>
          <w:ilvl w:val="0"/>
          <w:numId w:val="13"/>
        </w:numPr>
        <w:spacing w:after="0" w:line="240" w:lineRule="auto"/>
        <w:ind w:left="426"/>
        <w:rPr>
          <w:rFonts w:ascii="Avenir Next" w:hAnsi="Avenir Next"/>
          <w:highlight w:val="yellow"/>
          <w:lang w:val="en-GB"/>
        </w:rPr>
      </w:pPr>
      <w:r w:rsidRPr="00C66DC1">
        <w:rPr>
          <w:rFonts w:ascii="Avenir Next" w:hAnsi="Avenir Next"/>
          <w:highlight w:val="yellow"/>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A90D21">
        <w:rPr>
          <w:rFonts w:ascii="Avenir Next" w:hAnsi="Avenir Next"/>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C66DC1"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C66DC1">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385842F1" w14:textId="77777777" w:rsidR="00FE60B6" w:rsidRDefault="00FE60B6" w:rsidP="00497863">
      <w:pPr>
        <w:rPr>
          <w:rFonts w:ascii="Avenir Next Demi Bold" w:hAnsi="Avenir Next Demi Bold"/>
          <w:b/>
          <w:bCs/>
          <w:color w:val="000000" w:themeColor="text1"/>
          <w:lang w:val="en-GB"/>
        </w:rPr>
      </w:pPr>
    </w:p>
    <w:p w14:paraId="62EBEE23" w14:textId="77777777" w:rsidR="00FE60B6" w:rsidRDefault="00FE60B6" w:rsidP="00497863">
      <w:pPr>
        <w:rPr>
          <w:rFonts w:ascii="Avenir Next Demi Bold" w:hAnsi="Avenir Next Demi Bold"/>
          <w:b/>
          <w:bCs/>
          <w:color w:val="000000" w:themeColor="text1"/>
          <w:lang w:val="en-GB"/>
        </w:rPr>
      </w:pPr>
    </w:p>
    <w:p w14:paraId="1151B48C" w14:textId="77777777" w:rsidR="00FE60B6" w:rsidRDefault="00FE60B6" w:rsidP="00497863">
      <w:pPr>
        <w:rPr>
          <w:rFonts w:ascii="Avenir Next Demi Bold" w:hAnsi="Avenir Next Demi Bold"/>
          <w:b/>
          <w:bCs/>
          <w:color w:val="000000" w:themeColor="text1"/>
          <w:lang w:val="en-GB"/>
        </w:rPr>
      </w:pPr>
    </w:p>
    <w:p w14:paraId="2A5030AB" w14:textId="101BB09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lastRenderedPageBreak/>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0ECB8AE1" w14:textId="2EB4001F" w:rsidR="00A90D21" w:rsidRDefault="0007488E" w:rsidP="00A514C8">
      <w:pPr>
        <w:rPr>
          <w:color w:val="808080" w:themeColor="background1" w:themeShade="80"/>
        </w:rPr>
      </w:pPr>
      <w:r>
        <w:rPr>
          <w:color w:val="808080" w:themeColor="background1" w:themeShade="80"/>
        </w:rPr>
        <w:t>The trustee has the right to recover payments of all debts owing to the insolvent in respect of transactions subsequent to sequestration unless such debts were contracted in the course of the insolvent following his profession or calling or in the performance of any contract of service, or in the carrying on of a duly authorised trade</w:t>
      </w:r>
      <w:r w:rsidR="007A2C93">
        <w:rPr>
          <w:color w:val="808080" w:themeColor="background1" w:themeShade="80"/>
        </w:rPr>
        <w:t>. Consequently, the payment of such a debt to the insolvent is no defence to a claim of payment made by the Trustee, unless it seems the debtor can satisfy the court that he was ignorant of the sequestration at the time of making payment.</w:t>
      </w:r>
    </w:p>
    <w:p w14:paraId="07AAC0C4" w14:textId="3CB1CFE8" w:rsidR="007A2C93" w:rsidRDefault="007A2C93" w:rsidP="00A514C8">
      <w:pPr>
        <w:rPr>
          <w:color w:val="808080" w:themeColor="background1" w:themeShade="80"/>
        </w:rPr>
      </w:pPr>
    </w:p>
    <w:p w14:paraId="0C81D3AC" w14:textId="473ED879" w:rsidR="007A2C93" w:rsidRPr="0007488E" w:rsidRDefault="007A2C93" w:rsidP="00A514C8">
      <w:pPr>
        <w:rPr>
          <w:color w:val="808080" w:themeColor="background1" w:themeShade="80"/>
        </w:rPr>
      </w:pPr>
      <w:r>
        <w:rPr>
          <w:color w:val="808080" w:themeColor="background1" w:themeShade="80"/>
        </w:rPr>
        <w:t>Mars: The law of Insolvency in South Africa pages 203 - 204</w:t>
      </w: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141F5FA5" w14:textId="4A758266" w:rsidR="00264EC3"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p>
    <w:p w14:paraId="5CEF88AF" w14:textId="3C0C9393" w:rsidR="00EB6910" w:rsidRDefault="00EB6910" w:rsidP="00EB6910">
      <w:pPr>
        <w:tabs>
          <w:tab w:val="right" w:pos="9021"/>
        </w:tabs>
      </w:pPr>
      <w:r>
        <w:tab/>
      </w:r>
      <w:r w:rsidRPr="00EB6910">
        <w:rPr>
          <w:rFonts w:ascii="Avenir Next Demi Bold" w:hAnsi="Avenir Next Demi Bold"/>
          <w:b/>
          <w:bCs/>
        </w:rPr>
        <w:t>(2)</w:t>
      </w:r>
    </w:p>
    <w:p w14:paraId="2B3DF3F8" w14:textId="77777777" w:rsidR="00966275" w:rsidRDefault="00966275" w:rsidP="007A2C93"/>
    <w:p w14:paraId="569E5478" w14:textId="650C7DAB" w:rsidR="00264EC3" w:rsidRDefault="00264EC3" w:rsidP="007A2C93">
      <w:pPr>
        <w:rPr>
          <w:color w:val="808080" w:themeColor="background1" w:themeShade="80"/>
        </w:rPr>
      </w:pPr>
      <w:r>
        <w:rPr>
          <w:color w:val="808080" w:themeColor="background1" w:themeShade="80"/>
        </w:rPr>
        <w:t>Voluntary surrender - There is an advantage to creditors when a calculation of the expected dividend is done and that dividend would be adequate if it is 20 cents in the rand or more.</w:t>
      </w:r>
    </w:p>
    <w:p w14:paraId="1C53DCB6" w14:textId="77777777" w:rsidR="00264EC3" w:rsidRDefault="00264EC3" w:rsidP="007A2C93">
      <w:pPr>
        <w:rPr>
          <w:color w:val="808080" w:themeColor="background1" w:themeShade="80"/>
        </w:rPr>
      </w:pPr>
    </w:p>
    <w:p w14:paraId="5A75D593" w14:textId="34498D29" w:rsidR="007A2C93" w:rsidRDefault="00264EC3" w:rsidP="007A2C93">
      <w:pPr>
        <w:rPr>
          <w:color w:val="808080" w:themeColor="background1" w:themeShade="80"/>
        </w:rPr>
      </w:pPr>
      <w:r>
        <w:rPr>
          <w:color w:val="808080" w:themeColor="background1" w:themeShade="80"/>
        </w:rPr>
        <w:t xml:space="preserve">Compulsory sequestration – </w:t>
      </w:r>
      <w:r w:rsidR="0043289E">
        <w:rPr>
          <w:color w:val="808080" w:themeColor="background1" w:themeShade="80"/>
        </w:rPr>
        <w:t>T</w:t>
      </w:r>
      <w:r>
        <w:rPr>
          <w:color w:val="808080" w:themeColor="background1" w:themeShade="80"/>
        </w:rPr>
        <w:t xml:space="preserve">he applicant must proof that the sequestration is to the advantage of the creditors as a group. </w:t>
      </w:r>
      <w:r w:rsidR="008E7D44">
        <w:rPr>
          <w:color w:val="808080" w:themeColor="background1" w:themeShade="80"/>
        </w:rPr>
        <w:t>Evidence is required that property of the respondent can be realised and that there is a reasonable prospect of payment of a dividend to prove</w:t>
      </w:r>
      <w:r w:rsidR="0043289E">
        <w:rPr>
          <w:color w:val="808080" w:themeColor="background1" w:themeShade="80"/>
        </w:rPr>
        <w:t>n</w:t>
      </w:r>
      <w:r w:rsidR="008E7D44">
        <w:rPr>
          <w:color w:val="808080" w:themeColor="background1" w:themeShade="80"/>
        </w:rPr>
        <w:t xml:space="preserve"> creditors. </w:t>
      </w:r>
      <w:r>
        <w:rPr>
          <w:color w:val="808080" w:themeColor="background1" w:themeShade="80"/>
        </w:rPr>
        <w:t xml:space="preserve">It has been held that an applicant may establish advantage on other grounds, such as the avoidance of unfair distribution of the respondent’s assets, interrogation or the respondent, investigation of his affairs, coupled with a not unreasonable prospect that assets may be revealed or recovered as a result of investigation. </w:t>
      </w:r>
    </w:p>
    <w:p w14:paraId="1426939D" w14:textId="77777777" w:rsidR="007A2C93" w:rsidRPr="007A2C93" w:rsidRDefault="007A2C93" w:rsidP="007A2C93">
      <w:pPr>
        <w:rPr>
          <w:color w:val="808080" w:themeColor="background1" w:themeShade="80"/>
        </w:rPr>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51DD21D6" w14:textId="2D76224D" w:rsidR="00CC2E46" w:rsidRDefault="008E7D44" w:rsidP="00CC2E46">
      <w:pPr>
        <w:rPr>
          <w:color w:val="808080" w:themeColor="background1" w:themeShade="80"/>
        </w:rPr>
      </w:pPr>
      <w:r>
        <w:rPr>
          <w:color w:val="808080" w:themeColor="background1" w:themeShade="80"/>
        </w:rPr>
        <w:t>In terms of Section 64 - 66 of the Insolvency Act – for a public interrogation;</w:t>
      </w:r>
    </w:p>
    <w:p w14:paraId="280EB413" w14:textId="0ACAFA4C" w:rsidR="008E7D44" w:rsidRDefault="008E7D44" w:rsidP="00CC2E46">
      <w:pPr>
        <w:rPr>
          <w:color w:val="808080" w:themeColor="background1" w:themeShade="80"/>
        </w:rPr>
      </w:pPr>
      <w:r>
        <w:rPr>
          <w:color w:val="808080" w:themeColor="background1" w:themeShade="80"/>
        </w:rPr>
        <w:t>In terms of Section 414 – 416 of the Companies Act – for a public interrogation;</w:t>
      </w:r>
    </w:p>
    <w:p w14:paraId="27F0FA05" w14:textId="3FC9338E" w:rsidR="008E7D44" w:rsidRDefault="008E7D44" w:rsidP="00CC2E46">
      <w:pPr>
        <w:rPr>
          <w:color w:val="808080" w:themeColor="background1" w:themeShade="80"/>
        </w:rPr>
      </w:pPr>
      <w:r>
        <w:rPr>
          <w:color w:val="808080" w:themeColor="background1" w:themeShade="80"/>
        </w:rPr>
        <w:t>In terms of Section 152 of the Insolvency Act – for private interrogation;</w:t>
      </w:r>
    </w:p>
    <w:p w14:paraId="6B847071" w14:textId="7FC8515F" w:rsidR="008E7D44" w:rsidRDefault="008E7D44" w:rsidP="00CC2E46">
      <w:pPr>
        <w:rPr>
          <w:color w:val="808080" w:themeColor="background1" w:themeShade="80"/>
        </w:rPr>
      </w:pPr>
      <w:r>
        <w:rPr>
          <w:color w:val="808080" w:themeColor="background1" w:themeShade="80"/>
        </w:rPr>
        <w:t>In terms of Section 417 &amp; 418 of the Companies Act – for private inter</w:t>
      </w:r>
      <w:r w:rsidR="000F1BB5">
        <w:rPr>
          <w:color w:val="808080" w:themeColor="background1" w:themeShade="80"/>
        </w:rPr>
        <w:t>rogation;</w:t>
      </w:r>
    </w:p>
    <w:p w14:paraId="42E6AFA2" w14:textId="0AA7C730" w:rsidR="000F1BB5" w:rsidRPr="00CC2E46" w:rsidRDefault="000F1BB5" w:rsidP="00CC2E46">
      <w:pPr>
        <w:rPr>
          <w:color w:val="808080" w:themeColor="background1" w:themeShade="80"/>
        </w:rPr>
      </w:pPr>
      <w:r>
        <w:rPr>
          <w:color w:val="808080" w:themeColor="background1" w:themeShade="80"/>
        </w:rPr>
        <w:t>Subpoena to produce books and relevant documents.</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7DA7FB34" w14:textId="6303BDE8" w:rsidR="00CC2E46" w:rsidRDefault="000F1BB5" w:rsidP="000F1BB5">
      <w:pPr>
        <w:pStyle w:val="ListParagraph"/>
        <w:numPr>
          <w:ilvl w:val="0"/>
          <w:numId w:val="32"/>
        </w:numPr>
        <w:rPr>
          <w:color w:val="808080" w:themeColor="background1" w:themeShade="80"/>
        </w:rPr>
      </w:pPr>
      <w:r>
        <w:rPr>
          <w:color w:val="808080" w:themeColor="background1" w:themeShade="80"/>
        </w:rPr>
        <w:t>Can the section apply to a winding-up?</w:t>
      </w:r>
    </w:p>
    <w:p w14:paraId="219966AB" w14:textId="2030B3D9" w:rsidR="000F1BB5" w:rsidRDefault="000F1BB5" w:rsidP="000F1BB5">
      <w:pPr>
        <w:pStyle w:val="ListParagraph"/>
        <w:numPr>
          <w:ilvl w:val="0"/>
          <w:numId w:val="32"/>
        </w:numPr>
        <w:rPr>
          <w:color w:val="808080" w:themeColor="background1" w:themeShade="80"/>
        </w:rPr>
      </w:pPr>
      <w:r>
        <w:rPr>
          <w:color w:val="808080" w:themeColor="background1" w:themeShade="80"/>
        </w:rPr>
        <w:t>Is the matter specially provided for by the Companies Act</w:t>
      </w:r>
    </w:p>
    <w:p w14:paraId="07704E72" w14:textId="37D2B549" w:rsidR="000F1BB5" w:rsidRPr="000F1BB5" w:rsidRDefault="000F1BB5" w:rsidP="000F1BB5">
      <w:pPr>
        <w:pStyle w:val="ListParagraph"/>
        <w:numPr>
          <w:ilvl w:val="0"/>
          <w:numId w:val="32"/>
        </w:numPr>
        <w:rPr>
          <w:color w:val="808080" w:themeColor="background1" w:themeShade="80"/>
        </w:rPr>
      </w:pPr>
      <w:r>
        <w:rPr>
          <w:color w:val="808080" w:themeColor="background1" w:themeShade="80"/>
        </w:rPr>
        <w:t>Does the provision apply to the mode of liquidation in question?</w:t>
      </w:r>
    </w:p>
    <w:p w14:paraId="2E76306E" w14:textId="77777777" w:rsidR="00FE60B6" w:rsidRDefault="00FE60B6" w:rsidP="00EF285F">
      <w:pPr>
        <w:rPr>
          <w:lang w:val="en-GB"/>
        </w:rPr>
      </w:pPr>
    </w:p>
    <w:p w14:paraId="79E68BCD" w14:textId="06881ABB"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lastRenderedPageBreak/>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02C54BB0" w:rsidR="00CC2E46" w:rsidRDefault="009E2AA2" w:rsidP="00CC2E46">
      <w:pPr>
        <w:rPr>
          <w:color w:val="808080" w:themeColor="background1" w:themeShade="80"/>
        </w:rPr>
      </w:pPr>
      <w:r>
        <w:rPr>
          <w:color w:val="808080" w:themeColor="background1" w:themeShade="80"/>
        </w:rPr>
        <w:t>Not only the partnership is sequestrated, but at the same time the estate of every member of that partnership</w:t>
      </w:r>
      <w:r w:rsidR="00966275">
        <w:rPr>
          <w:color w:val="808080" w:themeColor="background1" w:themeShade="80"/>
        </w:rPr>
        <w:t>,</w:t>
      </w:r>
      <w:r>
        <w:rPr>
          <w:color w:val="808080" w:themeColor="background1" w:themeShade="80"/>
        </w:rPr>
        <w:t xml:space="preserve"> other than a partner </w:t>
      </w:r>
      <w:r w:rsidRPr="00D3757C">
        <w:rPr>
          <w:i/>
          <w:iCs/>
          <w:color w:val="808080" w:themeColor="background1" w:themeShade="80"/>
        </w:rPr>
        <w:t>en commandite</w:t>
      </w:r>
      <w:r>
        <w:rPr>
          <w:color w:val="808080" w:themeColor="background1" w:themeShade="80"/>
        </w:rPr>
        <w:t xml:space="preserve"> or a special partner who has not held himself out as an ordinary or general partner, or a partner exempted because of military or police service.</w:t>
      </w:r>
    </w:p>
    <w:p w14:paraId="265AAEDF" w14:textId="7FF36E2F" w:rsidR="009E2AA2" w:rsidRDefault="009E2AA2" w:rsidP="00CC2E46">
      <w:pPr>
        <w:rPr>
          <w:color w:val="808080" w:themeColor="background1" w:themeShade="80"/>
        </w:rPr>
      </w:pPr>
    </w:p>
    <w:p w14:paraId="38D704B9" w14:textId="6CA0C6CE" w:rsidR="009E2AA2" w:rsidRPr="00CC2E46" w:rsidRDefault="009E2AA2" w:rsidP="00CC2E46">
      <w:pPr>
        <w:rPr>
          <w:color w:val="808080" w:themeColor="background1" w:themeShade="80"/>
        </w:rPr>
      </w:pPr>
      <w:r>
        <w:rPr>
          <w:color w:val="808080" w:themeColor="background1" w:themeShade="80"/>
        </w:rPr>
        <w:t>Mars: The Law of Insolvency in South Africa page 657</w:t>
      </w:r>
    </w:p>
    <w:p w14:paraId="1D113DB8" w14:textId="5174059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2A81CF6" w14:textId="001339B7" w:rsidR="00CC2E46" w:rsidRDefault="009E2AA2" w:rsidP="00CC2E46">
      <w:pPr>
        <w:rPr>
          <w:color w:val="808080" w:themeColor="background1" w:themeShade="80"/>
        </w:rPr>
      </w:pPr>
      <w:r>
        <w:rPr>
          <w:color w:val="808080" w:themeColor="background1" w:themeShade="80"/>
        </w:rPr>
        <w:t>Stay of sale and execution – it is unlawful to sell any property in the estate which has been attached under a writ of execution or other similar process.</w:t>
      </w:r>
    </w:p>
    <w:p w14:paraId="7C99C751" w14:textId="32806437" w:rsidR="009E2AA2" w:rsidRDefault="009E2AA2" w:rsidP="00CC2E46">
      <w:pPr>
        <w:rPr>
          <w:color w:val="808080" w:themeColor="background1" w:themeShade="80"/>
        </w:rPr>
      </w:pPr>
    </w:p>
    <w:p w14:paraId="029167ED" w14:textId="225C0D5B" w:rsidR="009E2AA2" w:rsidRDefault="009E2AA2" w:rsidP="00CC2E46">
      <w:pPr>
        <w:rPr>
          <w:color w:val="808080" w:themeColor="background1" w:themeShade="80"/>
        </w:rPr>
      </w:pPr>
      <w:r w:rsidRPr="009E2AA2">
        <w:rPr>
          <w:i/>
          <w:iCs/>
          <w:color w:val="808080" w:themeColor="background1" w:themeShade="80"/>
        </w:rPr>
        <w:t>Curator bonis</w:t>
      </w:r>
      <w:r>
        <w:rPr>
          <w:color w:val="808080" w:themeColor="background1" w:themeShade="80"/>
        </w:rPr>
        <w:t xml:space="preserve"> may be appointed – the debtor is still a</w:t>
      </w:r>
      <w:r w:rsidR="0001553B">
        <w:rPr>
          <w:color w:val="808080" w:themeColor="background1" w:themeShade="80"/>
        </w:rPr>
        <w:t>t</w:t>
      </w:r>
      <w:r>
        <w:rPr>
          <w:color w:val="808080" w:themeColor="background1" w:themeShade="80"/>
        </w:rPr>
        <w:t xml:space="preserve"> liberty to deal with his property as he chooses, but as a save guard against the debtor dissipating his assets after a notice of surrender, the Master may appoint a </w:t>
      </w:r>
      <w:r w:rsidRPr="009E2AA2">
        <w:rPr>
          <w:i/>
          <w:iCs/>
          <w:color w:val="808080" w:themeColor="background1" w:themeShade="80"/>
        </w:rPr>
        <w:t>Curator bonis</w:t>
      </w:r>
      <w:r>
        <w:rPr>
          <w:color w:val="808080" w:themeColor="background1" w:themeShade="80"/>
        </w:rPr>
        <w:t>.</w:t>
      </w:r>
    </w:p>
    <w:p w14:paraId="285672A8" w14:textId="17796389" w:rsidR="009E2AA2" w:rsidRDefault="009E2AA2" w:rsidP="00CC2E46">
      <w:pPr>
        <w:rPr>
          <w:color w:val="808080" w:themeColor="background1" w:themeShade="80"/>
        </w:rPr>
      </w:pPr>
    </w:p>
    <w:p w14:paraId="26EC43B5" w14:textId="3E4AEEFF" w:rsidR="009E2AA2" w:rsidRDefault="009E2AA2" w:rsidP="00CC2E46">
      <w:pPr>
        <w:rPr>
          <w:color w:val="808080" w:themeColor="background1" w:themeShade="80"/>
        </w:rPr>
      </w:pPr>
      <w:r>
        <w:rPr>
          <w:color w:val="808080" w:themeColor="background1" w:themeShade="80"/>
        </w:rPr>
        <w:t xml:space="preserve">A potential compulsory sequestration </w:t>
      </w:r>
      <w:r w:rsidR="005E5A62">
        <w:rPr>
          <w:color w:val="808080" w:themeColor="background1" w:themeShade="80"/>
        </w:rPr>
        <w:t>–</w:t>
      </w:r>
      <w:r>
        <w:rPr>
          <w:color w:val="808080" w:themeColor="background1" w:themeShade="80"/>
        </w:rPr>
        <w:t xml:space="preserve"> </w:t>
      </w:r>
      <w:r w:rsidR="005E5A62">
        <w:rPr>
          <w:color w:val="808080" w:themeColor="background1" w:themeShade="80"/>
        </w:rPr>
        <w:t>after publishing a notice of surrender and a number of other requirements the notice of surrender may be an act of insolvency which entitles a creditor to apply for compulsory sequestration.</w:t>
      </w:r>
    </w:p>
    <w:p w14:paraId="472E54F0" w14:textId="77777777" w:rsidR="00CC2E46" w:rsidRPr="000451AA"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3917D83E" w:rsidR="00CC2E46" w:rsidRPr="00CC2E46" w:rsidRDefault="005E5A62" w:rsidP="00CC2E46">
      <w:pPr>
        <w:rPr>
          <w:color w:val="808080" w:themeColor="background1" w:themeShade="80"/>
        </w:rPr>
      </w:pPr>
      <w:r>
        <w:rPr>
          <w:color w:val="808080" w:themeColor="background1" w:themeShade="80"/>
        </w:rPr>
        <w:t>Her pension will not fall into her insolvent estate as provided for in Section 23(7) of the Insolvency Act.</w:t>
      </w: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6CBCF84D" w14:textId="06999E8C" w:rsidR="00470B76" w:rsidRDefault="00470B76" w:rsidP="00470B76">
      <w:pPr>
        <w:rPr>
          <w:lang w:val="en-GB"/>
        </w:rPr>
      </w:pPr>
    </w:p>
    <w:p w14:paraId="655D44C5" w14:textId="308B855E" w:rsidR="00D75CC5" w:rsidRDefault="007C4955" w:rsidP="00CC2E46">
      <w:pPr>
        <w:rPr>
          <w:color w:val="808080" w:themeColor="background1" w:themeShade="80"/>
        </w:rPr>
      </w:pPr>
      <w:r>
        <w:rPr>
          <w:color w:val="808080" w:themeColor="background1" w:themeShade="80"/>
        </w:rPr>
        <w:t xml:space="preserve">In terms of Section 63 (1) of the Long-Term Insurance Act 1998, “subject to the provisions of subsections (2) and (3), policy benefits provided or to be provided to a person under one or more assistance, life, disability or health policies in which that person or the spouse of that person is the life insured and which has or have been in force for at least three years (or the assets acquired exclusively with those policy benefits), shall other than that for a debt secured by the policy – (a) during his or her lifetime, not be liable to be attached or subjected to execution under a judgement of a court or form </w:t>
      </w:r>
      <w:r>
        <w:rPr>
          <w:color w:val="808080" w:themeColor="background1" w:themeShade="80"/>
        </w:rPr>
        <w:lastRenderedPageBreak/>
        <w:t>part of his or her insolvent estate</w:t>
      </w:r>
      <w:r w:rsidR="00D75CC5">
        <w:rPr>
          <w:color w:val="808080" w:themeColor="background1" w:themeShade="80"/>
        </w:rPr>
        <w:t>, (b) upon his or her death , if he or she is survived by a spouse, child, stepchild or parent, not be available for the purpose of the payment of his or her debts.</w:t>
      </w:r>
    </w:p>
    <w:p w14:paraId="74FA410F" w14:textId="77777777" w:rsidR="00D75CC5" w:rsidRDefault="00D75CC5" w:rsidP="00CC2E46">
      <w:pPr>
        <w:rPr>
          <w:color w:val="808080" w:themeColor="background1" w:themeShade="80"/>
        </w:rPr>
      </w:pPr>
    </w:p>
    <w:p w14:paraId="63E96747" w14:textId="4A3CF542" w:rsidR="00A514C8" w:rsidRDefault="00D75CC5" w:rsidP="00470B76">
      <w:pPr>
        <w:rPr>
          <w:color w:val="808080" w:themeColor="background1" w:themeShade="80"/>
        </w:rPr>
      </w:pPr>
      <w:r>
        <w:rPr>
          <w:color w:val="808080" w:themeColor="background1" w:themeShade="80"/>
        </w:rPr>
        <w:t>Until the Financial Services General Amendment Act of 2013 came into operation on 28 February 2014, the protection under Section 63 was limited to an aggregate amount of R 50 000.00. The amended Section 63 removed this limit, and now protects the full value of the policy benefit.</w:t>
      </w:r>
    </w:p>
    <w:p w14:paraId="1F99D3A6" w14:textId="6B5945A5" w:rsidR="00D75CC5" w:rsidRDefault="00D75CC5" w:rsidP="00470B76">
      <w:pPr>
        <w:rPr>
          <w:color w:val="808080" w:themeColor="background1" w:themeShade="80"/>
        </w:rPr>
      </w:pPr>
    </w:p>
    <w:p w14:paraId="5AD1A993" w14:textId="10CCB4B4" w:rsidR="00D75CC5" w:rsidRDefault="00D75CC5" w:rsidP="00470B76">
      <w:pPr>
        <w:rPr>
          <w:color w:val="808080" w:themeColor="background1" w:themeShade="80"/>
        </w:rPr>
      </w:pPr>
      <w:r>
        <w:rPr>
          <w:color w:val="808080" w:themeColor="background1" w:themeShade="80"/>
        </w:rPr>
        <w:t>The protection applies to policy benefits and assets acquired solely with the policy benefits for a period of five years from the date when the policy benefits were provided. A person claiming protection in terms of Section 63(1) must be able to prove, on a balance of probabilities, that the protection is afforded to him or her under the section.</w:t>
      </w:r>
    </w:p>
    <w:p w14:paraId="183D24E0" w14:textId="7CBC63C9" w:rsidR="00D75CC5" w:rsidRDefault="00D75CC5" w:rsidP="00470B76">
      <w:pPr>
        <w:rPr>
          <w:color w:val="808080" w:themeColor="background1" w:themeShade="80"/>
        </w:rPr>
      </w:pPr>
    </w:p>
    <w:p w14:paraId="624D21FC" w14:textId="09EADA82" w:rsidR="00D75CC5" w:rsidRPr="00CD64BF" w:rsidRDefault="00D75CC5" w:rsidP="00470B76">
      <w:pPr>
        <w:rPr>
          <w:color w:val="808080" w:themeColor="background1" w:themeShade="80"/>
        </w:rPr>
      </w:pPr>
      <w:r>
        <w:rPr>
          <w:color w:val="808080" w:themeColor="background1" w:themeShade="80"/>
        </w:rPr>
        <w:t xml:space="preserve">In the case of </w:t>
      </w:r>
      <w:r w:rsidRPr="00F3629A">
        <w:rPr>
          <w:i/>
          <w:iCs/>
          <w:color w:val="808080" w:themeColor="background1" w:themeShade="80"/>
        </w:rPr>
        <w:t xml:space="preserve">Pieterse v Shrosbee NO &amp; Others; Shrosbee NO v Love and Others </w:t>
      </w:r>
      <w:r w:rsidR="00CD0347" w:rsidRPr="00F3629A">
        <w:rPr>
          <w:i/>
          <w:iCs/>
          <w:color w:val="808080" w:themeColor="background1" w:themeShade="80"/>
        </w:rPr>
        <w:t>2005 (1) SA 309 (SCA)</w:t>
      </w:r>
      <w:r w:rsidR="00CD0347">
        <w:rPr>
          <w:color w:val="808080" w:themeColor="background1" w:themeShade="80"/>
        </w:rPr>
        <w:t xml:space="preserve"> </w:t>
      </w:r>
      <w:r>
        <w:rPr>
          <w:color w:val="808080" w:themeColor="background1" w:themeShade="80"/>
        </w:rPr>
        <w:t>it was decided by the Supreme Court of Appeal</w:t>
      </w:r>
      <w:r w:rsidR="00CD0347">
        <w:rPr>
          <w:color w:val="808080" w:themeColor="background1" w:themeShade="80"/>
        </w:rPr>
        <w:t xml:space="preserve"> that section 63 does not regulate the payment of the proceeds of the insurance policies </w:t>
      </w:r>
      <w:r w:rsidR="00CD0347" w:rsidRPr="00CD0347">
        <w:rPr>
          <w:i/>
          <w:iCs/>
          <w:color w:val="808080" w:themeColor="background1" w:themeShade="80"/>
        </w:rPr>
        <w:t>in casu</w:t>
      </w:r>
      <w:r w:rsidR="00CD0347">
        <w:rPr>
          <w:color w:val="808080" w:themeColor="background1" w:themeShade="80"/>
        </w:rPr>
        <w:t>, since the appointment of a beneficiary has the effect that payment of the proceeds will be made directly to the beneficiary and not to the estate of the deceased. The insolvent estate will have no claim to those policy proceeds as it is directly paid to the beneficiaries, and has the effect that all benefits under policies can be protected against creditors of an insolvent estate.</w:t>
      </w:r>
      <w:r w:rsidR="00CD64BF">
        <w:rPr>
          <w:color w:val="808080" w:themeColor="background1" w:themeShade="80"/>
        </w:rPr>
        <w:t xml:space="preserve"> In the case of </w:t>
      </w:r>
      <w:r w:rsidR="00CD64BF" w:rsidRPr="00CD64BF">
        <w:rPr>
          <w:i/>
          <w:iCs/>
          <w:color w:val="808080" w:themeColor="background1" w:themeShade="80"/>
        </w:rPr>
        <w:t>Pieterse</w:t>
      </w:r>
      <w:r w:rsidR="00CD64BF">
        <w:rPr>
          <w:i/>
          <w:iCs/>
          <w:color w:val="808080" w:themeColor="background1" w:themeShade="80"/>
        </w:rPr>
        <w:t xml:space="preserve"> </w:t>
      </w:r>
      <w:r w:rsidR="00CD64BF" w:rsidRPr="00CD64BF">
        <w:rPr>
          <w:color w:val="808080" w:themeColor="background1" w:themeShade="80"/>
        </w:rPr>
        <w:t>the protection in terms of Section 63 did not kick in as</w:t>
      </w:r>
      <w:r w:rsidR="00CD64BF">
        <w:rPr>
          <w:color w:val="808080" w:themeColor="background1" w:themeShade="80"/>
        </w:rPr>
        <w:t xml:space="preserve"> the relevant policy was in force less than three years at the time of the deceased death. In the case of </w:t>
      </w:r>
      <w:r w:rsidR="00CD64BF" w:rsidRPr="00CD64BF">
        <w:rPr>
          <w:i/>
          <w:iCs/>
          <w:color w:val="808080" w:themeColor="background1" w:themeShade="80"/>
        </w:rPr>
        <w:t>Love</w:t>
      </w:r>
      <w:r w:rsidR="00CD64BF">
        <w:rPr>
          <w:i/>
          <w:iCs/>
          <w:color w:val="808080" w:themeColor="background1" w:themeShade="80"/>
        </w:rPr>
        <w:t xml:space="preserve">, </w:t>
      </w:r>
      <w:r w:rsidR="00CD64BF" w:rsidRPr="00CD64BF">
        <w:rPr>
          <w:color w:val="808080" w:themeColor="background1" w:themeShade="80"/>
        </w:rPr>
        <w:t>although the policy</w:t>
      </w:r>
      <w:r w:rsidR="00CD64BF">
        <w:rPr>
          <w:color w:val="808080" w:themeColor="background1" w:themeShade="80"/>
        </w:rPr>
        <w:t xml:space="preserve"> was in force for a period in excess of three years, the nominated beneficiaries were not “protected persons” in terms of the section </w:t>
      </w:r>
    </w:p>
    <w:p w14:paraId="79868BCD" w14:textId="39AE3042" w:rsidR="00CD0347" w:rsidRDefault="00CD0347" w:rsidP="00470B76">
      <w:pPr>
        <w:rPr>
          <w:color w:val="808080" w:themeColor="background1" w:themeShade="80"/>
        </w:rPr>
      </w:pPr>
    </w:p>
    <w:p w14:paraId="6A7E2652" w14:textId="65F54333" w:rsidR="00CD0347" w:rsidRPr="0093458A" w:rsidRDefault="00CD0347" w:rsidP="00470B76">
      <w:pPr>
        <w:rPr>
          <w:color w:val="808080" w:themeColor="background1" w:themeShade="80"/>
        </w:rPr>
      </w:pPr>
      <w:r>
        <w:rPr>
          <w:color w:val="808080" w:themeColor="background1" w:themeShade="80"/>
        </w:rPr>
        <w:t xml:space="preserve">Where the estate of the holder of a policy is sequestrated before acceptance of the policy benefits, the beforementioned case is not applicable, and was it decided </w:t>
      </w:r>
      <w:r w:rsidR="0093458A">
        <w:rPr>
          <w:color w:val="808080" w:themeColor="background1" w:themeShade="80"/>
        </w:rPr>
        <w:t xml:space="preserve">by the court </w:t>
      </w:r>
      <w:r>
        <w:rPr>
          <w:color w:val="808080" w:themeColor="background1" w:themeShade="80"/>
        </w:rPr>
        <w:t xml:space="preserve">in the case of </w:t>
      </w:r>
      <w:r w:rsidRPr="00F3629A">
        <w:rPr>
          <w:i/>
          <w:iCs/>
          <w:color w:val="808080" w:themeColor="background1" w:themeShade="80"/>
        </w:rPr>
        <w:t xml:space="preserve">Malcolm Wentzel v Discovery Life Limited and Others: In Re Botha and Others NNO v Wentzel 1001/19 </w:t>
      </w:r>
      <w:r w:rsidRPr="00F3629A">
        <w:rPr>
          <w:rFonts w:ascii="Calibri" w:hAnsi="Calibri" w:cs="Calibri"/>
          <w:i/>
          <w:iCs/>
          <w:color w:val="808080" w:themeColor="background1" w:themeShade="80"/>
        </w:rPr>
        <w:t>[</w:t>
      </w:r>
      <w:r w:rsidRPr="00F3629A">
        <w:rPr>
          <w:i/>
          <w:iCs/>
          <w:color w:val="808080" w:themeColor="background1" w:themeShade="80"/>
        </w:rPr>
        <w:t>2020</w:t>
      </w:r>
      <w:r w:rsidRPr="00F3629A">
        <w:rPr>
          <w:rFonts w:ascii="Calibri" w:hAnsi="Calibri" w:cs="Calibri"/>
          <w:i/>
          <w:iCs/>
          <w:color w:val="808080" w:themeColor="background1" w:themeShade="80"/>
        </w:rPr>
        <w:t>]</w:t>
      </w:r>
      <w:r w:rsidRPr="00F3629A">
        <w:rPr>
          <w:i/>
          <w:iCs/>
          <w:color w:val="808080" w:themeColor="background1" w:themeShade="80"/>
        </w:rPr>
        <w:t xml:space="preserve"> ZASCA 121 (2 October 2020)</w:t>
      </w:r>
      <w:r>
        <w:rPr>
          <w:color w:val="808080" w:themeColor="background1" w:themeShade="80"/>
        </w:rPr>
        <w:t xml:space="preserve">, </w:t>
      </w:r>
      <w:r w:rsidR="0000005F">
        <w:rPr>
          <w:color w:val="808080" w:themeColor="background1" w:themeShade="80"/>
        </w:rPr>
        <w:t>where</w:t>
      </w:r>
      <w:r>
        <w:rPr>
          <w:color w:val="808080" w:themeColor="background1" w:themeShade="80"/>
        </w:rPr>
        <w:t xml:space="preserve"> the appellant, Mr Wentzel was married in community of property</w:t>
      </w:r>
      <w:r w:rsidR="0000005F">
        <w:rPr>
          <w:color w:val="808080" w:themeColor="background1" w:themeShade="80"/>
        </w:rPr>
        <w:t xml:space="preserve"> and where he concluded a contract of insurance in terms of which his wife’s life was insured. In terms of the contract Mr Wentzel was appointed as the beneficiary of the proceeds payable upon her death. In terms of the same policy Mr Wentzel’s life was also insured and was his wife the beneficiary of the proceeds upon his death. The estate of the Wentzel</w:t>
      </w:r>
      <w:r w:rsidR="00DE098C">
        <w:rPr>
          <w:color w:val="808080" w:themeColor="background1" w:themeShade="80"/>
        </w:rPr>
        <w:t>s</w:t>
      </w:r>
      <w:r w:rsidR="0000005F">
        <w:rPr>
          <w:color w:val="808080" w:themeColor="background1" w:themeShade="80"/>
        </w:rPr>
        <w:t xml:space="preserve"> was finally sequestrated in April 2012, and Mrs Wentzel passed away in April 2017</w:t>
      </w:r>
      <w:r w:rsidR="00F3629A">
        <w:rPr>
          <w:color w:val="808080" w:themeColor="background1" w:themeShade="80"/>
        </w:rPr>
        <w:t>. The question before court was whether a unrehabilita</w:t>
      </w:r>
      <w:r w:rsidR="00C71653">
        <w:rPr>
          <w:color w:val="808080" w:themeColor="background1" w:themeShade="80"/>
        </w:rPr>
        <w:t>t</w:t>
      </w:r>
      <w:r w:rsidR="00F3629A">
        <w:rPr>
          <w:color w:val="808080" w:themeColor="background1" w:themeShade="80"/>
        </w:rPr>
        <w:t xml:space="preserve">ed </w:t>
      </w:r>
      <w:r w:rsidR="00C71653">
        <w:rPr>
          <w:color w:val="808080" w:themeColor="background1" w:themeShade="80"/>
        </w:rPr>
        <w:t>insolvent, who is the nominated beneficiary in terms of a life insurance policy, be entitled, to the exclusion of the trustees for the purposes of reali</w:t>
      </w:r>
      <w:r w:rsidR="0093458A">
        <w:rPr>
          <w:color w:val="808080" w:themeColor="background1" w:themeShade="80"/>
        </w:rPr>
        <w:t>s</w:t>
      </w:r>
      <w:r w:rsidR="00C71653">
        <w:rPr>
          <w:color w:val="808080" w:themeColor="background1" w:themeShade="80"/>
        </w:rPr>
        <w:t>ation and distribution for the benefit of the creditors of the joint insolvent estate. The court did not refer to Section 63 of the Long-Term Insurance Act, but rather Section 20(2) and 23 of the Insolvency Act and it was decided that the proceeds of the policy fell into his insolvent estate for the benefit of his creditors and that the proceeds vested in the trustees despite the fact that the first and final liquidation and distribution account was already filed and confirmed by the Master.</w:t>
      </w:r>
      <w:r w:rsidR="00DE098C">
        <w:rPr>
          <w:color w:val="808080" w:themeColor="background1" w:themeShade="80"/>
        </w:rPr>
        <w:t xml:space="preserve"> </w:t>
      </w:r>
      <w:r w:rsidR="0093458A">
        <w:rPr>
          <w:color w:val="808080" w:themeColor="background1" w:themeShade="80"/>
        </w:rPr>
        <w:t xml:space="preserve">It is said that the </w:t>
      </w:r>
      <w:r w:rsidR="00DE098C">
        <w:rPr>
          <w:color w:val="808080" w:themeColor="background1" w:themeShade="80"/>
        </w:rPr>
        <w:t>court failed to take into consideration the application of Section 63(1)</w:t>
      </w:r>
      <w:r w:rsidR="0093458A">
        <w:rPr>
          <w:color w:val="808080" w:themeColor="background1" w:themeShade="80"/>
        </w:rPr>
        <w:t xml:space="preserve">, as the policy benefits </w:t>
      </w:r>
      <w:r w:rsidR="0093458A" w:rsidRPr="0093458A">
        <w:rPr>
          <w:i/>
          <w:iCs/>
          <w:color w:val="808080" w:themeColor="background1" w:themeShade="80"/>
        </w:rPr>
        <w:t>in cas</w:t>
      </w:r>
      <w:r w:rsidR="0093458A">
        <w:rPr>
          <w:i/>
          <w:iCs/>
          <w:color w:val="808080" w:themeColor="background1" w:themeShade="80"/>
        </w:rPr>
        <w:t xml:space="preserve">u </w:t>
      </w:r>
      <w:r w:rsidR="0093458A">
        <w:rPr>
          <w:color w:val="808080" w:themeColor="background1" w:themeShade="80"/>
        </w:rPr>
        <w:t>was in terms of Section 63(1) “provided or to be provided to a person”, in this case Mr Wentzel</w:t>
      </w:r>
      <w:r w:rsidR="00CD64BF">
        <w:rPr>
          <w:color w:val="808080" w:themeColor="background1" w:themeShade="80"/>
        </w:rPr>
        <w:t>, who</w:t>
      </w:r>
      <w:r w:rsidR="0093458A">
        <w:rPr>
          <w:color w:val="808080" w:themeColor="background1" w:themeShade="80"/>
        </w:rPr>
        <w:t xml:space="preserve"> was the appointed beneficiary in the event of his wife</w:t>
      </w:r>
      <w:r w:rsidR="00CD64BF">
        <w:rPr>
          <w:color w:val="808080" w:themeColor="background1" w:themeShade="80"/>
        </w:rPr>
        <w:t>’s</w:t>
      </w:r>
      <w:r w:rsidR="0093458A">
        <w:rPr>
          <w:color w:val="808080" w:themeColor="background1" w:themeShade="80"/>
        </w:rPr>
        <w:t xml:space="preserve"> death, and “in which that person or the spouse of that person is the life insured”, in this case the life of both the husband and wife was insured. Mr Wentzel, as the policy holder was the “protected person” and was entitled to protection under the </w:t>
      </w:r>
      <w:r w:rsidR="00CD64BF">
        <w:rPr>
          <w:color w:val="808080" w:themeColor="background1" w:themeShade="80"/>
        </w:rPr>
        <w:t xml:space="preserve">Long-Term Insurance </w:t>
      </w:r>
      <w:r w:rsidR="0093458A">
        <w:rPr>
          <w:color w:val="808080" w:themeColor="background1" w:themeShade="80"/>
        </w:rPr>
        <w:t>Act. The policy was in force for at least three years and did not serve as security for any debts of the policyholder</w:t>
      </w:r>
      <w:r w:rsidR="00CD64BF">
        <w:rPr>
          <w:color w:val="808080" w:themeColor="background1" w:themeShade="80"/>
        </w:rPr>
        <w:t>, and it is thus submitted that the provisions of Section 63(1) kicked in and the policy benefits were protected in Mr Wentzel’s hands and shoul</w:t>
      </w:r>
      <w:r w:rsidR="00966275">
        <w:rPr>
          <w:color w:val="808080" w:themeColor="background1" w:themeShade="80"/>
        </w:rPr>
        <w:t>d</w:t>
      </w:r>
      <w:r w:rsidR="00CD64BF">
        <w:rPr>
          <w:color w:val="808080" w:themeColor="background1" w:themeShade="80"/>
        </w:rPr>
        <w:t xml:space="preserve"> during his lifetime, not form part of his insolvent estate.</w:t>
      </w:r>
    </w:p>
    <w:p w14:paraId="256C0E69" w14:textId="77777777" w:rsidR="00355029" w:rsidRDefault="00355029" w:rsidP="00470B76"/>
    <w:p w14:paraId="1E8AA34D" w14:textId="77777777" w:rsidR="00966275" w:rsidRDefault="00966275" w:rsidP="0077169C">
      <w:pPr>
        <w:rPr>
          <w:rFonts w:ascii="Avenir Next Demi Bold" w:hAnsi="Avenir Next Demi Bold"/>
          <w:b/>
          <w:bCs/>
          <w:lang w:val="en-GB"/>
        </w:rPr>
      </w:pPr>
    </w:p>
    <w:p w14:paraId="00EB71C5" w14:textId="77777777" w:rsidR="00966275" w:rsidRDefault="00966275" w:rsidP="0077169C">
      <w:pPr>
        <w:rPr>
          <w:rFonts w:ascii="Avenir Next Demi Bold" w:hAnsi="Avenir Next Demi Bold"/>
          <w:b/>
          <w:bCs/>
          <w:lang w:val="en-GB"/>
        </w:rPr>
      </w:pPr>
    </w:p>
    <w:p w14:paraId="163E1B87" w14:textId="77777777" w:rsidR="00966275" w:rsidRDefault="00966275" w:rsidP="0077169C">
      <w:pPr>
        <w:rPr>
          <w:rFonts w:ascii="Avenir Next Demi Bold" w:hAnsi="Avenir Next Demi Bold"/>
          <w:b/>
          <w:bCs/>
          <w:lang w:val="en-GB"/>
        </w:rPr>
      </w:pPr>
    </w:p>
    <w:p w14:paraId="5DC1268C" w14:textId="63783961"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lastRenderedPageBreak/>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3460196F" w14:textId="19AF3858" w:rsidR="00CC2E46" w:rsidRDefault="006A61F1" w:rsidP="00CC2E46">
      <w:pPr>
        <w:rPr>
          <w:color w:val="808080" w:themeColor="background1" w:themeShade="80"/>
        </w:rPr>
      </w:pPr>
      <w:r>
        <w:rPr>
          <w:color w:val="808080" w:themeColor="background1" w:themeShade="80"/>
        </w:rPr>
        <w:t xml:space="preserve">Section 20 of the Insolvency Act states that the estate of the insolvent, including property under attachment, vests in the trustee. </w:t>
      </w:r>
      <w:r w:rsidR="00966275">
        <w:rPr>
          <w:color w:val="808080" w:themeColor="background1" w:themeShade="80"/>
        </w:rPr>
        <w:t xml:space="preserve">Upon receipt of the sequestration order, the sheriff is required to attach and make an inventory of the movable property of the estate which is in the Sheriff’s district and which is not in possession of a person who claims to be entitled to retain in under a right of pledge or a right of retention. </w:t>
      </w:r>
      <w:r w:rsidR="009075EB">
        <w:rPr>
          <w:color w:val="808080" w:themeColor="background1" w:themeShade="80"/>
        </w:rPr>
        <w:t xml:space="preserve">Section 20(1)(b) provides the stay of any civil proceedings instituted by or against the insolvent, except such proceedings as may in terms of Section 23 be instituted by the insolvent for their own benefit or as may be instituted against the insolvent. Exceptions refers to proceedings that do not affect the insolvent estate, such as proceedings that relates to status or assets that do not form part of the insolvent estate. If a claim in respect of which proceedings were stayed is subsequently proved against the estate or is compromised by the trustee after being tendered for proof, the claimant may also prove a claim for their taxed costs incurred in connection with those proceedings before sequestration. </w:t>
      </w:r>
      <w:r w:rsidR="00F040AA">
        <w:rPr>
          <w:color w:val="808080" w:themeColor="background1" w:themeShade="80"/>
        </w:rPr>
        <w:t>Section 20(1)(c) provides that the execution of a judgement is stayed as soon as the sheriff concerned becomes aware of the sequestration, unless the court directs otherwise. The court may order that the execution be continued if it is expedient and necessary and the general body of creditor will not be prejudiced, however the proceeds must be paid to either the Master or the Trustee. It can also be in the best interest to proceed with a sale in execution, where the auction has already been arranged and the advertisements placed and a fair price is obtained at the auction.</w:t>
      </w:r>
      <w:r w:rsidR="009075EB">
        <w:rPr>
          <w:color w:val="808080" w:themeColor="background1" w:themeShade="80"/>
        </w:rPr>
        <w:t xml:space="preserve"> The publication of a notice of surrender can effectively stop a sale in e</w:t>
      </w:r>
      <w:r w:rsidR="00D96865">
        <w:rPr>
          <w:color w:val="808080" w:themeColor="background1" w:themeShade="80"/>
        </w:rPr>
        <w:t>xecution that has not taken place, but not the transfer of the property after the sale had taken place.</w:t>
      </w: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2E30CC81" w14:textId="7CE1551D" w:rsidR="0001553B" w:rsidRDefault="008B18AE" w:rsidP="0001553B">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23AA7F" w14:textId="77777777" w:rsidR="00FA3E3E" w:rsidRDefault="0001553B" w:rsidP="00FA3E3E">
      <w:pPr>
        <w:rPr>
          <w:color w:val="808080" w:themeColor="background1" w:themeShade="80"/>
        </w:rPr>
      </w:pPr>
      <w:r>
        <w:rPr>
          <w:color w:val="808080" w:themeColor="background1" w:themeShade="80"/>
        </w:rPr>
        <w:t>A business rescue practitioner’s renumeration is dealt with in Section 143</w:t>
      </w:r>
      <w:r w:rsidR="002C6A71">
        <w:rPr>
          <w:color w:val="808080" w:themeColor="background1" w:themeShade="80"/>
        </w:rPr>
        <w:t xml:space="preserve"> of the Companies Act 2008</w:t>
      </w:r>
      <w:r>
        <w:rPr>
          <w:color w:val="808080" w:themeColor="background1" w:themeShade="80"/>
        </w:rPr>
        <w:t xml:space="preserve">. </w:t>
      </w:r>
      <w:r w:rsidR="002C6A71">
        <w:rPr>
          <w:color w:val="808080" w:themeColor="background1" w:themeShade="80"/>
        </w:rPr>
        <w:t xml:space="preserve">Section 135(3) of the same Act provides that the first expenses to be paid is that of the business rescue practitioner and the costs of the proceedings. Section 143(6) provides that the practitioners may charge renumeration and expenses in accordance with the tariff prescribed in said section. </w:t>
      </w:r>
      <w:r w:rsidR="00FA3E3E">
        <w:rPr>
          <w:color w:val="808080" w:themeColor="background1" w:themeShade="80"/>
        </w:rPr>
        <w:t>For the purposes of Section 143(1), the Minister may make regulations prescribing a tariff of fees and expenses and Regulation 128 prescribes the tariff of fees for practitioners.</w:t>
      </w:r>
    </w:p>
    <w:p w14:paraId="4F5DC1D7" w14:textId="6A50B1E9" w:rsidR="00FA3E3E" w:rsidRDefault="00FA3E3E" w:rsidP="0001553B">
      <w:pPr>
        <w:rPr>
          <w:color w:val="808080" w:themeColor="background1" w:themeShade="80"/>
        </w:rPr>
      </w:pPr>
    </w:p>
    <w:p w14:paraId="49AC66F6" w14:textId="5AE24113" w:rsidR="0001553B" w:rsidRDefault="002C6A71" w:rsidP="0001553B">
      <w:pPr>
        <w:rPr>
          <w:color w:val="808080" w:themeColor="background1" w:themeShade="80"/>
        </w:rPr>
      </w:pPr>
      <w:r>
        <w:rPr>
          <w:color w:val="808080" w:themeColor="background1" w:themeShade="80"/>
        </w:rPr>
        <w:t>Section 143(2) provides that the practitioner may enter into an agreement with the company for further remuneration, based on a contingency related to, firstly, adoption of a business plan, at all, or within a particular time, or the inclusion of any particular matter within such plan, or secondly, the attainment of any particular result or combination of results.</w:t>
      </w:r>
      <w:r w:rsidR="00B657CD">
        <w:rPr>
          <w:color w:val="808080" w:themeColor="background1" w:themeShade="80"/>
        </w:rPr>
        <w:t xml:space="preserve"> Such agreement for further renumeration, must in accordance with Section 143(3) of the Act be approved “at a meeting called for the purpose of considering the proposed agreement”. Without such approval, such a fee is invalid.</w:t>
      </w:r>
    </w:p>
    <w:p w14:paraId="5B24705A" w14:textId="34C62770" w:rsidR="00B657CD" w:rsidRDefault="00B657CD" w:rsidP="0001553B">
      <w:pPr>
        <w:rPr>
          <w:color w:val="808080" w:themeColor="background1" w:themeShade="80"/>
        </w:rPr>
      </w:pPr>
    </w:p>
    <w:p w14:paraId="30E3CDD4" w14:textId="20599AE7" w:rsidR="00FA3E3E" w:rsidRDefault="00FA3E3E" w:rsidP="0001553B">
      <w:pPr>
        <w:rPr>
          <w:color w:val="808080" w:themeColor="background1" w:themeShade="80"/>
        </w:rPr>
      </w:pPr>
      <w:r>
        <w:rPr>
          <w:color w:val="808080" w:themeColor="background1" w:themeShade="80"/>
        </w:rPr>
        <w:t xml:space="preserve">In the case of </w:t>
      </w:r>
      <w:r w:rsidRPr="007D4515">
        <w:rPr>
          <w:i/>
          <w:iCs/>
          <w:color w:val="808080" w:themeColor="background1" w:themeShade="80"/>
        </w:rPr>
        <w:t>Caratco (Pty) Ltd v Independent Advisory (Pty) Ltd</w:t>
      </w:r>
      <w:r w:rsidR="00FE5682" w:rsidRPr="007D4515">
        <w:rPr>
          <w:i/>
          <w:iCs/>
          <w:color w:val="808080" w:themeColor="background1" w:themeShade="80"/>
        </w:rPr>
        <w:t xml:space="preserve"> 2020 (5) SA 35 (SCA</w:t>
      </w:r>
      <w:r w:rsidR="007D4515" w:rsidRPr="007D4515">
        <w:rPr>
          <w:i/>
          <w:iCs/>
          <w:color w:val="808080" w:themeColor="background1" w:themeShade="80"/>
        </w:rPr>
        <w:t>)</w:t>
      </w:r>
      <w:r w:rsidR="007D4515">
        <w:rPr>
          <w:color w:val="808080" w:themeColor="background1" w:themeShade="80"/>
        </w:rPr>
        <w:t xml:space="preserve"> </w:t>
      </w:r>
      <w:r>
        <w:rPr>
          <w:color w:val="808080" w:themeColor="background1" w:themeShade="80"/>
        </w:rPr>
        <w:t>, the applicable Court was tasked with determining whether remuneration agreements or so-called “success fee” agreements, concluded between business rescue practitioners and third parties (such as creditors) outside of the working of Section 143, were prohibited, void for illegality, or otherwise contrary to public policy</w:t>
      </w:r>
      <w:r w:rsidR="00A07F9A">
        <w:rPr>
          <w:color w:val="808080" w:themeColor="background1" w:themeShade="80"/>
        </w:rPr>
        <w:t xml:space="preserve">. It was held by the Court that Section 143 only applies to the renumeration of business </w:t>
      </w:r>
      <w:r w:rsidR="00A07F9A">
        <w:rPr>
          <w:color w:val="808080" w:themeColor="background1" w:themeShade="80"/>
        </w:rPr>
        <w:lastRenderedPageBreak/>
        <w:t>rescue practitioners by the company under business rescue and it does not deal with any fee agreements concludes between such practitioners and any third parties. It was held that nothing in Section 143 suggests that any agreement which falls outside of the section is void and that the Companies Act 2008 does not penalise the conclusion of renumeration agreements with third parties and that the section also does not contain any wording that suggests that the Courts may interfere or that the legislature intended to invalidate such renumeration agreements.</w:t>
      </w:r>
      <w:r w:rsidR="00C00014">
        <w:rPr>
          <w:color w:val="808080" w:themeColor="background1" w:themeShade="80"/>
        </w:rPr>
        <w:t xml:space="preserve"> The Supreme Court of Appeal concluded that renumeration agreements, or “success fee” or “contingency fee” agreements, between practitioners and third parties, outside of the ambit of Section 143 are neither prohibited, illegal, nor contrary</w:t>
      </w:r>
      <w:r w:rsidR="00915660">
        <w:rPr>
          <w:color w:val="808080" w:themeColor="background1" w:themeShade="80"/>
        </w:rPr>
        <w:t xml:space="preserve"> </w:t>
      </w:r>
      <w:r w:rsidR="00C00014">
        <w:rPr>
          <w:color w:val="808080" w:themeColor="background1" w:themeShade="80"/>
        </w:rPr>
        <w:t>to public policy.</w:t>
      </w:r>
    </w:p>
    <w:p w14:paraId="6B8B28A7" w14:textId="54A376E4" w:rsidR="0001553B" w:rsidRDefault="0001553B" w:rsidP="0001553B">
      <w:pPr>
        <w:tabs>
          <w:tab w:val="right" w:pos="9021"/>
        </w:tabs>
        <w:rPr>
          <w:lang w:val="en-GB"/>
        </w:rPr>
      </w:pP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73A575F0" w14:textId="77777777" w:rsidR="00FE60B6" w:rsidRDefault="001942FA" w:rsidP="00715982">
      <w:pPr>
        <w:rPr>
          <w:color w:val="808080" w:themeColor="background1" w:themeShade="80"/>
        </w:rPr>
      </w:pPr>
      <w:r>
        <w:rPr>
          <w:color w:val="808080" w:themeColor="background1" w:themeShade="80"/>
        </w:rPr>
        <w:t xml:space="preserve">It is not necessary for the partnership estate or the private estates of other partners to be sequestrated. Sequestration of the partner’s estate, </w:t>
      </w:r>
      <w:r w:rsidRPr="003F4AD3">
        <w:rPr>
          <w:i/>
          <w:iCs/>
          <w:color w:val="808080" w:themeColor="background1" w:themeShade="80"/>
        </w:rPr>
        <w:t>ipso iure</w:t>
      </w:r>
      <w:r>
        <w:rPr>
          <w:color w:val="808080" w:themeColor="background1" w:themeShade="80"/>
        </w:rPr>
        <w:t>, terminates that partnership which must, as a result be wound up.  It is of course possible for the rema</w:t>
      </w:r>
      <w:r w:rsidR="003F4AD3">
        <w:rPr>
          <w:color w:val="808080" w:themeColor="background1" w:themeShade="80"/>
        </w:rPr>
        <w:t>i</w:t>
      </w:r>
      <w:r>
        <w:rPr>
          <w:color w:val="808080" w:themeColor="background1" w:themeShade="80"/>
        </w:rPr>
        <w:t xml:space="preserve">ning partners to form a new partnership in the place of the old one. The partnership dissolves, and the creditor of the partnership is entitled to sue the remaining partner for the whole of his claim without joining the insolvent partner as co-defendant. When a partnership is dissolved because </w:t>
      </w:r>
      <w:r w:rsidR="003F4AD3">
        <w:rPr>
          <w:color w:val="808080" w:themeColor="background1" w:themeShade="80"/>
        </w:rPr>
        <w:t>the estate of one of the partners has been sequestrated, the partnership assets are divided among the partners in terms of the partnership contract or the common law. The insolvent partner’s share of the partnership assets vests in the trustee of his insolvent estate.</w:t>
      </w:r>
      <w:r w:rsidR="00FE60B6">
        <w:rPr>
          <w:color w:val="808080" w:themeColor="background1" w:themeShade="80"/>
        </w:rPr>
        <w:t xml:space="preserve"> </w:t>
      </w:r>
    </w:p>
    <w:p w14:paraId="7CD428EF" w14:textId="77777777" w:rsidR="00FE60B6" w:rsidRDefault="00FE60B6" w:rsidP="00715982">
      <w:pPr>
        <w:rPr>
          <w:color w:val="808080" w:themeColor="background1" w:themeShade="80"/>
        </w:rPr>
      </w:pPr>
    </w:p>
    <w:p w14:paraId="24CBFF54" w14:textId="2DAA643C" w:rsidR="00211EE8" w:rsidRPr="00FE60B6" w:rsidRDefault="00FE60B6" w:rsidP="00715982">
      <w:pPr>
        <w:rPr>
          <w:color w:val="808080" w:themeColor="background1" w:themeShade="80"/>
        </w:rPr>
      </w:pPr>
      <w:r>
        <w:rPr>
          <w:color w:val="808080" w:themeColor="background1" w:themeShade="80"/>
        </w:rPr>
        <w:t>Hockly’s Insolvency Law: Chapter 20</w:t>
      </w:r>
      <w:r w:rsidR="003F4AD3">
        <w:rPr>
          <w:lang w:val="en-GB"/>
        </w:rPr>
        <w:t xml:space="preserve"> </w:t>
      </w: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480F8425" w14:textId="2D81A2D0" w:rsidR="00CC2E46" w:rsidRDefault="00D950F0" w:rsidP="00CC2E46">
      <w:pPr>
        <w:rPr>
          <w:color w:val="808080" w:themeColor="background1" w:themeShade="80"/>
        </w:rPr>
      </w:pPr>
      <w:r>
        <w:rPr>
          <w:color w:val="808080" w:themeColor="background1" w:themeShade="80"/>
        </w:rPr>
        <w:t>A debtor may in principle enter into any valid transaction with another person with a view to disposing of his rights in property. Transactions, such as the donations of the immovable property and t</w:t>
      </w:r>
      <w:r w:rsidR="009135D5">
        <w:rPr>
          <w:color w:val="808080" w:themeColor="background1" w:themeShade="80"/>
        </w:rPr>
        <w:t>he Land Rover</w:t>
      </w:r>
      <w:r>
        <w:rPr>
          <w:color w:val="808080" w:themeColor="background1" w:themeShade="80"/>
        </w:rPr>
        <w:t xml:space="preserve"> </w:t>
      </w:r>
      <w:r w:rsidR="009135D5">
        <w:rPr>
          <w:color w:val="808080" w:themeColor="background1" w:themeShade="80"/>
        </w:rPr>
        <w:t xml:space="preserve">Defender </w:t>
      </w:r>
      <w:r>
        <w:rPr>
          <w:color w:val="808080" w:themeColor="background1" w:themeShade="80"/>
        </w:rPr>
        <w:t>may however cause the value of the estate to diminish</w:t>
      </w:r>
      <w:r w:rsidR="009135D5">
        <w:rPr>
          <w:color w:val="808080" w:themeColor="background1" w:themeShade="80"/>
        </w:rPr>
        <w:t xml:space="preserve">, and when they are entered into under insolvent circumstances, or when the debtor is already factually insolvent at the time of such transaction, they may impact negatively on the </w:t>
      </w:r>
      <w:r w:rsidR="009135D5" w:rsidRPr="009135D5">
        <w:rPr>
          <w:i/>
          <w:iCs/>
          <w:color w:val="808080" w:themeColor="background1" w:themeShade="80"/>
        </w:rPr>
        <w:t>concursus creditorum</w:t>
      </w:r>
      <w:r w:rsidR="009135D5">
        <w:rPr>
          <w:color w:val="808080" w:themeColor="background1" w:themeShade="80"/>
        </w:rPr>
        <w:t xml:space="preserve"> should the estate of the debtor be sequestrated. Insolvency law takes note of certain transactions that took place even before the </w:t>
      </w:r>
      <w:r w:rsidR="009135D5" w:rsidRPr="009135D5">
        <w:rPr>
          <w:i/>
          <w:iCs/>
          <w:color w:val="808080" w:themeColor="background1" w:themeShade="80"/>
        </w:rPr>
        <w:t>concursus creditorum</w:t>
      </w:r>
      <w:r w:rsidR="009135D5">
        <w:rPr>
          <w:color w:val="808080" w:themeColor="background1" w:themeShade="80"/>
        </w:rPr>
        <w:t xml:space="preserve"> commenced.</w:t>
      </w:r>
    </w:p>
    <w:p w14:paraId="614FDEBA" w14:textId="50206541" w:rsidR="002E157E" w:rsidRDefault="002E157E" w:rsidP="00CC2E46">
      <w:pPr>
        <w:rPr>
          <w:color w:val="808080" w:themeColor="background1" w:themeShade="80"/>
        </w:rPr>
      </w:pPr>
    </w:p>
    <w:p w14:paraId="05D946BC" w14:textId="395DDF32" w:rsidR="002E157E" w:rsidRDefault="002E157E" w:rsidP="00CC2E46">
      <w:pPr>
        <w:rPr>
          <w:color w:val="808080" w:themeColor="background1" w:themeShade="80"/>
        </w:rPr>
      </w:pPr>
      <w:r>
        <w:rPr>
          <w:color w:val="808080" w:themeColor="background1" w:themeShade="80"/>
        </w:rPr>
        <w:lastRenderedPageBreak/>
        <w:t>Section 21 of the Insolvency Act deals with the position in respect of a marriage out of community of property and it provides for the additional effect of the sequestration of the separate estate of one of two spouses and which shall vest in the Master, and upon appointment, in the trustee. All the property of the spouse whose estate has not been sequestrated, or the “solvent spouse” will vest in the trustee as if it were the property of the sequestrated estate. A trustee cannot simply disposses</w:t>
      </w:r>
      <w:r w:rsidR="004104A0">
        <w:rPr>
          <w:color w:val="808080" w:themeColor="background1" w:themeShade="80"/>
        </w:rPr>
        <w:t>s</w:t>
      </w:r>
      <w:r>
        <w:rPr>
          <w:color w:val="808080" w:themeColor="background1" w:themeShade="80"/>
        </w:rPr>
        <w:t xml:space="preserve"> a solvent spouse of their property and has to in terms of Section 69(1)</w:t>
      </w:r>
      <w:r w:rsidR="004104A0">
        <w:rPr>
          <w:color w:val="808080" w:themeColor="background1" w:themeShade="80"/>
        </w:rPr>
        <w:t xml:space="preserve"> take into possession all movable property “belonging to the estate”, but not before the sheriff has made an inventory in terms of Section 19. The trustee must obtain a warrant in terms of section 69(3) from a Magistrate in order to take possession of the property of the spouse. In accordance with Section 21(2) the burden of proving that he or she is entitle to the property is on the solvent spouse, and shall property be released to the solvent spouse if it is proved that (a) the property was the property of the spouse before the marriage, (b) that the property was acquired under a marriage settlement, (c) that it was property acquired during the marriage by a title valid against creditors, (d) that it is property protected under the long term Insurance Act 52 of 1998, or (e) that it was acquired with property under the before mentioned (a) to (d) or the income or proceeds thereof.</w:t>
      </w:r>
    </w:p>
    <w:p w14:paraId="61485395" w14:textId="2EBB73D7" w:rsidR="00E60AC8" w:rsidRDefault="00E60AC8" w:rsidP="00CC2E46">
      <w:pPr>
        <w:rPr>
          <w:color w:val="808080" w:themeColor="background1" w:themeShade="80"/>
        </w:rPr>
      </w:pPr>
    </w:p>
    <w:p w14:paraId="64567B8E" w14:textId="3D718AA4" w:rsidR="001A20D0" w:rsidRDefault="00E60AC8" w:rsidP="00715982">
      <w:pPr>
        <w:rPr>
          <w:color w:val="808080" w:themeColor="background1" w:themeShade="80"/>
        </w:rPr>
      </w:pPr>
      <w:r>
        <w:rPr>
          <w:color w:val="808080" w:themeColor="background1" w:themeShade="80"/>
        </w:rPr>
        <w:t>In accordance with Section 27 of the Act. No immediate benefit, being a benefit transferred or delivered, before three months after marriage, under a duly registered antenuptial contract, given in good faith by a man to his wife (or husband), shall be set aside as a disposition without value, unless the husband’s estate was sequestrated within two years of the registration of the antenuptial contract. If the contract is not duly registered in the deeds office it is binding on the spouses but not on their creditors.</w:t>
      </w:r>
    </w:p>
    <w:p w14:paraId="47E09945" w14:textId="0E64CC94" w:rsidR="00355029" w:rsidRDefault="00355029" w:rsidP="00715982">
      <w:pPr>
        <w:rPr>
          <w:color w:val="808080" w:themeColor="background1" w:themeShade="80"/>
        </w:rPr>
      </w:pPr>
    </w:p>
    <w:p w14:paraId="4C08FB71" w14:textId="5997C9FB" w:rsidR="00355029" w:rsidRPr="00E60AC8" w:rsidRDefault="00355029" w:rsidP="00715982">
      <w:pPr>
        <w:rPr>
          <w:color w:val="808080" w:themeColor="background1" w:themeShade="80"/>
        </w:rPr>
      </w:pPr>
      <w:r>
        <w:rPr>
          <w:color w:val="808080" w:themeColor="background1" w:themeShade="80"/>
        </w:rPr>
        <w:t>Section 22 of the Matrimonial Property Act provides that, subject to the provisions of the Insolvency Act, no transaction effected before o</w:t>
      </w:r>
      <w:r w:rsidR="0018675B">
        <w:rPr>
          <w:color w:val="808080" w:themeColor="background1" w:themeShade="80"/>
        </w:rPr>
        <w:t>r</w:t>
      </w:r>
      <w:r>
        <w:rPr>
          <w:color w:val="808080" w:themeColor="background1" w:themeShade="80"/>
        </w:rPr>
        <w:t xml:space="preserve"> after the commencement of the Act</w:t>
      </w:r>
      <w:r w:rsidR="0018675B">
        <w:rPr>
          <w:color w:val="808080" w:themeColor="background1" w:themeShade="80"/>
        </w:rPr>
        <w:t>,</w:t>
      </w:r>
      <w:r>
        <w:rPr>
          <w:color w:val="808080" w:themeColor="background1" w:themeShade="80"/>
        </w:rPr>
        <w:t xml:space="preserve"> is void or voidable merely because it amounts to a donation between spouses, and may a donation provide a valid title. The requirements of good faith remain, and will only a real donation, and not a simulated donation, provide a valid title. The onus is on the solvent spouse to prove the true transaction and that it is a valid one such as may confer a valid title. A real donation or any other transaction between spouses may be challenged in terms of Section 26, 30 and 31 of the Insolvency Act</w:t>
      </w:r>
      <w:r w:rsidR="00D20519">
        <w:rPr>
          <w:color w:val="808080" w:themeColor="background1" w:themeShade="80"/>
        </w:rPr>
        <w:t>, or in terms of the action Pauliana, provided that the invalidity of donations between spouses is not relied upon.</w:t>
      </w: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1636D65" w14:textId="4B2CD6F4" w:rsidR="006E7080" w:rsidRPr="00CC2E46" w:rsidRDefault="006E7080" w:rsidP="006E7080">
      <w:pPr>
        <w:rPr>
          <w:color w:val="808080" w:themeColor="background1" w:themeShade="80"/>
        </w:rPr>
      </w:pPr>
      <w:r>
        <w:rPr>
          <w:color w:val="808080" w:themeColor="background1" w:themeShade="80"/>
        </w:rPr>
        <w:t>Mr Y will be regarded as a “spouse” in terms of the Insolvency Act, as Section 21 of the Act provides that the term “spouse” has an extended meaning and includes a wife or husband married according to any law or custom, and also to persons living together as husband and wife, though not legally married. The Civil Union Act legalized civil unions between same sex partners which has the same legal consequences as any marriage in any other law, including the common law. The term “spouse” therefore includes a “civil union partner” in terms of the Civil Union Act.</w:t>
      </w: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w:t>
      </w:r>
      <w:r w:rsidRPr="00A322BC">
        <w:rPr>
          <w:rFonts w:cs="Times New Roman"/>
          <w:lang w:eastAsia="en-GB"/>
        </w:rPr>
        <w:lastRenderedPageBreak/>
        <w:t xml:space="preserve">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5B78EF45" w:rsidR="00CC2E46" w:rsidRDefault="007D34BB" w:rsidP="00CC2E46">
      <w:pPr>
        <w:rPr>
          <w:color w:val="808080" w:themeColor="background1" w:themeShade="80"/>
        </w:rPr>
      </w:pPr>
      <w:r>
        <w:rPr>
          <w:color w:val="808080" w:themeColor="background1" w:themeShade="80"/>
        </w:rPr>
        <w:t>In terms of Section 38(4) of the Insolvency Act, a liquidator appointed in terms of Section 375 of the Companies Act, 1973, remains in office after the first meeting</w:t>
      </w:r>
      <w:r w:rsidR="00960A79">
        <w:rPr>
          <w:color w:val="808080" w:themeColor="background1" w:themeShade="80"/>
        </w:rPr>
        <w:t xml:space="preserve">, </w:t>
      </w:r>
      <w:r>
        <w:rPr>
          <w:color w:val="808080" w:themeColor="background1" w:themeShade="80"/>
        </w:rPr>
        <w:t>may terminate the contracts of service of employees, subject to subsections (5) and (7) of the Insolvency Act</w:t>
      </w:r>
      <w:r w:rsidR="008F770D">
        <w:rPr>
          <w:color w:val="808080" w:themeColor="background1" w:themeShade="80"/>
        </w:rPr>
        <w:t>.</w:t>
      </w:r>
    </w:p>
    <w:p w14:paraId="72009E8C" w14:textId="1CCF44BE" w:rsidR="008F770D" w:rsidRDefault="008F770D" w:rsidP="00CC2E46">
      <w:pPr>
        <w:rPr>
          <w:color w:val="808080" w:themeColor="background1" w:themeShade="80"/>
        </w:rPr>
      </w:pPr>
    </w:p>
    <w:p w14:paraId="5F6A1F13" w14:textId="3D7FABE0" w:rsidR="00822A4C" w:rsidRDefault="008F770D" w:rsidP="008F770D">
      <w:pPr>
        <w:rPr>
          <w:color w:val="808080" w:themeColor="background1" w:themeShade="80"/>
        </w:rPr>
      </w:pPr>
      <w:r>
        <w:rPr>
          <w:color w:val="808080" w:themeColor="background1" w:themeShade="80"/>
        </w:rPr>
        <w:t xml:space="preserve">In terms of Section 38(5) </w:t>
      </w:r>
      <w:r w:rsidR="00D911E5">
        <w:rPr>
          <w:color w:val="808080" w:themeColor="background1" w:themeShade="80"/>
        </w:rPr>
        <w:t xml:space="preserve">a contract of service may not be terminated as </w:t>
      </w:r>
      <w:r>
        <w:rPr>
          <w:color w:val="808080" w:themeColor="background1" w:themeShade="80"/>
        </w:rPr>
        <w:t xml:space="preserve">consultation </w:t>
      </w:r>
      <w:r w:rsidR="00D911E5">
        <w:rPr>
          <w:color w:val="808080" w:themeColor="background1" w:themeShade="80"/>
        </w:rPr>
        <w:t xml:space="preserve">first </w:t>
      </w:r>
      <w:r>
        <w:rPr>
          <w:color w:val="808080" w:themeColor="background1" w:themeShade="80"/>
        </w:rPr>
        <w:t>needs to take place with any person as required by the Labour Relations Act, 1995 and any registered trade unions whose members</w:t>
      </w:r>
      <w:r w:rsidR="00D911E5">
        <w:rPr>
          <w:color w:val="808080" w:themeColor="background1" w:themeShade="80"/>
        </w:rPr>
        <w:t xml:space="preserve"> are likely to be affected by the termination of the contract of service. The consultation referred to in Subsection (5) must be aimed at reaching consensus on appropriate measures to save or rescue the whole or part of the business of the insolvent employer.</w:t>
      </w:r>
    </w:p>
    <w:p w14:paraId="65F175E8" w14:textId="7B4534B2" w:rsidR="00D911E5" w:rsidRDefault="00D911E5" w:rsidP="008F770D">
      <w:pPr>
        <w:rPr>
          <w:color w:val="808080" w:themeColor="background1" w:themeShade="80"/>
        </w:rPr>
      </w:pPr>
    </w:p>
    <w:p w14:paraId="290394B0" w14:textId="5C088446" w:rsidR="00D911E5" w:rsidRDefault="00D911E5" w:rsidP="008F770D">
      <w:pPr>
        <w:rPr>
          <w:color w:val="808080" w:themeColor="background1" w:themeShade="80"/>
        </w:rPr>
      </w:pPr>
      <w:r>
        <w:rPr>
          <w:color w:val="808080" w:themeColor="background1" w:themeShade="80"/>
        </w:rPr>
        <w:t xml:space="preserve">In terms of Subsection (7) if any party in terms of Subsection (5) wishes to make proposals concerning any matter, that party should </w:t>
      </w:r>
      <w:r w:rsidR="00960A79">
        <w:rPr>
          <w:color w:val="808080" w:themeColor="background1" w:themeShade="80"/>
        </w:rPr>
        <w:t>d</w:t>
      </w:r>
      <w:r>
        <w:rPr>
          <w:color w:val="808080" w:themeColor="background1" w:themeShade="80"/>
        </w:rPr>
        <w:t xml:space="preserve">o so in writing to the liquidator within 21 days of his or her appointment in terms of Section </w:t>
      </w:r>
      <w:r w:rsidR="00960A79">
        <w:rPr>
          <w:color w:val="808080" w:themeColor="background1" w:themeShade="80"/>
        </w:rPr>
        <w:t>375 of the Companies Act, 1973.</w:t>
      </w:r>
    </w:p>
    <w:p w14:paraId="4DC75BD4" w14:textId="741AAB28" w:rsidR="00960A79" w:rsidRDefault="00960A79" w:rsidP="008F770D">
      <w:pPr>
        <w:rPr>
          <w:color w:val="808080" w:themeColor="background1" w:themeShade="80"/>
        </w:rPr>
      </w:pPr>
    </w:p>
    <w:p w14:paraId="3E2500E3" w14:textId="1A9050FE" w:rsidR="00960A79" w:rsidRDefault="00960A79" w:rsidP="008F770D">
      <w:pPr>
        <w:rPr>
          <w:rFonts w:cs="Times New Roman"/>
          <w:lang w:eastAsia="en-GB"/>
        </w:rPr>
      </w:pPr>
      <w:r>
        <w:rPr>
          <w:color w:val="808080" w:themeColor="background1" w:themeShade="80"/>
        </w:rPr>
        <w:t>In terms of Subsection (9), unless the liquidator and an employee have agreed on continued employment of the employee, all suspended contracts of service shall terminate 45 days after the date of appointment of a liquidator in terms of Section 375 of the Companies Act, 1973.</w:t>
      </w: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3ED9A21" w14:textId="06EEBC36" w:rsidR="00CC2E46" w:rsidRPr="00CC2E46" w:rsidRDefault="00235BA0" w:rsidP="00CC2E46">
      <w:pPr>
        <w:rPr>
          <w:color w:val="808080" w:themeColor="background1" w:themeShade="80"/>
        </w:rPr>
      </w:pPr>
      <w:r>
        <w:rPr>
          <w:color w:val="808080" w:themeColor="background1" w:themeShade="80"/>
        </w:rPr>
        <w:t>In terms of Section 98(A)(1), an employee who was employed by the Insolvent is entitled, subject to certain maximum amounts determined by the Minister of Justice by notice published in the Government Gazette from time to time and will Thabo have a claim for salary or wages, for a period not exceeding three months, up to a maximum of R 12 000.00 and any payment in respect of any period of leave in the year of insolvency or the previous year, whether or not the payment thereof is due at date of sequestration up to a maximum of R 4 000.00. Thabo will thus have a claim for R 15 500.00.</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526DE4C7" w14:textId="2557432F" w:rsidR="00CC2E46" w:rsidRDefault="00D20519" w:rsidP="00CC2E46">
      <w:pPr>
        <w:rPr>
          <w:color w:val="808080" w:themeColor="background1" w:themeShade="80"/>
        </w:rPr>
      </w:pPr>
      <w:r>
        <w:rPr>
          <w:color w:val="808080" w:themeColor="background1" w:themeShade="80"/>
        </w:rPr>
        <w:lastRenderedPageBreak/>
        <w:t>Disposition means any transfer or abandonment of rights to property. This includes a sale, lease, mortgage, pledge, delivery, payment, release, compromise, donation or any contract providing therefor</w:t>
      </w:r>
      <w:r w:rsidR="005346F6">
        <w:rPr>
          <w:color w:val="808080" w:themeColor="background1" w:themeShade="80"/>
        </w:rPr>
        <w:t xml:space="preserve">. The main types of voidable transactions provided for by the Insolvency Act are based on dispositions that were effected under prescribed conditions, and are dispositions without value dealt with in Section 26 of the Act, voidable an undue preferences provided for in Section 29 and 30 respectively, and collusion provided for by Section 31. Debt collection and insolvency law in South Africa still make use of the common law remedy in the form of </w:t>
      </w:r>
      <w:r w:rsidR="005346F6">
        <w:rPr>
          <w:i/>
          <w:iCs/>
          <w:color w:val="808080" w:themeColor="background1" w:themeShade="80"/>
        </w:rPr>
        <w:t>a</w:t>
      </w:r>
      <w:r w:rsidR="005346F6" w:rsidRPr="005346F6">
        <w:rPr>
          <w:i/>
          <w:iCs/>
          <w:color w:val="808080" w:themeColor="background1" w:themeShade="80"/>
        </w:rPr>
        <w:t>ctio Pauliana</w:t>
      </w:r>
      <w:r w:rsidR="005346F6" w:rsidRPr="005346F6">
        <w:rPr>
          <w:color w:val="808080" w:themeColor="background1" w:themeShade="80"/>
        </w:rPr>
        <w:t>, and in terms of this action “fraudulent” alienations may be voided</w:t>
      </w:r>
      <w:r w:rsidR="005346F6">
        <w:rPr>
          <w:color w:val="808080" w:themeColor="background1" w:themeShade="80"/>
        </w:rPr>
        <w:t xml:space="preserve"> and can any transaction by the debtor aimed at defrauding the creditors by putting them out of pocket through the alienation of assets without receiving adequate value in return, be set aside by the </w:t>
      </w:r>
      <w:r w:rsidR="005346F6" w:rsidRPr="005346F6">
        <w:rPr>
          <w:i/>
          <w:iCs/>
          <w:color w:val="808080" w:themeColor="background1" w:themeShade="80"/>
        </w:rPr>
        <w:t>action Pauliana</w:t>
      </w:r>
      <w:r w:rsidR="005346F6">
        <w:rPr>
          <w:i/>
          <w:iCs/>
          <w:color w:val="808080" w:themeColor="background1" w:themeShade="80"/>
        </w:rPr>
        <w:t xml:space="preserve">. </w:t>
      </w:r>
      <w:r w:rsidR="005346F6" w:rsidRPr="005346F6">
        <w:rPr>
          <w:color w:val="808080" w:themeColor="background1" w:themeShade="80"/>
        </w:rPr>
        <w:t>The</w:t>
      </w:r>
      <w:r w:rsidR="005346F6">
        <w:rPr>
          <w:color w:val="808080" w:themeColor="background1" w:themeShade="80"/>
        </w:rPr>
        <w:t xml:space="preserve"> transaction must however indeed “defraud” the creditors in that the assets of the person alienating the property are dimin</w:t>
      </w:r>
      <w:r w:rsidR="007407CD">
        <w:rPr>
          <w:color w:val="808080" w:themeColor="background1" w:themeShade="80"/>
        </w:rPr>
        <w:t>ished by such alienation.</w:t>
      </w:r>
    </w:p>
    <w:p w14:paraId="1FB916E7" w14:textId="1AB05192" w:rsidR="007407CD" w:rsidRDefault="007407CD" w:rsidP="00CC2E46">
      <w:pPr>
        <w:rPr>
          <w:color w:val="808080" w:themeColor="background1" w:themeShade="80"/>
        </w:rPr>
      </w:pPr>
    </w:p>
    <w:p w14:paraId="7936039C" w14:textId="766298FC" w:rsidR="007407CD" w:rsidRDefault="007407CD" w:rsidP="00CC2E46">
      <w:pPr>
        <w:rPr>
          <w:color w:val="808080" w:themeColor="background1" w:themeShade="80"/>
        </w:rPr>
      </w:pPr>
      <w:r>
        <w:rPr>
          <w:color w:val="808080" w:themeColor="background1" w:themeShade="80"/>
        </w:rPr>
        <w:t xml:space="preserve">The </w:t>
      </w:r>
      <w:r w:rsidRPr="007407CD">
        <w:rPr>
          <w:i/>
          <w:iCs/>
          <w:color w:val="808080" w:themeColor="background1" w:themeShade="80"/>
        </w:rPr>
        <w:t>action Pauliana</w:t>
      </w:r>
      <w:r>
        <w:rPr>
          <w:color w:val="808080" w:themeColor="background1" w:themeShade="80"/>
        </w:rPr>
        <w:t xml:space="preserve"> can be instituted where the debtor has been sequestrated or where the debtor has not been sequestrated and It has to be proven that (a) the alienation must have diminished the debtor’s assets, (b) the recipient must not have received his or her own property, being property that he or she is entitled to under say a settlement of a due debt, (c) the debtor-alienator must have had the intention to defraud the creditor, but if he or she received value, though inadequate, in return for the alienation, the recipient must have been aware of such intention to defraud, and (d) the fraud must have caused the detrimental consequences for the creditors, and must the alienation have caused a lack of available assets to meet the debts of the debtor. Should these elements be proven, the alienation of the property should be voided and the trustee will be entitled to claim restitution of the alienated property.</w:t>
      </w:r>
    </w:p>
    <w:p w14:paraId="3F93F72E" w14:textId="2A7E6E76" w:rsidR="0018675B" w:rsidRDefault="0018675B" w:rsidP="00CC2E46">
      <w:pPr>
        <w:rPr>
          <w:color w:val="808080" w:themeColor="background1" w:themeShade="80"/>
        </w:rPr>
      </w:pPr>
    </w:p>
    <w:p w14:paraId="4F607B09" w14:textId="4E05A0F7" w:rsidR="0018675B" w:rsidRPr="005346F6" w:rsidRDefault="0018675B" w:rsidP="00CC2E46">
      <w:pPr>
        <w:rPr>
          <w:color w:val="808080" w:themeColor="background1" w:themeShade="80"/>
        </w:rPr>
      </w:pPr>
      <w:r>
        <w:rPr>
          <w:color w:val="808080" w:themeColor="background1" w:themeShade="80"/>
        </w:rPr>
        <w:t>The trustee will most probably not succeed with a claim on the grounds of voidable disposition, even though the alienation has diminished the debtor’s assets, as the recipient received the money that he loaned to the debtor and there was no intention by either</w:t>
      </w:r>
      <w:r w:rsidR="00A108F6">
        <w:rPr>
          <w:color w:val="808080" w:themeColor="background1" w:themeShade="80"/>
        </w:rPr>
        <w:t xml:space="preserve"> </w:t>
      </w:r>
      <w:r>
        <w:rPr>
          <w:color w:val="808080" w:themeColor="background1" w:themeShade="80"/>
        </w:rPr>
        <w:t>part</w:t>
      </w:r>
      <w:r w:rsidR="00A108F6">
        <w:rPr>
          <w:color w:val="808080" w:themeColor="background1" w:themeShade="80"/>
        </w:rPr>
        <w:t>y</w:t>
      </w:r>
      <w:r>
        <w:rPr>
          <w:color w:val="808080" w:themeColor="background1" w:themeShade="80"/>
        </w:rPr>
        <w:t xml:space="preserve"> to defraud. </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3DE6" w14:textId="77777777" w:rsidR="008501B9" w:rsidRDefault="008501B9" w:rsidP="001016B0">
      <w:r>
        <w:separator/>
      </w:r>
    </w:p>
  </w:endnote>
  <w:endnote w:type="continuationSeparator" w:id="0">
    <w:p w14:paraId="68F1F9E0" w14:textId="77777777" w:rsidR="008501B9" w:rsidRDefault="008501B9"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1BBBDC50" w:rsidR="001A20D0" w:rsidRDefault="003537D6" w:rsidP="008A20AC">
    <w:pPr>
      <w:pStyle w:val="Footer"/>
      <w:ind w:right="360"/>
    </w:pPr>
    <w:r>
      <w:t>202122-671</w:t>
    </w:r>
    <w:r w:rsidR="001A1043">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94BA" w14:textId="77777777" w:rsidR="008501B9" w:rsidRDefault="008501B9" w:rsidP="001016B0">
      <w:r>
        <w:separator/>
      </w:r>
    </w:p>
  </w:footnote>
  <w:footnote w:type="continuationSeparator" w:id="0">
    <w:p w14:paraId="27337FCC" w14:textId="77777777" w:rsidR="008501B9" w:rsidRDefault="008501B9"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1A7777C"/>
    <w:multiLevelType w:val="hybridMultilevel"/>
    <w:tmpl w:val="60947D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23778993">
    <w:abstractNumId w:val="8"/>
  </w:num>
  <w:num w:numId="2" w16cid:durableId="1102337190">
    <w:abstractNumId w:val="29"/>
  </w:num>
  <w:num w:numId="3" w16cid:durableId="1260141857">
    <w:abstractNumId w:val="26"/>
  </w:num>
  <w:num w:numId="4" w16cid:durableId="1064909196">
    <w:abstractNumId w:val="10"/>
  </w:num>
  <w:num w:numId="5" w16cid:durableId="734161677">
    <w:abstractNumId w:val="18"/>
  </w:num>
  <w:num w:numId="6" w16cid:durableId="2112431758">
    <w:abstractNumId w:val="19"/>
  </w:num>
  <w:num w:numId="7" w16cid:durableId="1732969385">
    <w:abstractNumId w:val="13"/>
  </w:num>
  <w:num w:numId="8" w16cid:durableId="1194802207">
    <w:abstractNumId w:val="2"/>
  </w:num>
  <w:num w:numId="9" w16cid:durableId="462163071">
    <w:abstractNumId w:val="23"/>
  </w:num>
  <w:num w:numId="10" w16cid:durableId="1247416514">
    <w:abstractNumId w:val="12"/>
  </w:num>
  <w:num w:numId="11" w16cid:durableId="1094404433">
    <w:abstractNumId w:val="1"/>
  </w:num>
  <w:num w:numId="12" w16cid:durableId="1594584246">
    <w:abstractNumId w:val="9"/>
  </w:num>
  <w:num w:numId="13" w16cid:durableId="1105231212">
    <w:abstractNumId w:val="11"/>
  </w:num>
  <w:num w:numId="14" w16cid:durableId="106046624">
    <w:abstractNumId w:val="7"/>
  </w:num>
  <w:num w:numId="15" w16cid:durableId="1334651458">
    <w:abstractNumId w:val="27"/>
  </w:num>
  <w:num w:numId="16" w16cid:durableId="1567764090">
    <w:abstractNumId w:val="24"/>
  </w:num>
  <w:num w:numId="17" w16cid:durableId="1328439738">
    <w:abstractNumId w:val="25"/>
  </w:num>
  <w:num w:numId="18" w16cid:durableId="288586985">
    <w:abstractNumId w:val="21"/>
  </w:num>
  <w:num w:numId="19" w16cid:durableId="2110538257">
    <w:abstractNumId w:val="16"/>
  </w:num>
  <w:num w:numId="20" w16cid:durableId="625425858">
    <w:abstractNumId w:val="31"/>
  </w:num>
  <w:num w:numId="21" w16cid:durableId="561142830">
    <w:abstractNumId w:val="30"/>
  </w:num>
  <w:num w:numId="22" w16cid:durableId="1172185764">
    <w:abstractNumId w:val="20"/>
  </w:num>
  <w:num w:numId="23" w16cid:durableId="772094530">
    <w:abstractNumId w:val="5"/>
  </w:num>
  <w:num w:numId="24" w16cid:durableId="1022167537">
    <w:abstractNumId w:val="17"/>
  </w:num>
  <w:num w:numId="25" w16cid:durableId="1359896370">
    <w:abstractNumId w:val="14"/>
  </w:num>
  <w:num w:numId="26" w16cid:durableId="1601789484">
    <w:abstractNumId w:val="22"/>
  </w:num>
  <w:num w:numId="27" w16cid:durableId="538324724">
    <w:abstractNumId w:val="4"/>
  </w:num>
  <w:num w:numId="28" w16cid:durableId="745608273">
    <w:abstractNumId w:val="3"/>
  </w:num>
  <w:num w:numId="29" w16cid:durableId="397673882">
    <w:abstractNumId w:val="6"/>
  </w:num>
  <w:num w:numId="30" w16cid:durableId="316887169">
    <w:abstractNumId w:val="28"/>
  </w:num>
  <w:num w:numId="31" w16cid:durableId="860583639">
    <w:abstractNumId w:val="0"/>
  </w:num>
  <w:num w:numId="32" w16cid:durableId="189623411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05F"/>
    <w:rsid w:val="00013834"/>
    <w:rsid w:val="0001553B"/>
    <w:rsid w:val="00033D18"/>
    <w:rsid w:val="00034FC0"/>
    <w:rsid w:val="000451AA"/>
    <w:rsid w:val="00045503"/>
    <w:rsid w:val="000554CA"/>
    <w:rsid w:val="000672ED"/>
    <w:rsid w:val="00071EFD"/>
    <w:rsid w:val="00073862"/>
    <w:rsid w:val="0007488E"/>
    <w:rsid w:val="00083B59"/>
    <w:rsid w:val="000943C5"/>
    <w:rsid w:val="000D340C"/>
    <w:rsid w:val="000D5B7A"/>
    <w:rsid w:val="000F1349"/>
    <w:rsid w:val="000F1BB5"/>
    <w:rsid w:val="000F7E2C"/>
    <w:rsid w:val="001016B0"/>
    <w:rsid w:val="001165C7"/>
    <w:rsid w:val="00117579"/>
    <w:rsid w:val="00120495"/>
    <w:rsid w:val="001336C3"/>
    <w:rsid w:val="0018675B"/>
    <w:rsid w:val="001942FA"/>
    <w:rsid w:val="00194D76"/>
    <w:rsid w:val="001A1043"/>
    <w:rsid w:val="001A20D0"/>
    <w:rsid w:val="001A370C"/>
    <w:rsid w:val="001A60A7"/>
    <w:rsid w:val="001B4CC3"/>
    <w:rsid w:val="001D2F9B"/>
    <w:rsid w:val="001E72C8"/>
    <w:rsid w:val="001F65C0"/>
    <w:rsid w:val="00211EE8"/>
    <w:rsid w:val="00213DA5"/>
    <w:rsid w:val="00216818"/>
    <w:rsid w:val="00221041"/>
    <w:rsid w:val="00234313"/>
    <w:rsid w:val="00235BA0"/>
    <w:rsid w:val="00244935"/>
    <w:rsid w:val="00257792"/>
    <w:rsid w:val="00264EC3"/>
    <w:rsid w:val="00270263"/>
    <w:rsid w:val="0027308F"/>
    <w:rsid w:val="00283584"/>
    <w:rsid w:val="002A454F"/>
    <w:rsid w:val="002B7150"/>
    <w:rsid w:val="002C1C6F"/>
    <w:rsid w:val="002C6A71"/>
    <w:rsid w:val="002E157E"/>
    <w:rsid w:val="002F2E23"/>
    <w:rsid w:val="002F49CF"/>
    <w:rsid w:val="00300368"/>
    <w:rsid w:val="00303C2F"/>
    <w:rsid w:val="00337E93"/>
    <w:rsid w:val="0034164F"/>
    <w:rsid w:val="00342DDB"/>
    <w:rsid w:val="00343065"/>
    <w:rsid w:val="00345A22"/>
    <w:rsid w:val="00347074"/>
    <w:rsid w:val="003537D6"/>
    <w:rsid w:val="00355029"/>
    <w:rsid w:val="00362356"/>
    <w:rsid w:val="00373930"/>
    <w:rsid w:val="003B06BB"/>
    <w:rsid w:val="003B4199"/>
    <w:rsid w:val="003B4A44"/>
    <w:rsid w:val="003C5D82"/>
    <w:rsid w:val="003D15EA"/>
    <w:rsid w:val="003D779F"/>
    <w:rsid w:val="003F4AD3"/>
    <w:rsid w:val="004031E2"/>
    <w:rsid w:val="0041009A"/>
    <w:rsid w:val="004104A0"/>
    <w:rsid w:val="004165ED"/>
    <w:rsid w:val="00416B97"/>
    <w:rsid w:val="0043289E"/>
    <w:rsid w:val="00454E81"/>
    <w:rsid w:val="00470B76"/>
    <w:rsid w:val="00472927"/>
    <w:rsid w:val="00483C38"/>
    <w:rsid w:val="00497863"/>
    <w:rsid w:val="004B491D"/>
    <w:rsid w:val="004C206D"/>
    <w:rsid w:val="004C4078"/>
    <w:rsid w:val="004C6612"/>
    <w:rsid w:val="004C7945"/>
    <w:rsid w:val="00504A64"/>
    <w:rsid w:val="005346F6"/>
    <w:rsid w:val="00542B4C"/>
    <w:rsid w:val="00562DC2"/>
    <w:rsid w:val="00563F78"/>
    <w:rsid w:val="00574240"/>
    <w:rsid w:val="005C0FF6"/>
    <w:rsid w:val="005E42AF"/>
    <w:rsid w:val="005E45BD"/>
    <w:rsid w:val="005E5A62"/>
    <w:rsid w:val="005F3F13"/>
    <w:rsid w:val="006027A2"/>
    <w:rsid w:val="00604564"/>
    <w:rsid w:val="0063766F"/>
    <w:rsid w:val="00643725"/>
    <w:rsid w:val="00647006"/>
    <w:rsid w:val="0066147F"/>
    <w:rsid w:val="006659FD"/>
    <w:rsid w:val="006773FC"/>
    <w:rsid w:val="0068617E"/>
    <w:rsid w:val="0069113C"/>
    <w:rsid w:val="0069468A"/>
    <w:rsid w:val="006A61F1"/>
    <w:rsid w:val="006B4C64"/>
    <w:rsid w:val="006D34F1"/>
    <w:rsid w:val="006E218D"/>
    <w:rsid w:val="006E3289"/>
    <w:rsid w:val="006E3E96"/>
    <w:rsid w:val="006E481A"/>
    <w:rsid w:val="006E7080"/>
    <w:rsid w:val="006F7EC1"/>
    <w:rsid w:val="007120A0"/>
    <w:rsid w:val="00715982"/>
    <w:rsid w:val="00733777"/>
    <w:rsid w:val="007407CD"/>
    <w:rsid w:val="00755F63"/>
    <w:rsid w:val="0077169C"/>
    <w:rsid w:val="00772EF9"/>
    <w:rsid w:val="007747E8"/>
    <w:rsid w:val="00782227"/>
    <w:rsid w:val="007836DB"/>
    <w:rsid w:val="007A1000"/>
    <w:rsid w:val="007A2C93"/>
    <w:rsid w:val="007B1B03"/>
    <w:rsid w:val="007B607D"/>
    <w:rsid w:val="007B6DD3"/>
    <w:rsid w:val="007C4955"/>
    <w:rsid w:val="007D34BB"/>
    <w:rsid w:val="007D4515"/>
    <w:rsid w:val="007F02EC"/>
    <w:rsid w:val="00800645"/>
    <w:rsid w:val="00804FC8"/>
    <w:rsid w:val="0081003D"/>
    <w:rsid w:val="00812BFB"/>
    <w:rsid w:val="00822A4C"/>
    <w:rsid w:val="00823BD7"/>
    <w:rsid w:val="008501B9"/>
    <w:rsid w:val="008735A4"/>
    <w:rsid w:val="00874389"/>
    <w:rsid w:val="00877614"/>
    <w:rsid w:val="00893F77"/>
    <w:rsid w:val="008A1E6D"/>
    <w:rsid w:val="008A20AC"/>
    <w:rsid w:val="008B18AE"/>
    <w:rsid w:val="008B2794"/>
    <w:rsid w:val="008C52C5"/>
    <w:rsid w:val="008C57AA"/>
    <w:rsid w:val="008C5DCB"/>
    <w:rsid w:val="008D7189"/>
    <w:rsid w:val="008E6B76"/>
    <w:rsid w:val="008E7D44"/>
    <w:rsid w:val="008F0B7C"/>
    <w:rsid w:val="008F4BC6"/>
    <w:rsid w:val="008F770D"/>
    <w:rsid w:val="00903B0F"/>
    <w:rsid w:val="009075EB"/>
    <w:rsid w:val="009135D5"/>
    <w:rsid w:val="009143EA"/>
    <w:rsid w:val="00915660"/>
    <w:rsid w:val="00917205"/>
    <w:rsid w:val="0092725A"/>
    <w:rsid w:val="00930A74"/>
    <w:rsid w:val="0093458A"/>
    <w:rsid w:val="009475A8"/>
    <w:rsid w:val="00954CBE"/>
    <w:rsid w:val="00957A2E"/>
    <w:rsid w:val="00960617"/>
    <w:rsid w:val="00960A79"/>
    <w:rsid w:val="00966275"/>
    <w:rsid w:val="009700FE"/>
    <w:rsid w:val="009803AC"/>
    <w:rsid w:val="009A4CEF"/>
    <w:rsid w:val="009B0913"/>
    <w:rsid w:val="009B7D40"/>
    <w:rsid w:val="009C7BB4"/>
    <w:rsid w:val="009D0718"/>
    <w:rsid w:val="009D27B4"/>
    <w:rsid w:val="009E2AA2"/>
    <w:rsid w:val="009E2AEB"/>
    <w:rsid w:val="009E549B"/>
    <w:rsid w:val="009E68F4"/>
    <w:rsid w:val="00A0473E"/>
    <w:rsid w:val="00A06708"/>
    <w:rsid w:val="00A07F9A"/>
    <w:rsid w:val="00A108F6"/>
    <w:rsid w:val="00A322BC"/>
    <w:rsid w:val="00A379F5"/>
    <w:rsid w:val="00A46438"/>
    <w:rsid w:val="00A514C8"/>
    <w:rsid w:val="00A52660"/>
    <w:rsid w:val="00A53A45"/>
    <w:rsid w:val="00A55B7D"/>
    <w:rsid w:val="00A70406"/>
    <w:rsid w:val="00A71C38"/>
    <w:rsid w:val="00A81BF9"/>
    <w:rsid w:val="00A82E83"/>
    <w:rsid w:val="00A90D21"/>
    <w:rsid w:val="00A91174"/>
    <w:rsid w:val="00A9217C"/>
    <w:rsid w:val="00A95393"/>
    <w:rsid w:val="00AC225C"/>
    <w:rsid w:val="00AC37E2"/>
    <w:rsid w:val="00AC3A2B"/>
    <w:rsid w:val="00AE0ADA"/>
    <w:rsid w:val="00AF146A"/>
    <w:rsid w:val="00B17707"/>
    <w:rsid w:val="00B20098"/>
    <w:rsid w:val="00B22A54"/>
    <w:rsid w:val="00B3456B"/>
    <w:rsid w:val="00B40A75"/>
    <w:rsid w:val="00B62FFC"/>
    <w:rsid w:val="00B657CD"/>
    <w:rsid w:val="00B71BF2"/>
    <w:rsid w:val="00B91E5F"/>
    <w:rsid w:val="00BA24B1"/>
    <w:rsid w:val="00BA451C"/>
    <w:rsid w:val="00BB1EBB"/>
    <w:rsid w:val="00BD2DF8"/>
    <w:rsid w:val="00BE35A9"/>
    <w:rsid w:val="00BF243A"/>
    <w:rsid w:val="00C00014"/>
    <w:rsid w:val="00C66DC1"/>
    <w:rsid w:val="00C71653"/>
    <w:rsid w:val="00C73233"/>
    <w:rsid w:val="00C77709"/>
    <w:rsid w:val="00C84F3F"/>
    <w:rsid w:val="00CC2E46"/>
    <w:rsid w:val="00CD0347"/>
    <w:rsid w:val="00CD618E"/>
    <w:rsid w:val="00CD64BF"/>
    <w:rsid w:val="00CF24EA"/>
    <w:rsid w:val="00CF3421"/>
    <w:rsid w:val="00CF6645"/>
    <w:rsid w:val="00D20519"/>
    <w:rsid w:val="00D3757C"/>
    <w:rsid w:val="00D47E91"/>
    <w:rsid w:val="00D62745"/>
    <w:rsid w:val="00D7312A"/>
    <w:rsid w:val="00D73BB0"/>
    <w:rsid w:val="00D75CC5"/>
    <w:rsid w:val="00D82D88"/>
    <w:rsid w:val="00D85DAC"/>
    <w:rsid w:val="00D911E5"/>
    <w:rsid w:val="00D950F0"/>
    <w:rsid w:val="00D96865"/>
    <w:rsid w:val="00DB58C0"/>
    <w:rsid w:val="00DC20CF"/>
    <w:rsid w:val="00DE098C"/>
    <w:rsid w:val="00DE6FDB"/>
    <w:rsid w:val="00E03AD1"/>
    <w:rsid w:val="00E12660"/>
    <w:rsid w:val="00E36270"/>
    <w:rsid w:val="00E40A16"/>
    <w:rsid w:val="00E5559A"/>
    <w:rsid w:val="00E56F95"/>
    <w:rsid w:val="00E60AC8"/>
    <w:rsid w:val="00E64F45"/>
    <w:rsid w:val="00E755CA"/>
    <w:rsid w:val="00E756DF"/>
    <w:rsid w:val="00E7781C"/>
    <w:rsid w:val="00E83556"/>
    <w:rsid w:val="00E94528"/>
    <w:rsid w:val="00E9506C"/>
    <w:rsid w:val="00EA2B57"/>
    <w:rsid w:val="00EA6193"/>
    <w:rsid w:val="00EB6910"/>
    <w:rsid w:val="00EB6DA5"/>
    <w:rsid w:val="00ED192E"/>
    <w:rsid w:val="00EE6BE1"/>
    <w:rsid w:val="00EF285F"/>
    <w:rsid w:val="00EF5AB0"/>
    <w:rsid w:val="00F01D9B"/>
    <w:rsid w:val="00F040AA"/>
    <w:rsid w:val="00F11319"/>
    <w:rsid w:val="00F11598"/>
    <w:rsid w:val="00F17CB4"/>
    <w:rsid w:val="00F254AF"/>
    <w:rsid w:val="00F3629A"/>
    <w:rsid w:val="00F6582B"/>
    <w:rsid w:val="00FA3E3E"/>
    <w:rsid w:val="00FA596D"/>
    <w:rsid w:val="00FA602E"/>
    <w:rsid w:val="00FC074E"/>
    <w:rsid w:val="00FC5217"/>
    <w:rsid w:val="00FC6940"/>
    <w:rsid w:val="00FE5682"/>
    <w:rsid w:val="00FE60B6"/>
    <w:rsid w:val="00FE734D"/>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18</Pages>
  <Words>6478</Words>
  <Characters>36925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Tanya Becker</cp:lastModifiedBy>
  <cp:revision>22</cp:revision>
  <cp:lastPrinted>2022-09-29T12:20:00Z</cp:lastPrinted>
  <dcterms:created xsi:type="dcterms:W3CDTF">2022-10-06T11:39:00Z</dcterms:created>
  <dcterms:modified xsi:type="dcterms:W3CDTF">2022-10-07T08:50:00Z</dcterms:modified>
</cp:coreProperties>
</file>