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lastRenderedPageBreak/>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6550EC"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6550EC">
        <w:rPr>
          <w:rFonts w:ascii="Avenir Next" w:hAnsi="Avenir Next"/>
          <w:color w:val="000000" w:themeColor="text1"/>
          <w:highlight w:val="yellow"/>
          <w:lang w:val="en-GB"/>
        </w:rPr>
        <w:t xml:space="preserve">(1) </w:t>
      </w:r>
      <w:r w:rsidR="00563F78" w:rsidRPr="006550EC">
        <w:rPr>
          <w:rFonts w:ascii="Avenir Next" w:hAnsi="Avenir Next"/>
          <w:color w:val="000000" w:themeColor="text1"/>
          <w:highlight w:val="yellow"/>
          <w:lang w:val="en-GB"/>
        </w:rPr>
        <w:t>and (2) are correct</w:t>
      </w:r>
      <w:r w:rsidR="007747E8" w:rsidRPr="006550EC">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6550EC"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6550EC">
        <w:rPr>
          <w:rFonts w:ascii="Avenir Next" w:hAnsi="Avenir Next" w:cs="Arial"/>
          <w:color w:val="000000" w:themeColor="text1"/>
          <w:highlight w:val="yellow"/>
          <w:lang w:val="en-GB"/>
        </w:rPr>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6550EC"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6550EC">
        <w:rPr>
          <w:rFonts w:ascii="Avenir Next" w:hAnsi="Avenir Next" w:cs="Arial"/>
          <w:color w:val="000000" w:themeColor="text1"/>
          <w:highlight w:val="yellow"/>
          <w:lang w:val="en-GB"/>
        </w:rPr>
        <w:t>d</w:t>
      </w:r>
      <w:r w:rsidR="00A9217C" w:rsidRPr="006550EC">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Pr="00D54D31"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D54D31">
        <w:rPr>
          <w:rFonts w:ascii="Avenir Next" w:hAnsi="Avenir Next" w:cs="Arial"/>
          <w:color w:val="000000" w:themeColor="text1"/>
          <w:lang w:val="en-GB"/>
        </w:rPr>
        <w:t>The family home</w:t>
      </w:r>
      <w:r w:rsidR="00194D76" w:rsidRPr="00D54D31">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Pr="00D54D31"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D54D31">
        <w:rPr>
          <w:rFonts w:ascii="Avenir Next" w:hAnsi="Avenir Next" w:cs="Arial"/>
          <w:color w:val="000000" w:themeColor="text1"/>
          <w:lang w:val="en-GB"/>
        </w:rPr>
        <w:t>Household furniture</w:t>
      </w:r>
      <w:r w:rsidR="00194D76" w:rsidRPr="00D54D31">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D54D31"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D54D31">
        <w:rPr>
          <w:rFonts w:ascii="Avenir Next" w:hAnsi="Avenir Next" w:cs="Arial"/>
          <w:color w:val="000000" w:themeColor="text1"/>
          <w:lang w:val="en-GB"/>
        </w:rPr>
        <w:t>Tools and other means of subsi</w:t>
      </w:r>
      <w:r w:rsidR="00194D76" w:rsidRPr="00D54D31">
        <w:rPr>
          <w:rFonts w:ascii="Avenir Next" w:hAnsi="Avenir Next" w:cs="Arial"/>
          <w:color w:val="000000" w:themeColor="text1"/>
          <w:lang w:val="en-GB"/>
        </w:rPr>
        <w:t>s</w:t>
      </w:r>
      <w:r w:rsidRPr="00D54D31">
        <w:rPr>
          <w:rFonts w:ascii="Avenir Next" w:hAnsi="Avenir Next" w:cs="Arial"/>
          <w:color w:val="000000" w:themeColor="text1"/>
          <w:lang w:val="en-GB"/>
        </w:rPr>
        <w:t>tence as the creditors or the Master determine</w:t>
      </w:r>
      <w:r w:rsidR="00194D76" w:rsidRPr="00D54D31">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D54D31" w:rsidRDefault="00343065"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D54D31">
        <w:rPr>
          <w:rFonts w:ascii="Avenir Next" w:hAnsi="Avenir Next" w:cs="Arial"/>
          <w:color w:val="000000" w:themeColor="text1"/>
          <w:highlight w:val="yellow"/>
          <w:lang w:val="en-GB"/>
        </w:rPr>
        <w:t>(1)</w:t>
      </w:r>
      <w:r w:rsidR="00F254AF" w:rsidRPr="00D54D31">
        <w:rPr>
          <w:rFonts w:ascii="Avenir Next" w:hAnsi="Avenir Next" w:cs="Arial"/>
          <w:color w:val="000000" w:themeColor="text1"/>
          <w:highlight w:val="yellow"/>
          <w:lang w:val="en-GB"/>
        </w:rPr>
        <w:t xml:space="preserve">, and </w:t>
      </w:r>
      <w:r w:rsidRPr="00D54D31">
        <w:rPr>
          <w:rFonts w:ascii="Avenir Next" w:hAnsi="Avenir Next" w:cs="Arial"/>
          <w:color w:val="000000" w:themeColor="text1"/>
          <w:highlight w:val="yellow"/>
          <w:lang w:val="en-GB"/>
        </w:rPr>
        <w:t>(4)</w:t>
      </w:r>
      <w:r w:rsidR="00F254AF" w:rsidRPr="00D54D31">
        <w:rPr>
          <w:rFonts w:ascii="Avenir Next" w:hAnsi="Avenir Next" w:cs="Arial"/>
          <w:color w:val="000000" w:themeColor="text1"/>
          <w:highlight w:val="yellow"/>
          <w:lang w:val="en-GB"/>
        </w:rPr>
        <w:t xml:space="preserve"> are correct</w:t>
      </w:r>
      <w:r w:rsidR="00194D76" w:rsidRPr="00D54D31">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Pr="00406CA5" w:rsidRDefault="00270263" w:rsidP="00FC5217">
      <w:pPr>
        <w:pStyle w:val="ListParagraph"/>
        <w:numPr>
          <w:ilvl w:val="0"/>
          <w:numId w:val="15"/>
        </w:numPr>
        <w:spacing w:after="0" w:line="240" w:lineRule="auto"/>
        <w:ind w:left="425" w:hanging="357"/>
        <w:rPr>
          <w:rFonts w:ascii="Avenir Next" w:hAnsi="Avenir Next"/>
          <w:lang w:val="en-GB"/>
        </w:rPr>
      </w:pPr>
      <w:r w:rsidRPr="00406CA5">
        <w:rPr>
          <w:rFonts w:ascii="Avenir Next" w:hAnsi="Avenir Next"/>
          <w:lang w:val="en-GB"/>
        </w:rPr>
        <w:t>The insolvent estate of a deceased person.</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406CA5"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406CA5">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D54D31"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D54D31">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781C48" w:rsidRDefault="0066147F" w:rsidP="00FC5217">
      <w:pPr>
        <w:pStyle w:val="ListParagraph"/>
        <w:numPr>
          <w:ilvl w:val="0"/>
          <w:numId w:val="17"/>
        </w:numPr>
        <w:spacing w:after="0" w:line="240" w:lineRule="auto"/>
        <w:ind w:left="426"/>
        <w:rPr>
          <w:rFonts w:ascii="Avenir Next" w:hAnsi="Avenir Next"/>
          <w:highlight w:val="yellow"/>
          <w:lang w:val="en-GB"/>
        </w:rPr>
      </w:pPr>
      <w:r w:rsidRPr="00781C48">
        <w:rPr>
          <w:rFonts w:ascii="Avenir Next" w:hAnsi="Avenir Next"/>
          <w:highlight w:val="yellow"/>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781C48" w:rsidRDefault="0066147F" w:rsidP="00FC5217">
      <w:pPr>
        <w:pStyle w:val="ListParagraph"/>
        <w:numPr>
          <w:ilvl w:val="0"/>
          <w:numId w:val="17"/>
        </w:numPr>
        <w:spacing w:after="0" w:line="240" w:lineRule="auto"/>
        <w:ind w:left="426"/>
        <w:rPr>
          <w:rFonts w:ascii="Avenir Next" w:hAnsi="Avenir Next"/>
          <w:lang w:val="en-GB"/>
        </w:rPr>
      </w:pPr>
      <w:r w:rsidRPr="00781C48">
        <w:rPr>
          <w:rFonts w:ascii="Avenir Next" w:hAnsi="Avenir Next"/>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D4670C" w:rsidRDefault="003D15EA" w:rsidP="00FC5217">
      <w:pPr>
        <w:pStyle w:val="ListParagraph"/>
        <w:numPr>
          <w:ilvl w:val="0"/>
          <w:numId w:val="18"/>
        </w:numPr>
        <w:spacing w:after="0" w:line="240" w:lineRule="auto"/>
        <w:ind w:left="426"/>
        <w:rPr>
          <w:rFonts w:ascii="Avenir Next" w:hAnsi="Avenir Next"/>
          <w:highlight w:val="yellow"/>
          <w:lang w:val="en-GB"/>
        </w:rPr>
      </w:pPr>
      <w:r w:rsidRPr="00D4670C">
        <w:rPr>
          <w:rFonts w:ascii="Avenir Next" w:hAnsi="Avenir Next"/>
          <w:highlight w:val="yellow"/>
          <w:lang w:val="en-GB"/>
        </w:rPr>
        <w:t>The grounds for setting aside a sequestration order or a winding-up order are contained in the Insolvency Act and the Companies Act 1973, respectively.</w:t>
      </w:r>
    </w:p>
    <w:p w14:paraId="19499121" w14:textId="77777777" w:rsidR="00BD257D" w:rsidRPr="003D15EA" w:rsidRDefault="00BD257D"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lastRenderedPageBreak/>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1F31E8" w:rsidRDefault="00504A64" w:rsidP="00FC5217">
      <w:pPr>
        <w:pStyle w:val="ListParagraph"/>
        <w:numPr>
          <w:ilvl w:val="0"/>
          <w:numId w:val="19"/>
        </w:numPr>
        <w:spacing w:after="0" w:line="240" w:lineRule="auto"/>
        <w:ind w:left="426"/>
        <w:rPr>
          <w:rFonts w:ascii="Avenir Next" w:hAnsi="Avenir Next"/>
          <w:color w:val="000000" w:themeColor="text1"/>
          <w:highlight w:val="yellow"/>
          <w:lang w:val="en-GB"/>
        </w:rPr>
      </w:pPr>
      <w:r w:rsidRPr="001F31E8">
        <w:rPr>
          <w:rFonts w:ascii="Avenir Next" w:hAnsi="Avenir Next"/>
          <w:highlight w:val="yellow"/>
          <w:lang w:val="en-GB"/>
        </w:rPr>
        <w:t>Both (a) and (b)</w:t>
      </w:r>
      <w:r w:rsidR="00BA451C" w:rsidRPr="001F31E8">
        <w:rPr>
          <w:rFonts w:ascii="Avenir Next" w:hAnsi="Avenir Next"/>
          <w:highlight w:val="yellow"/>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A90D21"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A90D21">
        <w:rPr>
          <w:rFonts w:ascii="Avenir Next" w:hAnsi="Avenir Next"/>
          <w:color w:val="000000" w:themeColor="text1"/>
          <w:lang w:val="en-GB"/>
        </w:rPr>
        <w:t>True</w:t>
      </w:r>
    </w:p>
    <w:p w14:paraId="11635E95" w14:textId="2C302BE2" w:rsidR="00034FC0" w:rsidRDefault="00034FC0" w:rsidP="00117579">
      <w:pPr>
        <w:ind w:left="426"/>
        <w:rPr>
          <w:color w:val="000000" w:themeColor="text1"/>
          <w:lang w:val="en-GB"/>
        </w:rPr>
      </w:pPr>
    </w:p>
    <w:p w14:paraId="4F1047F4" w14:textId="50F1609F" w:rsidR="00034FC0"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1F31E8">
        <w:rPr>
          <w:rFonts w:ascii="Avenir Next" w:hAnsi="Avenir Next"/>
          <w:color w:val="000000" w:themeColor="text1"/>
          <w:highlight w:val="yellow"/>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733777"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733777">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A90D21"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1F31E8">
        <w:rPr>
          <w:rFonts w:ascii="Avenir Next" w:hAnsi="Avenir Next"/>
          <w:color w:val="000000" w:themeColor="text1"/>
          <w:highlight w:val="yellow"/>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Pr="00C65FDA" w:rsidRDefault="00117579" w:rsidP="00FC5217">
      <w:pPr>
        <w:pStyle w:val="ListParagraph"/>
        <w:numPr>
          <w:ilvl w:val="2"/>
          <w:numId w:val="20"/>
        </w:numPr>
        <w:spacing w:after="0" w:line="240" w:lineRule="auto"/>
        <w:ind w:left="426"/>
        <w:rPr>
          <w:rFonts w:ascii="Avenir Next" w:hAnsi="Avenir Next" w:cs="Times New Roman"/>
          <w:lang w:val="en-GB"/>
        </w:rPr>
      </w:pPr>
      <w:r w:rsidRPr="00C65FDA">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A90D21" w:rsidRDefault="00117579" w:rsidP="00FC5217">
      <w:pPr>
        <w:pStyle w:val="ListParagraph"/>
        <w:numPr>
          <w:ilvl w:val="2"/>
          <w:numId w:val="20"/>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The statement is not correct since the preference of one creditor above others is not prescribed in </w:t>
      </w:r>
      <w:r w:rsidR="00A71C38" w:rsidRPr="00A90D21">
        <w:rPr>
          <w:rFonts w:ascii="Avenir Next" w:hAnsi="Avenir Next" w:cs="Times New Roman"/>
          <w:lang w:val="en-GB"/>
        </w:rPr>
        <w:t xml:space="preserve">the </w:t>
      </w:r>
      <w:r w:rsidRPr="00A90D21">
        <w:rPr>
          <w:rFonts w:ascii="Avenir Next" w:hAnsi="Avenir Next" w:cs="Times New Roman"/>
          <w:lang w:val="en-GB"/>
        </w:rPr>
        <w:t>case of dispositions for value</w:t>
      </w:r>
      <w:r w:rsidR="00A71C38" w:rsidRPr="00A90D21">
        <w:rPr>
          <w:rFonts w:ascii="Avenir Next" w:hAnsi="Avenir Next" w:cs="Times New Roman"/>
          <w:lang w:val="en-GB"/>
        </w:rPr>
        <w:t>,</w:t>
      </w:r>
      <w:r w:rsidRPr="00A90D21">
        <w:rPr>
          <w:rFonts w:ascii="Avenir Next" w:hAnsi="Avenir Next" w:cs="Times New Roman"/>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C65FDA"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C65FDA">
        <w:rPr>
          <w:rFonts w:ascii="Avenir Next" w:hAnsi="Avenir Next" w:cs="Times New Roman"/>
          <w:highlight w:val="yellow"/>
          <w:lang w:val="en-GB"/>
        </w:rPr>
        <w:t xml:space="preserve">The statement is correct since this requirement is also prescribed for the common law </w:t>
      </w:r>
      <w:r w:rsidRPr="00C65FDA">
        <w:rPr>
          <w:rFonts w:ascii="Avenir Next" w:hAnsi="Avenir Next" w:cs="Times New Roman"/>
          <w:i/>
          <w:highlight w:val="yellow"/>
          <w:lang w:val="en-GB"/>
        </w:rPr>
        <w:t>actio Pauliana</w:t>
      </w:r>
      <w:r w:rsidRPr="00C65FDA">
        <w:rPr>
          <w:rFonts w:ascii="Avenir Next" w:hAnsi="Avenir Next" w:cs="Times New Roman"/>
          <w:highlight w:val="yellow"/>
          <w:lang w:val="en-GB"/>
        </w:rPr>
        <w:t xml:space="preserve"> and was taken up </w:t>
      </w:r>
      <w:r w:rsidR="00A71C38" w:rsidRPr="00C65FDA">
        <w:rPr>
          <w:rFonts w:ascii="Avenir Next" w:hAnsi="Avenir Next" w:cs="Times New Roman"/>
          <w:highlight w:val="yellow"/>
          <w:lang w:val="en-GB"/>
        </w:rPr>
        <w:t xml:space="preserve">as such </w:t>
      </w:r>
      <w:r w:rsidRPr="00C65FDA">
        <w:rPr>
          <w:rFonts w:ascii="Avenir Next" w:hAnsi="Avenir Next" w:cs="Times New Roman"/>
          <w:highlight w:val="yellow"/>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Pr="007474F5" w:rsidRDefault="00117579" w:rsidP="00FC5217">
      <w:pPr>
        <w:pStyle w:val="ListParagraph"/>
        <w:numPr>
          <w:ilvl w:val="2"/>
          <w:numId w:val="21"/>
        </w:numPr>
        <w:spacing w:after="0" w:line="240" w:lineRule="auto"/>
        <w:ind w:left="426"/>
        <w:rPr>
          <w:rFonts w:ascii="Avenir Next" w:hAnsi="Avenir Next" w:cs="Times New Roman"/>
          <w:highlight w:val="yellow"/>
          <w:lang w:val="en-GB"/>
        </w:rPr>
      </w:pPr>
      <w:r w:rsidRPr="007474F5">
        <w:rPr>
          <w:rFonts w:ascii="Avenir Next" w:hAnsi="Avenir Next" w:cs="Times New Roman"/>
          <w:highlight w:val="yellow"/>
          <w:lang w:val="en-GB"/>
        </w:rPr>
        <w:t>The statement is correct since section 32 of the Insolvency Act provides for the return of the value of the property at the date of the dispositions</w:t>
      </w:r>
      <w:r w:rsidR="00FF62D0" w:rsidRPr="007474F5">
        <w:rPr>
          <w:rFonts w:ascii="Avenir Next" w:hAnsi="Avenir Next" w:cs="Times New Roman"/>
          <w:highlight w:val="yellow"/>
          <w:lang w:val="en-GB"/>
        </w:rPr>
        <w:t>,</w:t>
      </w:r>
      <w:r w:rsidRPr="007474F5">
        <w:rPr>
          <w:rFonts w:ascii="Avenir Next" w:hAnsi="Avenir Next" w:cs="Times New Roman"/>
          <w:highlight w:val="yellow"/>
          <w:lang w:val="en-GB"/>
        </w:rPr>
        <w:t xml:space="preserve"> as mentioned in the statement</w:t>
      </w:r>
      <w:r w:rsidR="00FA602E" w:rsidRPr="007474F5">
        <w:rPr>
          <w:rFonts w:ascii="Avenir Next" w:hAnsi="Avenir Next" w:cs="Times New Roman"/>
          <w:highlight w:val="yellow"/>
          <w:lang w:val="en-GB"/>
        </w:rPr>
        <w:t xml:space="preserve"> above</w:t>
      </w:r>
      <w:r w:rsidRPr="007474F5">
        <w:rPr>
          <w:rFonts w:ascii="Avenir Next" w:hAnsi="Avenir Next" w:cs="Times New Roman"/>
          <w:highlight w:val="yellow"/>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A90D21"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A90D21">
        <w:rPr>
          <w:rFonts w:ascii="Avenir Next" w:hAnsi="Avenir Next" w:cs="Times New Roman"/>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A90D21" w:rsidRDefault="00BA24B1" w:rsidP="00FC5217">
      <w:pPr>
        <w:pStyle w:val="ListParagraph"/>
        <w:numPr>
          <w:ilvl w:val="1"/>
          <w:numId w:val="22"/>
        </w:numPr>
        <w:spacing w:after="0" w:line="240" w:lineRule="auto"/>
        <w:ind w:left="426"/>
        <w:rPr>
          <w:rFonts w:ascii="Avenir Next" w:hAnsi="Avenir Next" w:cs="Times New Roman"/>
          <w:lang w:val="en-US"/>
        </w:rPr>
      </w:pPr>
      <w:r w:rsidRPr="00A90D21">
        <w:rPr>
          <w:rFonts w:ascii="Avenir Next" w:hAnsi="Avenir Next" w:cs="Times New Roman"/>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7474F5"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7474F5">
        <w:rPr>
          <w:rFonts w:ascii="Avenir Next" w:hAnsi="Avenir Next" w:cs="Times New Roman"/>
          <w:highlight w:val="yellow"/>
          <w:lang w:val="en-US"/>
        </w:rPr>
        <w:t>The statement is correct since the election of the trustee or liquidator in fact amounts to cancellation of the contract.</w:t>
      </w:r>
    </w:p>
    <w:p w14:paraId="40AB93FE" w14:textId="11594B1F" w:rsidR="00BD257D" w:rsidRDefault="00BD257D" w:rsidP="00BA24B1">
      <w:pPr>
        <w:rPr>
          <w:color w:val="000000" w:themeColor="text1"/>
          <w:lang w:val="en-GB"/>
        </w:rPr>
      </w:pPr>
    </w:p>
    <w:p w14:paraId="29A3A18E" w14:textId="77777777" w:rsidR="00BD257D" w:rsidRDefault="00BD257D"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lastRenderedPageBreak/>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A90D21" w:rsidRDefault="00BA24B1" w:rsidP="00FC5217">
      <w:pPr>
        <w:pStyle w:val="ListParagraph"/>
        <w:numPr>
          <w:ilvl w:val="1"/>
          <w:numId w:val="23"/>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W </w:t>
      </w:r>
      <w:r w:rsidR="00A95393" w:rsidRPr="00A90D21">
        <w:rPr>
          <w:rFonts w:ascii="Avenir Next" w:hAnsi="Avenir Next" w:cs="Times New Roman"/>
          <w:lang w:val="en-GB"/>
        </w:rPr>
        <w:t xml:space="preserve">has </w:t>
      </w:r>
      <w:r w:rsidRPr="00A90D21">
        <w:rPr>
          <w:rFonts w:ascii="Avenir Next" w:hAnsi="Avenir Next" w:cs="Times New Roman"/>
          <w:lang w:val="en-GB"/>
        </w:rPr>
        <w:t xml:space="preserve">lost ownership </w:t>
      </w:r>
      <w:r w:rsidR="00A95393" w:rsidRPr="00A90D21">
        <w:rPr>
          <w:rFonts w:ascii="Avenir Next" w:hAnsi="Avenir Next" w:cs="Times New Roman"/>
          <w:lang w:val="en-GB"/>
        </w:rPr>
        <w:t>of</w:t>
      </w:r>
      <w:r w:rsidRPr="00A90D21">
        <w:rPr>
          <w:rFonts w:ascii="Avenir Next" w:hAnsi="Avenir Next" w:cs="Times New Roman"/>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DF77C9" w:rsidRDefault="00BA24B1" w:rsidP="00FC5217">
      <w:pPr>
        <w:pStyle w:val="ListParagraph"/>
        <w:numPr>
          <w:ilvl w:val="1"/>
          <w:numId w:val="23"/>
        </w:numPr>
        <w:spacing w:after="0" w:line="240" w:lineRule="auto"/>
        <w:ind w:left="426"/>
        <w:rPr>
          <w:rFonts w:ascii="Avenir Next" w:hAnsi="Avenir Next"/>
          <w:color w:val="000000" w:themeColor="text1"/>
          <w:highlight w:val="yellow"/>
          <w:lang w:val="en-GB"/>
        </w:rPr>
      </w:pPr>
      <w:r w:rsidRPr="00DF77C9">
        <w:rPr>
          <w:rFonts w:ascii="Avenir Next" w:hAnsi="Avenir Next" w:cs="Times New Roman"/>
          <w:highlight w:val="yellow"/>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D343E2" w:rsidRDefault="00416B97" w:rsidP="00FC5217">
      <w:pPr>
        <w:pStyle w:val="ListParagraph"/>
        <w:numPr>
          <w:ilvl w:val="0"/>
          <w:numId w:val="24"/>
        </w:numPr>
        <w:spacing w:after="0" w:line="240" w:lineRule="auto"/>
        <w:ind w:left="426"/>
        <w:rPr>
          <w:rFonts w:ascii="Avenir Next" w:hAnsi="Avenir Next"/>
          <w:highlight w:val="yellow"/>
        </w:rPr>
      </w:pPr>
      <w:r w:rsidRPr="00D343E2">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D343E2" w:rsidRDefault="007120A0" w:rsidP="00FC5217">
      <w:pPr>
        <w:pStyle w:val="ListParagraph"/>
        <w:numPr>
          <w:ilvl w:val="0"/>
          <w:numId w:val="25"/>
        </w:numPr>
        <w:spacing w:after="0" w:line="240" w:lineRule="auto"/>
        <w:ind w:left="426"/>
        <w:rPr>
          <w:rFonts w:ascii="Avenir Next" w:hAnsi="Avenir Next"/>
          <w:highlight w:val="yellow"/>
          <w:lang w:val="en-GB"/>
        </w:rPr>
      </w:pPr>
      <w:r w:rsidRPr="00D343E2">
        <w:rPr>
          <w:rFonts w:ascii="Avenir Next" w:hAnsi="Avenir Next"/>
          <w:highlight w:val="yellow"/>
          <w:lang w:val="en-GB"/>
        </w:rPr>
        <w:t>All of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A90D21" w:rsidRDefault="00E12660" w:rsidP="00FC5217">
      <w:pPr>
        <w:numPr>
          <w:ilvl w:val="0"/>
          <w:numId w:val="26"/>
        </w:numPr>
        <w:rPr>
          <w:lang w:val="en-ZA"/>
        </w:rPr>
      </w:pPr>
      <w:r w:rsidRPr="00D343E2">
        <w:rPr>
          <w:highlight w:val="yellow"/>
          <w:lang w:val="en-ZA"/>
        </w:rPr>
        <w:t xml:space="preserve">Both </w:t>
      </w:r>
      <w:r w:rsidR="00FF44ED" w:rsidRPr="00D343E2">
        <w:rPr>
          <w:highlight w:val="yellow"/>
          <w:lang w:val="en-ZA"/>
        </w:rPr>
        <w:t xml:space="preserve">statements </w:t>
      </w:r>
      <w:r w:rsidRPr="00D343E2">
        <w:rPr>
          <w:highlight w:val="yellow"/>
          <w:lang w:val="en-ZA"/>
        </w:rPr>
        <w:t>(a) and (b)</w:t>
      </w:r>
      <w:r w:rsidR="00FF44ED" w:rsidRPr="00D343E2">
        <w:rPr>
          <w:highlight w:val="yellow"/>
          <w:lang w:val="en-ZA"/>
        </w:rPr>
        <w:t xml:space="preserve"> are correct</w:t>
      </w:r>
      <w:r w:rsidRPr="00D343E2">
        <w:rPr>
          <w:highlight w:val="yellow"/>
          <w:lang w:val="en-ZA"/>
        </w:rPr>
        <w:t>.</w:t>
      </w:r>
      <w:r w:rsidRPr="00A90D21">
        <w:rPr>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1D232E">
        <w:rPr>
          <w:rFonts w:ascii="Avenir Next" w:hAnsi="Avenir Next"/>
          <w:highlight w:val="yellow"/>
          <w:lang w:val="en-GB"/>
        </w:rPr>
        <w:t>Only the provisions of the Companies Act 2008 apply to the liquidation of solvent companies</w:t>
      </w:r>
      <w:r w:rsidRPr="00EF285F">
        <w:rPr>
          <w:rFonts w:ascii="Avenir Next" w:hAnsi="Avenir Next"/>
          <w:lang w:val="en-GB"/>
        </w:rPr>
        <w:t>.</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A90D21" w:rsidRDefault="00EF285F" w:rsidP="00FC5217">
      <w:pPr>
        <w:pStyle w:val="ListParagraph"/>
        <w:numPr>
          <w:ilvl w:val="0"/>
          <w:numId w:val="13"/>
        </w:numPr>
        <w:spacing w:after="0" w:line="240" w:lineRule="auto"/>
        <w:ind w:left="426"/>
        <w:rPr>
          <w:rFonts w:ascii="Avenir Next" w:hAnsi="Avenir Next"/>
          <w:lang w:val="en-GB"/>
        </w:rPr>
      </w:pPr>
      <w:r w:rsidRPr="00A90D21">
        <w:rPr>
          <w:rFonts w:ascii="Avenir Next" w:hAnsi="Avenir Next"/>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A90D21" w:rsidRDefault="00EF285F" w:rsidP="00FC5217">
      <w:pPr>
        <w:pStyle w:val="ListParagraph"/>
        <w:numPr>
          <w:ilvl w:val="0"/>
          <w:numId w:val="14"/>
        </w:numPr>
        <w:spacing w:after="0" w:line="240" w:lineRule="auto"/>
        <w:ind w:left="426" w:hanging="357"/>
        <w:rPr>
          <w:rFonts w:ascii="Avenir Next" w:hAnsi="Avenir Next"/>
          <w:lang w:val="en-GB"/>
        </w:rPr>
      </w:pPr>
      <w:r w:rsidRPr="00407CEF">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35868F3" w14:textId="77777777" w:rsidR="00BD257D" w:rsidRDefault="00BD257D" w:rsidP="00497863">
      <w:pPr>
        <w:rPr>
          <w:rFonts w:ascii="Avenir Next Demi Bold" w:hAnsi="Avenir Next Demi Bold"/>
          <w:b/>
          <w:bCs/>
          <w:color w:val="000000" w:themeColor="text1"/>
          <w:lang w:val="en-GB"/>
        </w:rPr>
      </w:pPr>
    </w:p>
    <w:p w14:paraId="635E7056" w14:textId="77777777" w:rsidR="00BD257D" w:rsidRDefault="00BD257D" w:rsidP="00497863">
      <w:pPr>
        <w:rPr>
          <w:rFonts w:ascii="Avenir Next Demi Bold" w:hAnsi="Avenir Next Demi Bold"/>
          <w:b/>
          <w:bCs/>
          <w:color w:val="000000" w:themeColor="text1"/>
          <w:lang w:val="en-GB"/>
        </w:rPr>
      </w:pPr>
    </w:p>
    <w:p w14:paraId="14E5BDF0" w14:textId="77777777" w:rsidR="00BD257D" w:rsidRDefault="00BD257D" w:rsidP="00497863">
      <w:pPr>
        <w:rPr>
          <w:rFonts w:ascii="Avenir Next Demi Bold" w:hAnsi="Avenir Next Demi Bold"/>
          <w:b/>
          <w:bCs/>
          <w:color w:val="000000" w:themeColor="text1"/>
          <w:lang w:val="en-GB"/>
        </w:rPr>
      </w:pPr>
    </w:p>
    <w:p w14:paraId="413341CE" w14:textId="77777777" w:rsidR="00BD257D" w:rsidRDefault="00BD257D" w:rsidP="00497863">
      <w:pPr>
        <w:rPr>
          <w:rFonts w:ascii="Avenir Next Demi Bold" w:hAnsi="Avenir Next Demi Bold"/>
          <w:b/>
          <w:bCs/>
          <w:color w:val="000000" w:themeColor="text1"/>
          <w:lang w:val="en-GB"/>
        </w:rPr>
      </w:pPr>
    </w:p>
    <w:p w14:paraId="06D8E555" w14:textId="77777777" w:rsidR="00BD257D" w:rsidRDefault="00BD257D" w:rsidP="00497863">
      <w:pPr>
        <w:rPr>
          <w:rFonts w:ascii="Avenir Next Demi Bold" w:hAnsi="Avenir Next Demi Bold"/>
          <w:b/>
          <w:bCs/>
          <w:color w:val="000000" w:themeColor="text1"/>
          <w:lang w:val="en-GB"/>
        </w:rPr>
      </w:pPr>
    </w:p>
    <w:p w14:paraId="2A5030AB" w14:textId="63386DCB"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lastRenderedPageBreak/>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5ABA9851" w14:textId="156C28D8" w:rsidR="00A90D21" w:rsidRPr="00AD65D4" w:rsidRDefault="00407CEF" w:rsidP="00A514C8">
      <w:pPr>
        <w:rPr>
          <w:color w:val="000000" w:themeColor="text1"/>
        </w:rPr>
      </w:pPr>
      <w:r w:rsidRPr="00AD65D4">
        <w:rPr>
          <w:color w:val="000000" w:themeColor="text1"/>
        </w:rPr>
        <w:t xml:space="preserve">The legal position regarding debts after sequestration is that any debts due to the insolvent will after sequestration fall due and payable to the trustee. </w:t>
      </w:r>
      <w:r w:rsidR="000D6FEF" w:rsidRPr="00AD65D4">
        <w:rPr>
          <w:color w:val="000000" w:themeColor="text1"/>
        </w:rPr>
        <w:t xml:space="preserve">These debts will not be payable to the insolvent personally. See Section 22 of the insolvency act, and where payment is made to the insolvent personally, the obligation does not terminate unless the debtor can show and/or prove that he had no knowledge of the sequestration and was </w:t>
      </w:r>
      <w:r w:rsidR="000D6FEF" w:rsidRPr="00AD65D4">
        <w:rPr>
          <w:i/>
          <w:iCs/>
          <w:color w:val="000000" w:themeColor="text1"/>
        </w:rPr>
        <w:t>bona fides</w:t>
      </w:r>
      <w:r w:rsidR="000D6FEF" w:rsidRPr="00AD65D4">
        <w:rPr>
          <w:color w:val="000000" w:themeColor="text1"/>
        </w:rPr>
        <w:t xml:space="preserve"> in his payment to the insolvent personally. </w:t>
      </w: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Pr="00AD65D4" w:rsidRDefault="00EB6910" w:rsidP="00EB6910">
      <w:pPr>
        <w:tabs>
          <w:tab w:val="right" w:pos="9021"/>
        </w:tabs>
        <w:rPr>
          <w:color w:val="000000" w:themeColor="text1"/>
        </w:rPr>
      </w:pPr>
    </w:p>
    <w:p w14:paraId="57249061" w14:textId="5924CBE9" w:rsidR="00EB6910" w:rsidRPr="00AD65D4" w:rsidRDefault="000D6FEF" w:rsidP="00AA1118">
      <w:pPr>
        <w:rPr>
          <w:color w:val="000000" w:themeColor="text1"/>
        </w:rPr>
      </w:pPr>
      <w:r w:rsidRPr="00AD65D4">
        <w:rPr>
          <w:color w:val="000000" w:themeColor="text1"/>
        </w:rPr>
        <w:t xml:space="preserve">The requirements for voluntary surrender and compulsory sequestration must be met however the burden of proof will differ as between voluntary surrender and compulsory sequestration. In compulsory sequestrations only a </w:t>
      </w:r>
      <w:r w:rsidR="00AA1118" w:rsidRPr="00AD65D4">
        <w:rPr>
          <w:color w:val="000000" w:themeColor="text1"/>
        </w:rPr>
        <w:t>reasonable</w:t>
      </w:r>
      <w:r w:rsidRPr="00AD65D4">
        <w:rPr>
          <w:color w:val="000000" w:themeColor="text1"/>
        </w:rPr>
        <w:t xml:space="preserve"> prospect </w:t>
      </w:r>
      <w:r w:rsidR="00AA1118" w:rsidRPr="00AD65D4">
        <w:rPr>
          <w:color w:val="000000" w:themeColor="text1"/>
        </w:rPr>
        <w:t xml:space="preserve">that sequestration will be to the advantage of creditors is a requirement whereas positive proof of advantage is required in voluntary sequestration. </w:t>
      </w:r>
      <w:r w:rsidRPr="00AD65D4">
        <w:rPr>
          <w:color w:val="000000" w:themeColor="text1"/>
        </w:rPr>
        <w:t xml:space="preserve"> </w:t>
      </w: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51DD21D6" w14:textId="4DA94979" w:rsidR="00CC2E46" w:rsidRPr="00AD65D4" w:rsidRDefault="00C93E28" w:rsidP="00CC2E46">
      <w:pPr>
        <w:rPr>
          <w:color w:val="000000" w:themeColor="text1"/>
        </w:rPr>
      </w:pPr>
      <w:r w:rsidRPr="00AD65D4">
        <w:rPr>
          <w:color w:val="000000" w:themeColor="text1"/>
        </w:rPr>
        <w:t xml:space="preserve">A witness may be summoned to appear and to produce books, </w:t>
      </w:r>
      <w:r w:rsidR="008108F7" w:rsidRPr="00AD65D4">
        <w:rPr>
          <w:color w:val="000000" w:themeColor="text1"/>
        </w:rPr>
        <w:t>documents,</w:t>
      </w:r>
      <w:r w:rsidRPr="00AD65D4">
        <w:rPr>
          <w:color w:val="000000" w:themeColor="text1"/>
        </w:rPr>
        <w:t xml:space="preserve"> or an</w:t>
      </w:r>
      <w:r w:rsidR="00015579" w:rsidRPr="00AD65D4">
        <w:rPr>
          <w:color w:val="000000" w:themeColor="text1"/>
        </w:rPr>
        <w:t>y document</w:t>
      </w:r>
      <w:r w:rsidRPr="00AD65D4">
        <w:rPr>
          <w:color w:val="000000" w:themeColor="text1"/>
        </w:rPr>
        <w:t xml:space="preserve"> relevant to an enquiry</w:t>
      </w:r>
      <w:r w:rsidR="00015579" w:rsidRPr="00AD65D4">
        <w:rPr>
          <w:color w:val="000000" w:themeColor="text1"/>
        </w:rPr>
        <w:t xml:space="preserve"> specified with reasonable clarity and relevant to the issues. </w:t>
      </w:r>
      <w:r w:rsidRPr="00AD65D4">
        <w:rPr>
          <w:color w:val="000000" w:themeColor="text1"/>
        </w:rPr>
        <w:t xml:space="preserve">Witnesses to an insolvency enquiry may be subpoenaed in terms of section 152 of the insolvency act where the master may </w:t>
      </w:r>
      <w:r w:rsidR="00015579" w:rsidRPr="00AD65D4">
        <w:rPr>
          <w:color w:val="000000" w:themeColor="text1"/>
        </w:rPr>
        <w:t>summon</w:t>
      </w:r>
      <w:r w:rsidRPr="00AD65D4">
        <w:rPr>
          <w:color w:val="000000" w:themeColor="text1"/>
        </w:rPr>
        <w:t xml:space="preserve"> the insolvent, the trustee or any other person who is able to give any information concerning the insolvent or the estate. Further, in terms of section 381</w:t>
      </w:r>
      <w:r w:rsidR="00015579" w:rsidRPr="00AD65D4">
        <w:rPr>
          <w:color w:val="000000" w:themeColor="text1"/>
        </w:rPr>
        <w:t xml:space="preserve">(2) of the Companies Act 1973 the master may at any time examine any person on oath concerning the winding up. Section 417 and 418 of the Companies Act 1973 equally provides for examination by the master or court any in winding up of a company to investigate fully the validity of any claims. In terms thereof the commissioner or master may subpoena any witness to give evidence under oath. Further, Section 423 of the </w:t>
      </w:r>
      <w:r w:rsidR="008108F7" w:rsidRPr="00AD65D4">
        <w:rPr>
          <w:color w:val="000000" w:themeColor="text1"/>
        </w:rPr>
        <w:t>companies’</w:t>
      </w:r>
      <w:r w:rsidR="00015579" w:rsidRPr="00AD65D4">
        <w:rPr>
          <w:color w:val="000000" w:themeColor="text1"/>
        </w:rPr>
        <w:t xml:space="preserve"> act provides that the court may enquire into the </w:t>
      </w:r>
      <w:r w:rsidR="00BB12FE" w:rsidRPr="00AD65D4">
        <w:rPr>
          <w:color w:val="000000" w:themeColor="text1"/>
        </w:rPr>
        <w:t>conduct</w:t>
      </w:r>
      <w:r w:rsidR="00015579" w:rsidRPr="00AD65D4">
        <w:rPr>
          <w:color w:val="000000" w:themeColor="text1"/>
        </w:rPr>
        <w:t xml:space="preserve"> of a director or officer of a company in the course of its </w:t>
      </w:r>
      <w:r w:rsidR="00BB12FE" w:rsidRPr="00AD65D4">
        <w:rPr>
          <w:color w:val="000000" w:themeColor="text1"/>
        </w:rPr>
        <w:t>winding</w:t>
      </w:r>
      <w:r w:rsidR="00015579" w:rsidRPr="00AD65D4">
        <w:rPr>
          <w:color w:val="000000" w:themeColor="text1"/>
        </w:rPr>
        <w:t xml:space="preserve"> up and may subpoena witnesses in this regard. </w:t>
      </w: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4D6690C8" w14:textId="06590860" w:rsidR="001B1994" w:rsidRPr="00AD65D4" w:rsidRDefault="001B1994" w:rsidP="001B1994">
      <w:pPr>
        <w:rPr>
          <w:color w:val="000000" w:themeColor="text1"/>
        </w:rPr>
      </w:pPr>
      <w:r w:rsidRPr="00AD65D4">
        <w:rPr>
          <w:color w:val="000000" w:themeColor="text1"/>
        </w:rPr>
        <w:t>The three-part test to determine whether any part of the insolvency act applies to liquidations of a company, is as follows:</w:t>
      </w:r>
    </w:p>
    <w:p w14:paraId="2156239C" w14:textId="00A0E4C7" w:rsidR="001B1994" w:rsidRPr="00AD65D4" w:rsidRDefault="001B1994" w:rsidP="001B1994">
      <w:pPr>
        <w:rPr>
          <w:color w:val="000000" w:themeColor="text1"/>
        </w:rPr>
      </w:pPr>
    </w:p>
    <w:p w14:paraId="3775563F" w14:textId="040DFABA" w:rsidR="001B1994" w:rsidRPr="00AD65D4" w:rsidRDefault="001B1994" w:rsidP="001B1994">
      <w:pPr>
        <w:pStyle w:val="ListParagraph"/>
        <w:numPr>
          <w:ilvl w:val="0"/>
          <w:numId w:val="33"/>
        </w:numPr>
        <w:rPr>
          <w:color w:val="000000" w:themeColor="text1"/>
        </w:rPr>
      </w:pPr>
      <w:r w:rsidRPr="00AD65D4">
        <w:rPr>
          <w:color w:val="000000" w:themeColor="text1"/>
        </w:rPr>
        <w:t>Firstly, can the section apply a winding up?</w:t>
      </w:r>
    </w:p>
    <w:p w14:paraId="1805160F" w14:textId="7E7C29A8" w:rsidR="001B1994" w:rsidRPr="00AD65D4" w:rsidRDefault="001B1994" w:rsidP="001B1994">
      <w:pPr>
        <w:pStyle w:val="ListParagraph"/>
        <w:numPr>
          <w:ilvl w:val="0"/>
          <w:numId w:val="33"/>
        </w:numPr>
        <w:rPr>
          <w:color w:val="000000" w:themeColor="text1"/>
        </w:rPr>
      </w:pPr>
      <w:r w:rsidRPr="00AD65D4">
        <w:rPr>
          <w:color w:val="000000" w:themeColor="text1"/>
        </w:rPr>
        <w:t>Secondly, is the matter specifically provided for in the caompnaies act?</w:t>
      </w:r>
    </w:p>
    <w:p w14:paraId="46F88863" w14:textId="727472DB" w:rsidR="004165ED" w:rsidRPr="00AD65D4" w:rsidRDefault="001B1994" w:rsidP="001B1994">
      <w:pPr>
        <w:pStyle w:val="ListParagraph"/>
        <w:numPr>
          <w:ilvl w:val="0"/>
          <w:numId w:val="33"/>
        </w:numPr>
        <w:rPr>
          <w:color w:val="000000" w:themeColor="text1"/>
        </w:rPr>
      </w:pPr>
      <w:r w:rsidRPr="00AD65D4">
        <w:rPr>
          <w:color w:val="000000" w:themeColor="text1"/>
        </w:rPr>
        <w:t>And thirdly, does the provision apply to the mode fo liquidation in question.</w:t>
      </w:r>
    </w:p>
    <w:p w14:paraId="78673BD5" w14:textId="77777777" w:rsidR="008108F7" w:rsidRPr="001B1994" w:rsidRDefault="008108F7" w:rsidP="008108F7">
      <w:pPr>
        <w:pStyle w:val="ListParagraph"/>
        <w:rPr>
          <w:color w:val="FF0000"/>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lastRenderedPageBreak/>
        <w:t>QUESTION 6</w:t>
      </w:r>
    </w:p>
    <w:p w14:paraId="11B351A3" w14:textId="274F908A" w:rsidR="006027A2" w:rsidRPr="001F65C0" w:rsidRDefault="006027A2" w:rsidP="006027A2">
      <w:pPr>
        <w:rPr>
          <w:lang w:val="en-GB"/>
        </w:rPr>
      </w:pPr>
    </w:p>
    <w:p w14:paraId="7C9CB768" w14:textId="2B6F5962" w:rsidR="006027A2" w:rsidRDefault="006027A2" w:rsidP="008108F7">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04F5108D" w14:textId="77777777" w:rsidR="00491658" w:rsidRPr="001F65C0" w:rsidRDefault="00491658" w:rsidP="006027A2">
      <w:pPr>
        <w:rPr>
          <w:bCs/>
          <w:iCs/>
        </w:rPr>
      </w:pPr>
    </w:p>
    <w:p w14:paraId="3268CC0F" w14:textId="0C6ECF29" w:rsidR="006027A2" w:rsidRPr="00AD65D4" w:rsidRDefault="00491658" w:rsidP="006027A2">
      <w:pPr>
        <w:rPr>
          <w:color w:val="000000" w:themeColor="text1"/>
        </w:rPr>
      </w:pPr>
      <w:r w:rsidRPr="00AD65D4">
        <w:rPr>
          <w:color w:val="000000" w:themeColor="text1"/>
        </w:rPr>
        <w:t xml:space="preserve">Section 13(1) of the insolvency act states that if the court sequestrates the estate of a partnership, it shall simultaneously sequestrate the estate of every member of that partnership other than a partner </w:t>
      </w:r>
      <w:proofErr w:type="spellStart"/>
      <w:r w:rsidRPr="00AD65D4">
        <w:rPr>
          <w:i/>
          <w:iCs/>
          <w:color w:val="000000" w:themeColor="text1"/>
        </w:rPr>
        <w:t>en</w:t>
      </w:r>
      <w:proofErr w:type="spellEnd"/>
      <w:r w:rsidRPr="00AD65D4">
        <w:rPr>
          <w:i/>
          <w:iCs/>
          <w:color w:val="000000" w:themeColor="text1"/>
        </w:rPr>
        <w:t xml:space="preserve"> </w:t>
      </w:r>
      <w:proofErr w:type="spellStart"/>
      <w:r w:rsidRPr="00AD65D4">
        <w:rPr>
          <w:i/>
          <w:iCs/>
          <w:color w:val="000000" w:themeColor="text1"/>
        </w:rPr>
        <w:t>commandite</w:t>
      </w:r>
      <w:proofErr w:type="spellEnd"/>
      <w:r w:rsidRPr="00AD65D4">
        <w:rPr>
          <w:color w:val="000000" w:themeColor="text1"/>
        </w:rPr>
        <w:t xml:space="preserve"> or a special partner (as defined per the act), provided that if a partner has undertaken to pay the debts of the partnership within a period determined by the court and has given security for such payment to the satisfaction of the registrar, the separate estate of the partner shall not be sequestrated by the sequestration of the estate partnership. Therefore, if a partnership estate is sequestrated the court must simultaneously sequestrate </w:t>
      </w:r>
      <w:r w:rsidR="008108F7" w:rsidRPr="00AD65D4">
        <w:rPr>
          <w:color w:val="000000" w:themeColor="text1"/>
        </w:rPr>
        <w:t>the</w:t>
      </w:r>
      <w:r w:rsidRPr="00AD65D4">
        <w:rPr>
          <w:color w:val="000000" w:themeColor="text1"/>
        </w:rPr>
        <w:t xml:space="preserve"> estate of every member of the partnership save as excluded per Section 13(1) above. </w:t>
      </w: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52A81CF6" w14:textId="72BA1EAD" w:rsidR="00CC2E46" w:rsidRPr="00AD65D4" w:rsidRDefault="007436C2" w:rsidP="00CC2E46">
      <w:pPr>
        <w:rPr>
          <w:color w:val="000000" w:themeColor="text1"/>
        </w:rPr>
      </w:pPr>
      <w:r w:rsidRPr="00AD65D4">
        <w:rPr>
          <w:color w:val="000000" w:themeColor="text1"/>
        </w:rPr>
        <w:t xml:space="preserve">The publication of a notice to surrender in the voluntary surrender of a debtor’s estate </w:t>
      </w:r>
      <w:r w:rsidR="00C0277D" w:rsidRPr="00AD65D4">
        <w:rPr>
          <w:color w:val="000000" w:themeColor="text1"/>
        </w:rPr>
        <w:t>in terms of Section 4 of the insolvency act, has the effect of constituting</w:t>
      </w:r>
      <w:r w:rsidRPr="00AD65D4">
        <w:rPr>
          <w:color w:val="000000" w:themeColor="text1"/>
        </w:rPr>
        <w:t xml:space="preserve"> an act of insolvency which may enable creditors to apply for compulsory sequestration. The publication of a notice of surrender will also stay any sale in execution in terms of Section 5 of the insolvency Act</w:t>
      </w:r>
      <w:r w:rsidR="00C0277D" w:rsidRPr="00AD65D4">
        <w:rPr>
          <w:color w:val="000000" w:themeColor="text1"/>
        </w:rPr>
        <w:t xml:space="preserve">, however, will not impact the attachment of property of the debtor. </w:t>
      </w: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51B35F7E" w:rsidR="00CC2E46" w:rsidRPr="00AD65D4" w:rsidRDefault="00C0277D" w:rsidP="00CC2E46">
      <w:pPr>
        <w:rPr>
          <w:color w:val="000000" w:themeColor="text1"/>
        </w:rPr>
      </w:pPr>
      <w:r w:rsidRPr="00AD65D4">
        <w:rPr>
          <w:color w:val="000000" w:themeColor="text1"/>
        </w:rPr>
        <w:t xml:space="preserve">In terms of section 23(7) of the Insolvency Act Mrs. A may for her own benefit recover and retain the pension monies which she receives or is entitled to for services rendered. </w:t>
      </w:r>
      <w:r w:rsidR="007405F6" w:rsidRPr="00AD65D4">
        <w:rPr>
          <w:color w:val="000000" w:themeColor="text1"/>
        </w:rPr>
        <w:t xml:space="preserve">Equally, Section 37B of the pension funds Act 1965 provides that a person entitled to a benefit payable in terms of the rules of the registered </w:t>
      </w:r>
      <w:r w:rsidR="008108F7" w:rsidRPr="00AD65D4">
        <w:rPr>
          <w:color w:val="000000" w:themeColor="text1"/>
        </w:rPr>
        <w:t xml:space="preserve">pension fund </w:t>
      </w:r>
      <w:r w:rsidR="007405F6" w:rsidRPr="00AD65D4">
        <w:rPr>
          <w:color w:val="000000" w:themeColor="text1"/>
        </w:rPr>
        <w:t xml:space="preserve">is sequestrated, such benefit will not be deemed to form part of the assets in the insolvent estate. </w:t>
      </w:r>
      <w:r w:rsidRPr="00AD65D4">
        <w:rPr>
          <w:color w:val="000000" w:themeColor="text1"/>
        </w:rPr>
        <w:t xml:space="preserve">Therefore, her pension benefits will not form part of her insolvent estate and she will be entitled to retain this. </w:t>
      </w: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0D6C01BA" w14:textId="4187FA1E" w:rsidR="0086161E" w:rsidRPr="00AD65D4" w:rsidRDefault="008014DE" w:rsidP="00470B76">
      <w:pPr>
        <w:rPr>
          <w:color w:val="000000" w:themeColor="text1"/>
        </w:rPr>
      </w:pPr>
      <w:r w:rsidRPr="00AD65D4">
        <w:rPr>
          <w:color w:val="000000" w:themeColor="text1"/>
        </w:rPr>
        <w:t>As is stated, section 63 of the long-term insurance act 1998 affords policy holders protection to policy benefits under certain long term insurance policies. This protects that person or the spouse of that person whose life is insured, and which policy has been in effect for more than 3 years and ensures that the policy benefit</w:t>
      </w:r>
      <w:r w:rsidR="0086161E" w:rsidRPr="00AD65D4">
        <w:rPr>
          <w:color w:val="000000" w:themeColor="text1"/>
        </w:rPr>
        <w:t>s</w:t>
      </w:r>
      <w:r w:rsidRPr="00AD65D4">
        <w:rPr>
          <w:color w:val="000000" w:themeColor="text1"/>
        </w:rPr>
        <w:t xml:space="preserve"> do not form part of the insolvent estate during the insured</w:t>
      </w:r>
      <w:r w:rsidR="004E0D3A" w:rsidRPr="00AD65D4">
        <w:rPr>
          <w:color w:val="000000" w:themeColor="text1"/>
        </w:rPr>
        <w:t>s</w:t>
      </w:r>
      <w:r w:rsidRPr="00AD65D4">
        <w:rPr>
          <w:color w:val="000000" w:themeColor="text1"/>
        </w:rPr>
        <w:t xml:space="preserve"> lifetime or upon their death, if survived by a spouse, child, stepchild or parent, and will not be available for payment </w:t>
      </w:r>
      <w:r w:rsidRPr="00AD65D4">
        <w:rPr>
          <w:color w:val="000000" w:themeColor="text1"/>
        </w:rPr>
        <w:lastRenderedPageBreak/>
        <w:t>of his/her debts provided that the policy devolves upon the spouse, child, stepchild or parent.</w:t>
      </w:r>
      <w:r w:rsidR="004E0D3A" w:rsidRPr="00AD65D4">
        <w:rPr>
          <w:color w:val="000000" w:themeColor="text1"/>
        </w:rPr>
        <w:t xml:space="preserve"> The policy and benefits therefrom are equally not served as security for any debts of the deceased’s estate.</w:t>
      </w:r>
      <w:r w:rsidRPr="00AD65D4">
        <w:rPr>
          <w:color w:val="000000" w:themeColor="text1"/>
        </w:rPr>
        <w:t xml:space="preserve">  The amended Section 63 removed the limit as previously promulgated by the financial services general amendment act of 2013 of R50 000 and now protects the full value of the policy benefit. </w:t>
      </w:r>
      <w:r w:rsidR="00A61E8B" w:rsidRPr="00AD65D4">
        <w:rPr>
          <w:color w:val="000000" w:themeColor="text1"/>
        </w:rPr>
        <w:t xml:space="preserve">The policy protection </w:t>
      </w:r>
      <w:r w:rsidR="004E0D3A" w:rsidRPr="00AD65D4">
        <w:rPr>
          <w:color w:val="000000" w:themeColor="text1"/>
        </w:rPr>
        <w:t>applies</w:t>
      </w:r>
      <w:r w:rsidR="00A61E8B" w:rsidRPr="00AD65D4">
        <w:rPr>
          <w:color w:val="000000" w:themeColor="text1"/>
        </w:rPr>
        <w:t xml:space="preserve"> to policy benefits and assets acquired by the benefits of any policy for a period of 5 years from the date when the policy benefits were provided. Any person claiming protection under Section 63(1) must prove on a balance of probabilities that this section affords him or her the requisite protection. If the intention of the policy is to defraud </w:t>
      </w:r>
      <w:r w:rsidR="0086161E" w:rsidRPr="00AD65D4">
        <w:rPr>
          <w:color w:val="000000" w:themeColor="text1"/>
        </w:rPr>
        <w:t>creditors,</w:t>
      </w:r>
      <w:r w:rsidR="00A61E8B" w:rsidRPr="00AD65D4">
        <w:rPr>
          <w:color w:val="000000" w:themeColor="text1"/>
        </w:rPr>
        <w:t xml:space="preserve"> then those policy benefits will not be protected. As per Pieterse v </w:t>
      </w:r>
      <w:proofErr w:type="spellStart"/>
      <w:r w:rsidR="00A61E8B" w:rsidRPr="00AD65D4">
        <w:rPr>
          <w:color w:val="000000" w:themeColor="text1"/>
        </w:rPr>
        <w:t>Schrosbee</w:t>
      </w:r>
      <w:proofErr w:type="spellEnd"/>
      <w:r w:rsidR="00A61E8B" w:rsidRPr="00AD65D4">
        <w:rPr>
          <w:color w:val="000000" w:themeColor="text1"/>
        </w:rPr>
        <w:t xml:space="preserve"> N.O. &amp; others; </w:t>
      </w:r>
      <w:proofErr w:type="spellStart"/>
      <w:r w:rsidR="00A61E8B" w:rsidRPr="00AD65D4">
        <w:rPr>
          <w:color w:val="000000" w:themeColor="text1"/>
        </w:rPr>
        <w:t>Schrosbree</w:t>
      </w:r>
      <w:proofErr w:type="spellEnd"/>
      <w:r w:rsidR="00A61E8B" w:rsidRPr="00AD65D4">
        <w:rPr>
          <w:color w:val="000000" w:themeColor="text1"/>
        </w:rPr>
        <w:t xml:space="preserve"> NO v Love &amp; others 2005 (1) SA 309 (SCA), it was held that </w:t>
      </w:r>
      <w:r w:rsidR="004E0D3A" w:rsidRPr="00AD65D4">
        <w:rPr>
          <w:color w:val="000000" w:themeColor="text1"/>
        </w:rPr>
        <w:t xml:space="preserve">in terms of </w:t>
      </w:r>
      <w:r w:rsidR="00A61E8B" w:rsidRPr="00AD65D4">
        <w:rPr>
          <w:color w:val="000000" w:themeColor="text1"/>
        </w:rPr>
        <w:t>Section 63 of the long-term insurance Act</w:t>
      </w:r>
      <w:r w:rsidR="0086161E" w:rsidRPr="00AD65D4">
        <w:rPr>
          <w:color w:val="000000" w:themeColor="text1"/>
        </w:rPr>
        <w:t>, that</w:t>
      </w:r>
      <w:r w:rsidR="00A61E8B" w:rsidRPr="00AD65D4">
        <w:rPr>
          <w:color w:val="000000" w:themeColor="text1"/>
        </w:rPr>
        <w:t xml:space="preserve"> the appointment of a beneficiary means that the proceeds and payment thereof will be made to the beneficiary and not the estate of the deceased. The proceeds go directly to the beneficiary and the estate of the deceased has no claim thereto. Notably however, where the estate of the policy holder is sequestrated before acceptance of the policy benefits the case aforementioned will then not </w:t>
      </w:r>
      <w:r w:rsidR="004E0D3A" w:rsidRPr="00AD65D4">
        <w:rPr>
          <w:color w:val="000000" w:themeColor="text1"/>
        </w:rPr>
        <w:t>apply nor</w:t>
      </w:r>
      <w:r w:rsidR="00A61E8B" w:rsidRPr="00AD65D4">
        <w:rPr>
          <w:color w:val="000000" w:themeColor="text1"/>
        </w:rPr>
        <w:t xml:space="preserve"> the protection offered therein. </w:t>
      </w:r>
    </w:p>
    <w:p w14:paraId="0A07F36B" w14:textId="77777777" w:rsidR="00CC2E46" w:rsidRDefault="00CC2E46" w:rsidP="00470B76"/>
    <w:p w14:paraId="5DC1268C" w14:textId="49B8F2EA"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386AECC3" w14:textId="21467F60" w:rsidR="0077169C" w:rsidRDefault="0077169C" w:rsidP="0077169C">
      <w:pPr>
        <w:rPr>
          <w:color w:val="808080" w:themeColor="background1" w:themeShade="80"/>
        </w:rPr>
      </w:pPr>
    </w:p>
    <w:p w14:paraId="416F3BDC" w14:textId="776D9364" w:rsidR="00E951B5" w:rsidRPr="00AD65D4" w:rsidRDefault="00CD5477" w:rsidP="0077169C">
      <w:pPr>
        <w:rPr>
          <w:color w:val="000000" w:themeColor="text1"/>
        </w:rPr>
      </w:pPr>
      <w:r w:rsidRPr="00AD65D4">
        <w:rPr>
          <w:color w:val="000000" w:themeColor="text1"/>
        </w:rPr>
        <w:t xml:space="preserve">Section 20(1)(C) of the insolvency act provides that execution of a judgment is stayed when the sheriff becomes aware of the sequestration unless as may be otherwise directed by a court. Therefore, the registrar of the high court must notify the sheriff and send a copy of the liquidation or sequestration order to every sheriff who holds property of the insolvent estate under attachment. </w:t>
      </w:r>
      <w:r w:rsidR="002F1336" w:rsidRPr="00AD65D4">
        <w:rPr>
          <w:color w:val="000000" w:themeColor="text1"/>
        </w:rPr>
        <w:t xml:space="preserve">A notice of surrender or publication thereof can stay a sale in execution that has not taken place, however, will not stay the transfer of property after the sale in execution. </w:t>
      </w:r>
      <w:r w:rsidRPr="00AD65D4">
        <w:rPr>
          <w:color w:val="000000" w:themeColor="text1"/>
        </w:rPr>
        <w:t xml:space="preserve">In terms of the insolvency Act Section 98(2), attachment does not confer any preference after sequestration save a preference for costs. </w:t>
      </w:r>
      <w:r w:rsidR="002F1336" w:rsidRPr="00AD65D4">
        <w:rPr>
          <w:color w:val="000000" w:themeColor="text1"/>
        </w:rPr>
        <w:t>Returning to Section 20 of the insolvency act, the estate of the insolvent, including any property under attachment, vests in the trustee and the execution of any judgement must be for the benefit of the general body of creditors</w:t>
      </w:r>
      <w:r w:rsidR="00E951B5" w:rsidRPr="00AD65D4">
        <w:rPr>
          <w:color w:val="000000" w:themeColor="text1"/>
        </w:rPr>
        <w:t>, any proceeds to be paid to the master or trustee</w:t>
      </w:r>
      <w:r w:rsidR="002F1336" w:rsidRPr="00AD65D4">
        <w:rPr>
          <w:color w:val="000000" w:themeColor="text1"/>
        </w:rPr>
        <w:t xml:space="preserve">. In this regard see Fourie and Another NNO v Edkins 2013 (6) SA 576 (SCA) and </w:t>
      </w:r>
      <w:proofErr w:type="spellStart"/>
      <w:r w:rsidR="002F1336" w:rsidRPr="00AD65D4">
        <w:rPr>
          <w:color w:val="000000" w:themeColor="text1"/>
        </w:rPr>
        <w:t>Kalianjee</w:t>
      </w:r>
      <w:proofErr w:type="spellEnd"/>
      <w:r w:rsidR="002F1336" w:rsidRPr="00AD65D4">
        <w:rPr>
          <w:color w:val="000000" w:themeColor="text1"/>
        </w:rPr>
        <w:t xml:space="preserve"> NO and Another v </w:t>
      </w:r>
      <w:proofErr w:type="spellStart"/>
      <w:r w:rsidR="002F1336" w:rsidRPr="00AD65D4">
        <w:rPr>
          <w:color w:val="000000" w:themeColor="text1"/>
        </w:rPr>
        <w:t>Ramlotan</w:t>
      </w:r>
      <w:proofErr w:type="spellEnd"/>
      <w:r w:rsidR="002F1336" w:rsidRPr="00AD65D4">
        <w:rPr>
          <w:color w:val="000000" w:themeColor="text1"/>
        </w:rPr>
        <w:t xml:space="preserve"> and Others.  If the sequestration has taken place before the sale in execution the trustee is entitled to the property or the proceeds. </w:t>
      </w:r>
      <w:r w:rsidR="00E951B5" w:rsidRPr="00AD65D4">
        <w:rPr>
          <w:color w:val="000000" w:themeColor="text1"/>
        </w:rPr>
        <w:t xml:space="preserve">In terms of section 20(1)(b) of the insolvency act any civil proceedings instituted by or against the insolvent are also stayed until a trustee is appointed. Section 23 states however that any proceedings instituted for the benefit of the insolvent or against that insolvent, and the exceptions contained therein are permissible in so far as they do not affect the estate of the insolvent. Section 75 of the insolvency act also </w:t>
      </w:r>
      <w:r w:rsidR="00194EB4" w:rsidRPr="00AD65D4">
        <w:rPr>
          <w:color w:val="000000" w:themeColor="text1"/>
        </w:rPr>
        <w:t>states</w:t>
      </w:r>
      <w:r w:rsidR="00E951B5" w:rsidRPr="00AD65D4">
        <w:rPr>
          <w:color w:val="000000" w:themeColor="text1"/>
        </w:rPr>
        <w:t xml:space="preserve"> that any </w:t>
      </w:r>
      <w:r w:rsidR="00194EB4" w:rsidRPr="00AD65D4">
        <w:rPr>
          <w:color w:val="000000" w:themeColor="text1"/>
        </w:rPr>
        <w:t>proceedings</w:t>
      </w:r>
      <w:r w:rsidR="00E951B5" w:rsidRPr="00AD65D4">
        <w:rPr>
          <w:color w:val="000000" w:themeColor="text1"/>
        </w:rPr>
        <w:t xml:space="preserve"> </w:t>
      </w:r>
      <w:r w:rsidR="00194EB4" w:rsidRPr="00AD65D4">
        <w:rPr>
          <w:color w:val="000000" w:themeColor="text1"/>
        </w:rPr>
        <w:t>instituted</w:t>
      </w:r>
      <w:r w:rsidR="00E951B5" w:rsidRPr="00AD65D4">
        <w:rPr>
          <w:color w:val="000000" w:themeColor="text1"/>
        </w:rPr>
        <w:t xml:space="preserve"> against the </w:t>
      </w:r>
      <w:r w:rsidR="00194EB4" w:rsidRPr="00AD65D4">
        <w:rPr>
          <w:color w:val="000000" w:themeColor="text1"/>
        </w:rPr>
        <w:t>insolvent</w:t>
      </w:r>
      <w:r w:rsidR="00E951B5" w:rsidRPr="00AD65D4">
        <w:rPr>
          <w:color w:val="000000" w:themeColor="text1"/>
        </w:rPr>
        <w:t xml:space="preserve"> prior to sequestration shall lapse 3 weeks after the first meeting </w:t>
      </w:r>
      <w:r w:rsidR="00194EB4" w:rsidRPr="00AD65D4">
        <w:rPr>
          <w:color w:val="000000" w:themeColor="text1"/>
        </w:rPr>
        <w:t>of</w:t>
      </w:r>
      <w:r w:rsidR="00E951B5" w:rsidRPr="00AD65D4">
        <w:rPr>
          <w:color w:val="000000" w:themeColor="text1"/>
        </w:rPr>
        <w:t xml:space="preserve"> the </w:t>
      </w:r>
      <w:r w:rsidR="00194EB4" w:rsidRPr="00AD65D4">
        <w:rPr>
          <w:color w:val="000000" w:themeColor="text1"/>
        </w:rPr>
        <w:t>creditors</w:t>
      </w:r>
      <w:r w:rsidR="00E951B5" w:rsidRPr="00AD65D4">
        <w:rPr>
          <w:color w:val="000000" w:themeColor="text1"/>
        </w:rPr>
        <w:t xml:space="preserve"> unless the person actioning such </w:t>
      </w:r>
      <w:r w:rsidR="00194EB4" w:rsidRPr="00AD65D4">
        <w:rPr>
          <w:color w:val="000000" w:themeColor="text1"/>
        </w:rPr>
        <w:t>proceedings</w:t>
      </w:r>
      <w:r w:rsidR="00E951B5" w:rsidRPr="00AD65D4">
        <w:rPr>
          <w:color w:val="000000" w:themeColor="text1"/>
        </w:rPr>
        <w:t xml:space="preserve"> </w:t>
      </w:r>
      <w:r w:rsidR="00194EB4" w:rsidRPr="00AD65D4">
        <w:rPr>
          <w:color w:val="000000" w:themeColor="text1"/>
        </w:rPr>
        <w:t>has</w:t>
      </w:r>
      <w:r w:rsidR="00E951B5" w:rsidRPr="00AD65D4">
        <w:rPr>
          <w:color w:val="000000" w:themeColor="text1"/>
        </w:rPr>
        <w:t xml:space="preserve"> given notice to the master or trustee of their intention to continue such </w:t>
      </w:r>
      <w:r w:rsidR="00194EB4" w:rsidRPr="00AD65D4">
        <w:rPr>
          <w:color w:val="000000" w:themeColor="text1"/>
        </w:rPr>
        <w:t>proceedings</w:t>
      </w:r>
      <w:r w:rsidR="00E951B5" w:rsidRPr="00AD65D4">
        <w:rPr>
          <w:color w:val="000000" w:themeColor="text1"/>
        </w:rPr>
        <w:t xml:space="preserve"> and prosecutes such proceedings with reasonable expedition. In the absence of notice the </w:t>
      </w:r>
      <w:r w:rsidR="00194EB4" w:rsidRPr="00AD65D4">
        <w:rPr>
          <w:color w:val="000000" w:themeColor="text1"/>
        </w:rPr>
        <w:t>court</w:t>
      </w:r>
      <w:r w:rsidR="00E951B5" w:rsidRPr="00AD65D4">
        <w:rPr>
          <w:color w:val="000000" w:themeColor="text1"/>
        </w:rPr>
        <w:t xml:space="preserve"> may permit continuation of any </w:t>
      </w:r>
      <w:r w:rsidR="00194EB4" w:rsidRPr="00AD65D4">
        <w:rPr>
          <w:color w:val="000000" w:themeColor="text1"/>
        </w:rPr>
        <w:t>proceedings</w:t>
      </w:r>
      <w:r w:rsidR="00E951B5" w:rsidRPr="00AD65D4">
        <w:rPr>
          <w:color w:val="000000" w:themeColor="text1"/>
        </w:rPr>
        <w:t xml:space="preserve"> on conditions as it deems meet</w:t>
      </w:r>
      <w:r w:rsidR="00194EB4" w:rsidRPr="00AD65D4">
        <w:rPr>
          <w:color w:val="000000" w:themeColor="text1"/>
        </w:rPr>
        <w:t xml:space="preserve">, if reasonable explanation for the failure to give notice is provided. </w:t>
      </w:r>
      <w:r w:rsidR="00E951B5" w:rsidRPr="00AD65D4">
        <w:rPr>
          <w:color w:val="000000" w:themeColor="text1"/>
        </w:rPr>
        <w:t xml:space="preserve"> </w:t>
      </w: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696351B8" w:rsidR="008B18AE" w:rsidRDefault="008B18AE" w:rsidP="00211EE8">
      <w:pPr>
        <w:tabs>
          <w:tab w:val="right" w:pos="9021"/>
        </w:tabs>
        <w:rPr>
          <w:rFonts w:ascii="Avenir Next Demi Bold" w:hAnsi="Avenir Next Demi Bold"/>
          <w:b/>
          <w:bCs/>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 xml:space="preserve">agreements) concluded between business rescue practitioners and third parties, and provide insight, </w:t>
      </w:r>
      <w:r w:rsidRPr="008B18AE">
        <w:rPr>
          <w:lang w:val="en-GB"/>
        </w:rPr>
        <w:lastRenderedPageBreak/>
        <w:t>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2242DDBB" w14:textId="77777777" w:rsidR="008108F7" w:rsidRPr="008B18AE" w:rsidRDefault="008108F7" w:rsidP="00211EE8">
      <w:pPr>
        <w:tabs>
          <w:tab w:val="right" w:pos="9021"/>
        </w:tabs>
        <w:rPr>
          <w:lang w:val="en-GB"/>
        </w:rPr>
      </w:pPr>
    </w:p>
    <w:p w14:paraId="2E44C643" w14:textId="4583DAE9" w:rsidR="000429DB" w:rsidRPr="00AD65D4" w:rsidRDefault="00F008DD" w:rsidP="00211EE8">
      <w:pPr>
        <w:rPr>
          <w:color w:val="000000" w:themeColor="text1"/>
        </w:rPr>
      </w:pPr>
      <w:r w:rsidRPr="00AD65D4">
        <w:rPr>
          <w:color w:val="000000" w:themeColor="text1"/>
        </w:rPr>
        <w:t xml:space="preserve">The Companies Act 2008 section 135(3) provides that business rescue practitioners and the expenses arising from the business rescue proceedings must be paid first and foremost. Thereafter Section 143 of the Companies Act 2008 deals with renumeration of practitioners. Therein the practitioner is entitled to charge an amount as per the prescribed tariff per section 143(6) for remuneration and expenses.  </w:t>
      </w:r>
      <w:r w:rsidR="0010681A" w:rsidRPr="00AD65D4">
        <w:rPr>
          <w:color w:val="000000" w:themeColor="text1"/>
        </w:rPr>
        <w:t>Renumeration agreements may also take the form of contingency related agreements as per 143(2) and may be related to either the adoption of a business rescue plan within a certain period of time or at all</w:t>
      </w:r>
      <w:r w:rsidR="008108F7" w:rsidRPr="00AD65D4">
        <w:rPr>
          <w:color w:val="000000" w:themeColor="text1"/>
        </w:rPr>
        <w:t>,</w:t>
      </w:r>
      <w:r w:rsidR="0010681A" w:rsidRPr="00AD65D4">
        <w:rPr>
          <w:color w:val="000000" w:themeColor="text1"/>
        </w:rPr>
        <w:t xml:space="preserve"> and the inclusion of any particular matter within such plan, or the attainment of a result o</w:t>
      </w:r>
      <w:r w:rsidR="008108F7" w:rsidRPr="00AD65D4">
        <w:rPr>
          <w:color w:val="000000" w:themeColor="text1"/>
        </w:rPr>
        <w:t>r</w:t>
      </w:r>
      <w:r w:rsidR="0010681A" w:rsidRPr="00AD65D4">
        <w:rPr>
          <w:color w:val="000000" w:themeColor="text1"/>
        </w:rPr>
        <w:t xml:space="preserve"> combination of results in relation to the business rescue proceedings. </w:t>
      </w:r>
      <w:r w:rsidR="008108F7" w:rsidRPr="00AD65D4">
        <w:rPr>
          <w:color w:val="000000" w:themeColor="text1"/>
        </w:rPr>
        <w:t>A</w:t>
      </w:r>
      <w:r w:rsidR="0010681A" w:rsidRPr="00AD65D4">
        <w:rPr>
          <w:color w:val="000000" w:themeColor="text1"/>
        </w:rPr>
        <w:t xml:space="preserve">ny such agreement as per 143(2) is final and binding as per Section 143(3) if approved at a meeting called for the purpose of considering the proposed agreement. Absent such approval at a meeting to discuss such agreement, the fee agreement is invalid. In so far as success fee agreements are concerned the case of </w:t>
      </w:r>
      <w:proofErr w:type="spellStart"/>
      <w:r w:rsidR="0010681A" w:rsidRPr="00AD65D4">
        <w:rPr>
          <w:color w:val="000000" w:themeColor="text1"/>
        </w:rPr>
        <w:t>Car</w:t>
      </w:r>
      <w:r w:rsidR="008108F7" w:rsidRPr="00AD65D4">
        <w:rPr>
          <w:color w:val="000000" w:themeColor="text1"/>
        </w:rPr>
        <w:t>a</w:t>
      </w:r>
      <w:r w:rsidR="0010681A" w:rsidRPr="00AD65D4">
        <w:rPr>
          <w:color w:val="000000" w:themeColor="text1"/>
        </w:rPr>
        <w:t>tco</w:t>
      </w:r>
      <w:proofErr w:type="spellEnd"/>
      <w:r w:rsidR="0010681A" w:rsidRPr="00AD65D4">
        <w:rPr>
          <w:color w:val="000000" w:themeColor="text1"/>
        </w:rPr>
        <w:t xml:space="preserve"> (Pty) Ltd v independent advisory board (Pty) Ltd 2020 (5) SA (SCA) bears reference. Therein the SCA was tasked with determining whether such success fee agreements between business rescue practitioners and third parties, and which fell outside the ambit of Section 143 were prohibited, void for illegality or contrary to public policy. </w:t>
      </w:r>
      <w:r w:rsidR="000429DB" w:rsidRPr="00AD65D4">
        <w:rPr>
          <w:color w:val="000000" w:themeColor="text1"/>
        </w:rPr>
        <w:t xml:space="preserve">The court held that Section 143 does not make reference to or deal with fee agreements concluded between practitioners and third parties, nor is there anything within the ambit of Section 143 which suggests that such agreements are void. The court felt precluded or did not feel that the companies act made any provision for the court to invalidate such agreements and that such agreements outside the ambit of Section 143 are neither prohibited, illegal or contrary to public policy. On the issue of public </w:t>
      </w:r>
      <w:r w:rsidR="008108F7" w:rsidRPr="00AD65D4">
        <w:rPr>
          <w:color w:val="000000" w:themeColor="text1"/>
        </w:rPr>
        <w:t>policy,</w:t>
      </w:r>
      <w:r w:rsidR="000429DB" w:rsidRPr="00AD65D4">
        <w:rPr>
          <w:color w:val="000000" w:themeColor="text1"/>
        </w:rPr>
        <w:t xml:space="preserve"> the SCA found that the success fee agreement was such, in this case, that it did not cause any prejudice to the general body of creditors and that it did not or would not </w:t>
      </w:r>
      <w:r w:rsidR="00AD65D4" w:rsidRPr="00AD65D4">
        <w:rPr>
          <w:color w:val="000000" w:themeColor="text1"/>
        </w:rPr>
        <w:t>affect</w:t>
      </w:r>
      <w:r w:rsidR="000429DB" w:rsidRPr="00AD65D4">
        <w:rPr>
          <w:color w:val="000000" w:themeColor="text1"/>
        </w:rPr>
        <w:t xml:space="preserve"> any distribution paid to the creditors. The findings of the SCA however were situational and based on the specific facts of the matter at hand and therefore a different decision may well be reached </w:t>
      </w:r>
      <w:r w:rsidR="008108F7" w:rsidRPr="00AD65D4">
        <w:rPr>
          <w:color w:val="000000" w:themeColor="text1"/>
        </w:rPr>
        <w:t>if</w:t>
      </w:r>
      <w:r w:rsidR="000429DB" w:rsidRPr="00AD65D4">
        <w:rPr>
          <w:color w:val="000000" w:themeColor="text1"/>
        </w:rPr>
        <w:t xml:space="preserve"> any success fee agreement </w:t>
      </w:r>
      <w:r w:rsidR="00BD257D" w:rsidRPr="00AD65D4">
        <w:rPr>
          <w:color w:val="000000" w:themeColor="text1"/>
        </w:rPr>
        <w:t>was</w:t>
      </w:r>
      <w:r w:rsidR="000429DB" w:rsidRPr="00AD65D4">
        <w:rPr>
          <w:color w:val="000000" w:themeColor="text1"/>
        </w:rPr>
        <w:t xml:space="preserve"> to constitute a breach of the responsibilities or duties, including that of </w:t>
      </w:r>
      <w:r w:rsidR="008108F7" w:rsidRPr="00AD65D4">
        <w:rPr>
          <w:color w:val="000000" w:themeColor="text1"/>
        </w:rPr>
        <w:t xml:space="preserve">the utmost </w:t>
      </w:r>
      <w:r w:rsidR="000429DB" w:rsidRPr="00AD65D4">
        <w:rPr>
          <w:color w:val="000000" w:themeColor="text1"/>
        </w:rPr>
        <w:t xml:space="preserve">good faith. This may well take </w:t>
      </w:r>
      <w:r w:rsidR="00BD257D" w:rsidRPr="00AD65D4">
        <w:rPr>
          <w:color w:val="000000" w:themeColor="text1"/>
        </w:rPr>
        <w:t>place,</w:t>
      </w:r>
      <w:r w:rsidR="000429DB" w:rsidRPr="00AD65D4">
        <w:rPr>
          <w:color w:val="000000" w:themeColor="text1"/>
        </w:rPr>
        <w:t xml:space="preserve"> or a breach of good faith may be prevalent where the business rescue </w:t>
      </w:r>
      <w:r w:rsidR="00BD257D" w:rsidRPr="00AD65D4">
        <w:rPr>
          <w:color w:val="000000" w:themeColor="text1"/>
        </w:rPr>
        <w:t>practitioner</w:t>
      </w:r>
      <w:r w:rsidR="000429DB" w:rsidRPr="00AD65D4">
        <w:rPr>
          <w:color w:val="000000" w:themeColor="text1"/>
        </w:rPr>
        <w:t xml:space="preserve"> cannot act with impartiality </w:t>
      </w:r>
      <w:r w:rsidR="00BD257D" w:rsidRPr="00AD65D4">
        <w:rPr>
          <w:color w:val="000000" w:themeColor="text1"/>
        </w:rPr>
        <w:t xml:space="preserve">or any independence towards the body or creditors, the courts or the distressed company, or where any payment thereto impacted upon the distribution paid to the creditors. Therefore, whilst the case of </w:t>
      </w:r>
      <w:proofErr w:type="spellStart"/>
      <w:r w:rsidR="00BD257D" w:rsidRPr="00AD65D4">
        <w:rPr>
          <w:color w:val="000000" w:themeColor="text1"/>
        </w:rPr>
        <w:t>Caratco</w:t>
      </w:r>
      <w:proofErr w:type="spellEnd"/>
      <w:r w:rsidR="00BD257D" w:rsidRPr="00AD65D4">
        <w:rPr>
          <w:color w:val="000000" w:themeColor="text1"/>
        </w:rPr>
        <w:t xml:space="preserve"> validates the success fee agreement specific to that set of facts, it may very well be the case and perhaps should be the case</w:t>
      </w:r>
      <w:r w:rsidR="008108F7" w:rsidRPr="00AD65D4">
        <w:rPr>
          <w:color w:val="000000" w:themeColor="text1"/>
        </w:rPr>
        <w:t>,</w:t>
      </w:r>
      <w:r w:rsidR="00BD257D" w:rsidRPr="00AD65D4">
        <w:rPr>
          <w:color w:val="000000" w:themeColor="text1"/>
        </w:rPr>
        <w:t xml:space="preserve"> that such an agreement will be contrary to public policy in the event that the business rescue practitioner is compromised and is unable to act with the utmost good faith or any integrity. An improper success fee agreement which has the potential to undermine the general body of creditors and impact the role of business rescue practitioner as per section 140(3) of the Companies act 2008, would then perhaps mean the invalidation of any success fee agreement as well as mandate the removal of any business rescue practitioner. </w:t>
      </w:r>
      <w:r w:rsidR="008108F7" w:rsidRPr="00AD65D4">
        <w:rPr>
          <w:color w:val="000000" w:themeColor="text1"/>
        </w:rPr>
        <w:t xml:space="preserve">In these </w:t>
      </w:r>
      <w:r w:rsidR="00133B1A" w:rsidRPr="00AD65D4">
        <w:rPr>
          <w:color w:val="000000" w:themeColor="text1"/>
        </w:rPr>
        <w:t>instances,</w:t>
      </w:r>
      <w:r w:rsidR="008108F7" w:rsidRPr="00AD65D4">
        <w:rPr>
          <w:color w:val="000000" w:themeColor="text1"/>
        </w:rPr>
        <w:t xml:space="preserve"> were the success fee agreement impacts the ability of the business rescue practitioner to render services in terms of the act and/or diminishes his/her capacity to act with the utmost good faith, such success fee agreement may well be contrary to public policy. </w:t>
      </w:r>
    </w:p>
    <w:p w14:paraId="75FF17D7" w14:textId="77777777" w:rsidR="00194EB4" w:rsidRDefault="00194EB4" w:rsidP="00211EE8">
      <w:pPr>
        <w:rPr>
          <w:color w:val="808080" w:themeColor="background1" w:themeShade="80"/>
        </w:rPr>
      </w:pPr>
    </w:p>
    <w:p w14:paraId="7087886F" w14:textId="41BC5A2A"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4CBFF54" w14:textId="42D71AD4" w:rsidR="00211EE8" w:rsidRPr="00AD65D4" w:rsidRDefault="00406CA5" w:rsidP="00715982">
      <w:pPr>
        <w:rPr>
          <w:color w:val="000000" w:themeColor="text1"/>
          <w:lang w:val="en-GB"/>
        </w:rPr>
      </w:pPr>
      <w:r w:rsidRPr="00AD65D4">
        <w:rPr>
          <w:color w:val="000000" w:themeColor="text1"/>
          <w:lang w:val="en-GB"/>
        </w:rPr>
        <w:t>Firstly, the partnership estate is separate</w:t>
      </w:r>
      <w:r w:rsidR="00914AC3" w:rsidRPr="00AD65D4">
        <w:rPr>
          <w:color w:val="000000" w:themeColor="text1"/>
          <w:lang w:val="en-GB"/>
        </w:rPr>
        <w:t xml:space="preserve"> or is a separate entity</w:t>
      </w:r>
      <w:r w:rsidRPr="00AD65D4">
        <w:rPr>
          <w:color w:val="000000" w:themeColor="text1"/>
          <w:lang w:val="en-GB"/>
        </w:rPr>
        <w:t xml:space="preserve"> from that of the individual partners and the assets of the partners distinguishable from the assets of the partnership. The partnership debts are jointly and severally liable </w:t>
      </w:r>
      <w:r w:rsidR="00914AC3" w:rsidRPr="00AD65D4">
        <w:rPr>
          <w:color w:val="000000" w:themeColor="text1"/>
          <w:lang w:val="en-GB"/>
        </w:rPr>
        <w:t xml:space="preserve">to all the partners, however. Section 13(1) of the insolvency act states that if the court sequestrates the estate of a partnership then it must equally sequestrate the </w:t>
      </w:r>
      <w:r w:rsidR="00914AC3" w:rsidRPr="00AD65D4">
        <w:rPr>
          <w:color w:val="000000" w:themeColor="text1"/>
          <w:lang w:val="en-GB"/>
        </w:rPr>
        <w:lastRenderedPageBreak/>
        <w:t xml:space="preserve">estate of the individual partners save where the partners are not liable to third parties or outsiders for partnership debts. In </w:t>
      </w:r>
      <w:r w:rsidR="008108F7" w:rsidRPr="00AD65D4">
        <w:rPr>
          <w:color w:val="000000" w:themeColor="text1"/>
          <w:lang w:val="en-GB"/>
        </w:rPr>
        <w:t>addition,</w:t>
      </w:r>
      <w:r w:rsidR="00914AC3" w:rsidRPr="00AD65D4">
        <w:rPr>
          <w:color w:val="000000" w:themeColor="text1"/>
          <w:lang w:val="en-GB"/>
        </w:rPr>
        <w:t xml:space="preserve"> partners who have undertaken to pay the debts of the partnership and given security for same, will not be sequestrated. Notably however, where the estate of a person who is partner is sequestrated, the estate of the partnership will not automatically follow, nor the other individual estates of the other partners. The sequestration of a </w:t>
      </w:r>
      <w:r w:rsidR="008108F7" w:rsidRPr="00AD65D4">
        <w:rPr>
          <w:color w:val="000000" w:themeColor="text1"/>
          <w:lang w:val="en-GB"/>
        </w:rPr>
        <w:t>partner’s</w:t>
      </w:r>
      <w:r w:rsidR="00914AC3" w:rsidRPr="00AD65D4">
        <w:rPr>
          <w:color w:val="000000" w:themeColor="text1"/>
          <w:lang w:val="en-GB"/>
        </w:rPr>
        <w:t xml:space="preserve"> estate will result in the termination of the partnership and the partnership will be wound up. Where the partnership is wound up the partnership assets or estate will be divided or shared among the partners in terms of partnership agreement or in terms of the common law, and any partnership assets due to the insolvent partner will vest in the trustee of the insolvent estate. </w:t>
      </w: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Pr="00AD65D4" w:rsidRDefault="00FC5217" w:rsidP="00715982">
      <w:pPr>
        <w:rPr>
          <w:color w:val="000000" w:themeColor="text1"/>
          <w:lang w:val="en-GB"/>
        </w:rPr>
      </w:pPr>
    </w:p>
    <w:p w14:paraId="480F8425" w14:textId="4603F4BA" w:rsidR="00CC2E46" w:rsidRPr="00AD65D4" w:rsidRDefault="00914AC3" w:rsidP="00CC2E46">
      <w:pPr>
        <w:rPr>
          <w:color w:val="000000" w:themeColor="text1"/>
        </w:rPr>
      </w:pPr>
      <w:r w:rsidRPr="00AD65D4">
        <w:rPr>
          <w:color w:val="000000" w:themeColor="text1"/>
        </w:rPr>
        <w:t>Firstly,</w:t>
      </w:r>
      <w:r w:rsidR="008A2308" w:rsidRPr="00AD65D4">
        <w:rPr>
          <w:color w:val="000000" w:themeColor="text1"/>
        </w:rPr>
        <w:t xml:space="preserve"> the civil union between </w:t>
      </w:r>
      <w:proofErr w:type="spellStart"/>
      <w:r w:rsidR="008A2308" w:rsidRPr="00AD65D4">
        <w:rPr>
          <w:color w:val="000000" w:themeColor="text1"/>
        </w:rPr>
        <w:t>Mr</w:t>
      </w:r>
      <w:proofErr w:type="spellEnd"/>
      <w:r w:rsidR="008A2308" w:rsidRPr="00AD65D4">
        <w:rPr>
          <w:color w:val="000000" w:themeColor="text1"/>
        </w:rPr>
        <w:t xml:space="preserve"> X and </w:t>
      </w:r>
      <w:proofErr w:type="spellStart"/>
      <w:r w:rsidR="008A2308" w:rsidRPr="00AD65D4">
        <w:rPr>
          <w:color w:val="000000" w:themeColor="text1"/>
        </w:rPr>
        <w:t>Mr</w:t>
      </w:r>
      <w:proofErr w:type="spellEnd"/>
      <w:r w:rsidR="008A2308" w:rsidRPr="00AD65D4">
        <w:rPr>
          <w:color w:val="000000" w:themeColor="text1"/>
        </w:rPr>
        <w:t xml:space="preserve"> Y will have no effect on the advices given as the civil union act ensures that civil unions have the same legal consequences as any other marriage in law. “Spouse” includes a civil union partner.</w:t>
      </w:r>
      <w:r w:rsidRPr="00AD65D4">
        <w:rPr>
          <w:color w:val="000000" w:themeColor="text1"/>
        </w:rPr>
        <w:t xml:space="preserve"> </w:t>
      </w:r>
      <w:r w:rsidR="008A2308" w:rsidRPr="00AD65D4">
        <w:rPr>
          <w:color w:val="000000" w:themeColor="text1"/>
        </w:rPr>
        <w:t>I</w:t>
      </w:r>
      <w:r w:rsidRPr="00AD65D4">
        <w:rPr>
          <w:color w:val="000000" w:themeColor="text1"/>
        </w:rPr>
        <w:t xml:space="preserve">n order to advise </w:t>
      </w:r>
      <w:proofErr w:type="spellStart"/>
      <w:r w:rsidRPr="00AD65D4">
        <w:rPr>
          <w:color w:val="000000" w:themeColor="text1"/>
        </w:rPr>
        <w:t>Mr</w:t>
      </w:r>
      <w:proofErr w:type="spellEnd"/>
      <w:r w:rsidRPr="00AD65D4">
        <w:rPr>
          <w:color w:val="000000" w:themeColor="text1"/>
        </w:rPr>
        <w:t xml:space="preserve"> Y one must consider the donations both in terms of the immovable property from </w:t>
      </w:r>
      <w:proofErr w:type="spellStart"/>
      <w:r w:rsidRPr="00AD65D4">
        <w:rPr>
          <w:color w:val="000000" w:themeColor="text1"/>
        </w:rPr>
        <w:t>Mr</w:t>
      </w:r>
      <w:proofErr w:type="spellEnd"/>
      <w:r w:rsidRPr="00AD65D4">
        <w:rPr>
          <w:color w:val="000000" w:themeColor="text1"/>
        </w:rPr>
        <w:t xml:space="preserve"> X to </w:t>
      </w:r>
      <w:proofErr w:type="spellStart"/>
      <w:r w:rsidRPr="00AD65D4">
        <w:rPr>
          <w:color w:val="000000" w:themeColor="text1"/>
        </w:rPr>
        <w:t>Mr</w:t>
      </w:r>
      <w:proofErr w:type="spellEnd"/>
      <w:r w:rsidRPr="00AD65D4">
        <w:rPr>
          <w:color w:val="000000" w:themeColor="text1"/>
        </w:rPr>
        <w:t xml:space="preserve"> Y, and the vehicle from </w:t>
      </w:r>
      <w:proofErr w:type="spellStart"/>
      <w:r w:rsidRPr="00AD65D4">
        <w:rPr>
          <w:color w:val="000000" w:themeColor="text1"/>
        </w:rPr>
        <w:t>Mr</w:t>
      </w:r>
      <w:proofErr w:type="spellEnd"/>
      <w:r w:rsidRPr="00AD65D4">
        <w:rPr>
          <w:color w:val="000000" w:themeColor="text1"/>
        </w:rPr>
        <w:t xml:space="preserve"> </w:t>
      </w:r>
      <w:r w:rsidR="001D46B4" w:rsidRPr="00AD65D4">
        <w:rPr>
          <w:color w:val="000000" w:themeColor="text1"/>
        </w:rPr>
        <w:t>X</w:t>
      </w:r>
      <w:r w:rsidRPr="00AD65D4">
        <w:rPr>
          <w:color w:val="000000" w:themeColor="text1"/>
        </w:rPr>
        <w:t xml:space="preserve"> to </w:t>
      </w:r>
      <w:proofErr w:type="spellStart"/>
      <w:r w:rsidRPr="00AD65D4">
        <w:rPr>
          <w:color w:val="000000" w:themeColor="text1"/>
        </w:rPr>
        <w:t>Mr</w:t>
      </w:r>
      <w:proofErr w:type="spellEnd"/>
      <w:r w:rsidRPr="00AD65D4">
        <w:rPr>
          <w:color w:val="000000" w:themeColor="text1"/>
        </w:rPr>
        <w:t xml:space="preserve"> </w:t>
      </w:r>
      <w:r w:rsidR="001D46B4" w:rsidRPr="00AD65D4">
        <w:rPr>
          <w:color w:val="000000" w:themeColor="text1"/>
        </w:rPr>
        <w:t>Y</w:t>
      </w:r>
      <w:r w:rsidRPr="00AD65D4">
        <w:rPr>
          <w:color w:val="000000" w:themeColor="text1"/>
        </w:rPr>
        <w:t xml:space="preserve">. </w:t>
      </w:r>
      <w:r w:rsidR="001615BD" w:rsidRPr="00AD65D4">
        <w:rPr>
          <w:color w:val="000000" w:themeColor="text1"/>
        </w:rPr>
        <w:t>Section 22 of the matrimonial property act dictates that subject to the provisions of the insolvency act, no transaction is void or voidable simply because it is a donation between spouses. A donation may provide valid title albeit this must be proved by the solvent spouse. The requirement of good faith will still be a requirement and the donation must be real, not simulated. The onus will fall on the solvent spouse to prove the transaction was valid. Where the insolvent spouse makes a true donation to the solvent spouse prior to sequestration then the solvent spouse will be able to claim this property from the trustee. The trustee would have to prove that the donation amounted to an impeachable transaction in order to reclaim the property. One must have regard to section 21 of the insolvency act in this regard.</w:t>
      </w:r>
      <w:r w:rsidR="001D46B4" w:rsidRPr="00AD65D4">
        <w:rPr>
          <w:color w:val="000000" w:themeColor="text1"/>
        </w:rPr>
        <w:t xml:space="preserve"> Therefore, the immovable property donated by </w:t>
      </w:r>
      <w:proofErr w:type="spellStart"/>
      <w:r w:rsidR="001D46B4" w:rsidRPr="00AD65D4">
        <w:rPr>
          <w:color w:val="000000" w:themeColor="text1"/>
        </w:rPr>
        <w:t>Mr</w:t>
      </w:r>
      <w:proofErr w:type="spellEnd"/>
      <w:r w:rsidR="001D46B4" w:rsidRPr="00AD65D4">
        <w:rPr>
          <w:color w:val="000000" w:themeColor="text1"/>
        </w:rPr>
        <w:t xml:space="preserve"> X to </w:t>
      </w:r>
      <w:proofErr w:type="spellStart"/>
      <w:r w:rsidR="001D46B4" w:rsidRPr="00AD65D4">
        <w:rPr>
          <w:color w:val="000000" w:themeColor="text1"/>
        </w:rPr>
        <w:t>Mr</w:t>
      </w:r>
      <w:proofErr w:type="spellEnd"/>
      <w:r w:rsidR="001D46B4" w:rsidRPr="00AD65D4">
        <w:rPr>
          <w:color w:val="000000" w:themeColor="text1"/>
        </w:rPr>
        <w:t xml:space="preserve"> Y in 2011, some 11 years before the sequestration of the estate of </w:t>
      </w:r>
      <w:proofErr w:type="spellStart"/>
      <w:r w:rsidR="001D46B4" w:rsidRPr="00AD65D4">
        <w:rPr>
          <w:color w:val="000000" w:themeColor="text1"/>
        </w:rPr>
        <w:t>Mr</w:t>
      </w:r>
      <w:proofErr w:type="spellEnd"/>
      <w:r w:rsidR="001D46B4" w:rsidRPr="00AD65D4">
        <w:rPr>
          <w:color w:val="000000" w:themeColor="text1"/>
        </w:rPr>
        <w:t xml:space="preserve"> X would appear to be a valid donation, and </w:t>
      </w:r>
      <w:proofErr w:type="spellStart"/>
      <w:r w:rsidR="001D46B4" w:rsidRPr="00AD65D4">
        <w:rPr>
          <w:color w:val="000000" w:themeColor="text1"/>
        </w:rPr>
        <w:t>Mr</w:t>
      </w:r>
      <w:proofErr w:type="spellEnd"/>
      <w:r w:rsidR="001D46B4" w:rsidRPr="00AD65D4">
        <w:rPr>
          <w:color w:val="000000" w:themeColor="text1"/>
        </w:rPr>
        <w:t xml:space="preserve"> Y would be able to prove same as the title deed registered at the </w:t>
      </w:r>
      <w:r w:rsidR="008A2308" w:rsidRPr="00AD65D4">
        <w:rPr>
          <w:color w:val="000000" w:themeColor="text1"/>
        </w:rPr>
        <w:t>deed’s</w:t>
      </w:r>
      <w:r w:rsidR="001D46B4" w:rsidRPr="00AD65D4">
        <w:rPr>
          <w:color w:val="000000" w:themeColor="text1"/>
        </w:rPr>
        <w:t xml:space="preserve"> office should reflect a deed of donation. </w:t>
      </w:r>
      <w:proofErr w:type="spellStart"/>
      <w:r w:rsidR="001D46B4" w:rsidRPr="00AD65D4">
        <w:rPr>
          <w:color w:val="000000" w:themeColor="text1"/>
        </w:rPr>
        <w:t>Mr</w:t>
      </w:r>
      <w:proofErr w:type="spellEnd"/>
      <w:r w:rsidR="001D46B4" w:rsidRPr="00AD65D4">
        <w:rPr>
          <w:color w:val="000000" w:themeColor="text1"/>
        </w:rPr>
        <w:t xml:space="preserve"> Y will therefore be able to prove a valid title to the immovable property. </w:t>
      </w:r>
      <w:r w:rsidR="008A2308" w:rsidRPr="00AD65D4">
        <w:rPr>
          <w:color w:val="000000" w:themeColor="text1"/>
        </w:rPr>
        <w:t xml:space="preserve">In relation to the donation of the Land Rover from </w:t>
      </w:r>
      <w:proofErr w:type="spellStart"/>
      <w:r w:rsidR="008A2308" w:rsidRPr="00AD65D4">
        <w:rPr>
          <w:color w:val="000000" w:themeColor="text1"/>
        </w:rPr>
        <w:t>Mr</w:t>
      </w:r>
      <w:proofErr w:type="spellEnd"/>
      <w:r w:rsidR="008A2308" w:rsidRPr="00AD65D4">
        <w:rPr>
          <w:color w:val="000000" w:themeColor="text1"/>
        </w:rPr>
        <w:t xml:space="preserve"> X to </w:t>
      </w:r>
      <w:proofErr w:type="spellStart"/>
      <w:r w:rsidR="008A2308" w:rsidRPr="00AD65D4">
        <w:rPr>
          <w:color w:val="000000" w:themeColor="text1"/>
        </w:rPr>
        <w:t>Mr</w:t>
      </w:r>
      <w:proofErr w:type="spellEnd"/>
      <w:r w:rsidR="008A2308" w:rsidRPr="00AD65D4">
        <w:rPr>
          <w:color w:val="000000" w:themeColor="text1"/>
        </w:rPr>
        <w:t xml:space="preserve"> Y some 2 months before the sequestration of the estate of My X, My Y will have to prove and meet the requirement of good faith and that that donation was not simulated. In light of </w:t>
      </w:r>
      <w:r w:rsidR="008108F7" w:rsidRPr="00AD65D4">
        <w:rPr>
          <w:color w:val="000000" w:themeColor="text1"/>
        </w:rPr>
        <w:t>the timing</w:t>
      </w:r>
      <w:r w:rsidR="008A2308" w:rsidRPr="00AD65D4">
        <w:rPr>
          <w:color w:val="000000" w:themeColor="text1"/>
        </w:rPr>
        <w:t xml:space="preserve"> of the donation My Y will have to prove that the transaction and/or donation is valid in order to confer a valid title. In the event that </w:t>
      </w:r>
      <w:proofErr w:type="spellStart"/>
      <w:r w:rsidR="008A2308" w:rsidRPr="00AD65D4">
        <w:rPr>
          <w:color w:val="000000" w:themeColor="text1"/>
        </w:rPr>
        <w:t>Mr</w:t>
      </w:r>
      <w:proofErr w:type="spellEnd"/>
      <w:r w:rsidR="008A2308" w:rsidRPr="00AD65D4">
        <w:rPr>
          <w:color w:val="000000" w:themeColor="text1"/>
        </w:rPr>
        <w:t xml:space="preserve"> Y cannot prove same the donation may very well be a disposition not made for value and therefore an impeachable transaction. </w:t>
      </w:r>
    </w:p>
    <w:p w14:paraId="64567B8E" w14:textId="164D6DE3" w:rsidR="001A20D0" w:rsidRDefault="001A20D0" w:rsidP="00715982">
      <w:pPr>
        <w:rPr>
          <w:lang w:val="en-GB"/>
        </w:rPr>
      </w:pPr>
    </w:p>
    <w:p w14:paraId="337D6D44" w14:textId="20D05625" w:rsidR="00CC2E46" w:rsidRDefault="00CC2E46" w:rsidP="00715982">
      <w:pPr>
        <w:rPr>
          <w:lang w:val="en-GB"/>
        </w:rPr>
      </w:pPr>
    </w:p>
    <w:p w14:paraId="7385835C" w14:textId="640D49EB" w:rsidR="008108F7" w:rsidRDefault="008108F7" w:rsidP="00715982">
      <w:pPr>
        <w:rPr>
          <w:lang w:val="en-GB"/>
        </w:rPr>
      </w:pPr>
    </w:p>
    <w:p w14:paraId="6CD9B2FB" w14:textId="77777777" w:rsidR="008108F7" w:rsidRPr="00715982" w:rsidRDefault="008108F7"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lastRenderedPageBreak/>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0EEF4879" w:rsidR="00CC2E46" w:rsidRPr="00AD65D4" w:rsidRDefault="00A04A26" w:rsidP="00CC2E46">
      <w:pPr>
        <w:rPr>
          <w:color w:val="000000" w:themeColor="text1"/>
        </w:rPr>
      </w:pPr>
      <w:r w:rsidRPr="00AD65D4">
        <w:rPr>
          <w:color w:val="000000" w:themeColor="text1"/>
        </w:rPr>
        <w:t>The civil union act legalized civil unions between same sex partners. This has the same effect or consequences as any marriage in terms of any other law, including common law. Spouse is therefore read to include civil union partner in terms of the civil union act. The insolvency act Section 21(13) however bears reference and states that “the word spouse means not only a wife or husband in the legal sense but also a wife or husband by virtue of a marriage accordingly to any law or custom and also a woman living with a man as his wife or a man living with a woman as her husband, although not married to one another.</w:t>
      </w:r>
      <w:r w:rsidR="00AF419D" w:rsidRPr="00AD65D4">
        <w:rPr>
          <w:color w:val="000000" w:themeColor="text1"/>
        </w:rPr>
        <w:t>”</w:t>
      </w:r>
      <w:r w:rsidRPr="00AD65D4">
        <w:rPr>
          <w:color w:val="000000" w:themeColor="text1"/>
        </w:rPr>
        <w:t xml:space="preserve"> </w:t>
      </w:r>
      <w:r w:rsidR="00AF419D" w:rsidRPr="00AD65D4">
        <w:rPr>
          <w:color w:val="000000" w:themeColor="text1"/>
        </w:rPr>
        <w:t xml:space="preserve">As </w:t>
      </w:r>
      <w:proofErr w:type="spellStart"/>
      <w:r w:rsidR="00AF419D" w:rsidRPr="00AD65D4">
        <w:rPr>
          <w:color w:val="000000" w:themeColor="text1"/>
        </w:rPr>
        <w:t>Mr</w:t>
      </w:r>
      <w:proofErr w:type="spellEnd"/>
      <w:r w:rsidR="00AF419D" w:rsidRPr="00AD65D4">
        <w:rPr>
          <w:color w:val="000000" w:themeColor="text1"/>
        </w:rPr>
        <w:t xml:space="preserve"> X and </w:t>
      </w:r>
      <w:proofErr w:type="spellStart"/>
      <w:r w:rsidR="00AF419D" w:rsidRPr="00AD65D4">
        <w:rPr>
          <w:color w:val="000000" w:themeColor="text1"/>
        </w:rPr>
        <w:t>Mr</w:t>
      </w:r>
      <w:proofErr w:type="spellEnd"/>
      <w:r w:rsidR="00AF419D" w:rsidRPr="00AD65D4">
        <w:rPr>
          <w:color w:val="000000" w:themeColor="text1"/>
        </w:rPr>
        <w:t xml:space="preserve"> Y are in a civil partnership as per the civil union act </w:t>
      </w:r>
      <w:proofErr w:type="spellStart"/>
      <w:r w:rsidR="00AF419D" w:rsidRPr="00AD65D4">
        <w:rPr>
          <w:color w:val="000000" w:themeColor="text1"/>
        </w:rPr>
        <w:t>Mr</w:t>
      </w:r>
      <w:proofErr w:type="spellEnd"/>
      <w:r w:rsidR="00AF419D" w:rsidRPr="00AD65D4">
        <w:rPr>
          <w:color w:val="000000" w:themeColor="text1"/>
        </w:rPr>
        <w:t xml:space="preserve"> Y will be considered a spouse even in terms of Section 21(13) and the definition therein. </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39C69307" w14:textId="62B3A7F9" w:rsidR="00CC2E46" w:rsidRPr="00AD65D4" w:rsidRDefault="00AF419D" w:rsidP="00CC2E46">
      <w:pPr>
        <w:rPr>
          <w:color w:val="000000" w:themeColor="text1"/>
        </w:rPr>
      </w:pPr>
      <w:r w:rsidRPr="00AD65D4">
        <w:rPr>
          <w:color w:val="000000" w:themeColor="text1"/>
        </w:rPr>
        <w:t>The contract of employment of Thabo will be suspended as per Section 38 of the insolvency act. The contract of employment will be suspended from the date of winding up</w:t>
      </w:r>
      <w:r w:rsidR="003925DB" w:rsidRPr="00AD65D4">
        <w:rPr>
          <w:color w:val="000000" w:themeColor="text1"/>
        </w:rPr>
        <w:t xml:space="preserve"> </w:t>
      </w:r>
      <w:r w:rsidRPr="00AD65D4">
        <w:rPr>
          <w:color w:val="000000" w:themeColor="text1"/>
        </w:rPr>
        <w:t xml:space="preserve">during the suspension of the contract of employment </w:t>
      </w:r>
      <w:proofErr w:type="spellStart"/>
      <w:r w:rsidRPr="00AD65D4">
        <w:rPr>
          <w:color w:val="000000" w:themeColor="text1"/>
        </w:rPr>
        <w:t>thabo</w:t>
      </w:r>
      <w:proofErr w:type="spellEnd"/>
      <w:r w:rsidRPr="00AD65D4">
        <w:rPr>
          <w:color w:val="000000" w:themeColor="text1"/>
        </w:rPr>
        <w:t xml:space="preserve"> will not be required to render any services however will not be entitled to renumeration </w:t>
      </w:r>
      <w:r w:rsidR="003925DB" w:rsidRPr="00AD65D4">
        <w:rPr>
          <w:color w:val="000000" w:themeColor="text1"/>
        </w:rPr>
        <w:t xml:space="preserve">or employment benefits in terms of Section 38(2) of the insolvency act. Thabo will remain entitled to unemployment benefits during the suspension period of the contract in terms of the Unemployment insurance act. Thabo’s contract of employment may be terminated after consultation by the trustee or liquidation with a person designated in terms of a collective agreement, a workplace forum, a registered trade union or a representative of the employees on measures to save or rescue the business in terms of section 38(2) of the insolvency act. If continued employment is not agreed, all suspended contract of employment are terminated 45 days after the appointment of a final liquidator. </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6560E4EB" w14:textId="157C4D20" w:rsidR="0077169C" w:rsidRPr="00AD65D4" w:rsidRDefault="003925DB" w:rsidP="000943C5">
      <w:pPr>
        <w:rPr>
          <w:color w:val="000000" w:themeColor="text1"/>
          <w:lang w:val="en-GB"/>
        </w:rPr>
      </w:pPr>
      <w:r w:rsidRPr="00AD65D4">
        <w:rPr>
          <w:color w:val="000000" w:themeColor="text1"/>
        </w:rPr>
        <w:t>Thabo will have a preferential claim for his salary</w:t>
      </w:r>
      <w:r w:rsidR="00FF6F5C" w:rsidRPr="00AD65D4">
        <w:rPr>
          <w:color w:val="000000" w:themeColor="text1"/>
        </w:rPr>
        <w:t>,</w:t>
      </w:r>
      <w:r w:rsidRPr="00AD65D4">
        <w:rPr>
          <w:color w:val="000000" w:themeColor="text1"/>
        </w:rPr>
        <w:t xml:space="preserve"> not exceeding 3 months and up to the maximum value of R12000. Thabo will also have a preferential claim in respect of leave pay up to a maximum of R4000, both preferential claims in terms of Section 98A of the insolvency act. The balance of Thabo’s </w:t>
      </w:r>
      <w:r w:rsidRPr="00AD65D4">
        <w:rPr>
          <w:color w:val="000000" w:themeColor="text1"/>
        </w:rPr>
        <w:lastRenderedPageBreak/>
        <w:t xml:space="preserve">unpaid salary will be a concurrent claim. </w:t>
      </w:r>
      <w:r w:rsidR="00FF6F5C" w:rsidRPr="00AD65D4">
        <w:rPr>
          <w:color w:val="000000" w:themeColor="text1"/>
        </w:rPr>
        <w:t xml:space="preserve">Thabo may also have a claim for severance benefits and in terms of section 38(10) of the insolvency act, he will have an unliquidated concurrent claim for damages due to the suspension or termination of the contract prior to expiration, not exceeding R12000. </w:t>
      </w: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56612644" w14:textId="5CA783B7" w:rsidR="0069468A" w:rsidRDefault="0069468A" w:rsidP="009143EA">
      <w:pPr>
        <w:rPr>
          <w:color w:val="808080" w:themeColor="background1" w:themeShade="80"/>
        </w:rPr>
      </w:pPr>
    </w:p>
    <w:p w14:paraId="5BCCD27C" w14:textId="5EBDEBC2" w:rsidR="00B57711" w:rsidRPr="00AD65D4" w:rsidRDefault="006E3122" w:rsidP="009143EA">
      <w:pPr>
        <w:rPr>
          <w:color w:val="000000" w:themeColor="text1"/>
        </w:rPr>
      </w:pPr>
      <w:r w:rsidRPr="00AD65D4">
        <w:rPr>
          <w:color w:val="000000" w:themeColor="text1"/>
        </w:rPr>
        <w:t>Firstly, the trustee will see the payment of the R45 </w:t>
      </w:r>
      <w:r w:rsidR="00F43B6C" w:rsidRPr="00AD65D4">
        <w:rPr>
          <w:color w:val="000000" w:themeColor="text1"/>
        </w:rPr>
        <w:t>000,</w:t>
      </w:r>
      <w:r w:rsidRPr="00AD65D4">
        <w:rPr>
          <w:color w:val="000000" w:themeColor="text1"/>
        </w:rPr>
        <w:t xml:space="preserve"> namely the balance of the loan to Joe Bond as a voidable disposition. In order to have the disposition set aside the trustee must show and prove</w:t>
      </w:r>
      <w:r w:rsidR="00F43B6C" w:rsidRPr="00AD65D4">
        <w:rPr>
          <w:color w:val="000000" w:themeColor="text1"/>
        </w:rPr>
        <w:t xml:space="preserve"> in terms of Section 29 of the insolvency act</w:t>
      </w:r>
      <w:r w:rsidRPr="00AD65D4">
        <w:rPr>
          <w:color w:val="000000" w:themeColor="text1"/>
        </w:rPr>
        <w:t xml:space="preserve"> that (1) the disposition was made by the insolvent within 6 months prior to the sequestration or death, (b) that the effect of the disposition was to prefer on</w:t>
      </w:r>
      <w:r w:rsidR="00C521B7" w:rsidRPr="00AD65D4">
        <w:rPr>
          <w:color w:val="000000" w:themeColor="text1"/>
        </w:rPr>
        <w:t>e</w:t>
      </w:r>
      <w:r w:rsidRPr="00AD65D4">
        <w:rPr>
          <w:color w:val="000000" w:themeColor="text1"/>
        </w:rPr>
        <w:t xml:space="preserve"> creditor above the others and (c) that immediately after making such disposition the debtors liabilities exceeded the value of his assets, namely at the date of disposition. Joe has a statutory defense and will have to prove that (a) the disposition was made in the ordinary course of business and (b) that it was not intended to prefer any one creditor above the other. </w:t>
      </w:r>
      <w:r w:rsidR="003E4A25" w:rsidRPr="00AD65D4">
        <w:rPr>
          <w:color w:val="000000" w:themeColor="text1"/>
        </w:rPr>
        <w:t>In this instance the trustees will be able to show that the requirements to set aside the disposition have been met, whereafter joe may rely on the requirement that the payment was not intended to prefer one creditor over another. However, this is a subjective test and in the surrounding circumstances, it would appear that the disposition would have been made by the insolvent without considering the sequestration, which took place some 20 days later. This disposition would be to the detriment of the general body of creditors in the face on impending sequestration and therefore must be said to prefer Joe</w:t>
      </w:r>
      <w:r w:rsidR="00C41DD4" w:rsidRPr="00AD65D4">
        <w:rPr>
          <w:color w:val="000000" w:themeColor="text1"/>
        </w:rPr>
        <w:t xml:space="preserve"> above other creditors. It would appear therefore that the trustee will succeed in his claim against joe. </w:t>
      </w:r>
      <w:r w:rsidR="00154720" w:rsidRPr="00AD65D4">
        <w:rPr>
          <w:color w:val="000000" w:themeColor="text1"/>
        </w:rPr>
        <w:t xml:space="preserve">Further, the payment to Joe may equally amount to an undue preference in terms of Section 30(1) of the insolvency act as the payment may very well have preferred Joe to the other creditors where John knew or was aware of his insolvent estate and/or contemplated sequestration but made the disposition any way. </w:t>
      </w:r>
      <w:r w:rsidR="00C41DD4" w:rsidRPr="00AD65D4">
        <w:rPr>
          <w:color w:val="000000" w:themeColor="text1"/>
        </w:rPr>
        <w:t xml:space="preserve">Ordinarily </w:t>
      </w:r>
      <w:r w:rsidR="00B57711" w:rsidRPr="00AD65D4">
        <w:rPr>
          <w:color w:val="000000" w:themeColor="text1"/>
        </w:rPr>
        <w:t>delivery of the property to the creditor will make the creditor aa secured creditor, for as long as that creditor remains in possession of the property. P</w:t>
      </w:r>
      <w:r w:rsidR="00C41DD4" w:rsidRPr="00AD65D4">
        <w:rPr>
          <w:color w:val="000000" w:themeColor="text1"/>
        </w:rPr>
        <w:t xml:space="preserve">ossession will </w:t>
      </w:r>
      <w:r w:rsidR="00B57711" w:rsidRPr="00AD65D4">
        <w:rPr>
          <w:color w:val="000000" w:themeColor="text1"/>
        </w:rPr>
        <w:t xml:space="preserve">therefore </w:t>
      </w:r>
      <w:r w:rsidR="00C41DD4" w:rsidRPr="00AD65D4">
        <w:rPr>
          <w:color w:val="000000" w:themeColor="text1"/>
        </w:rPr>
        <w:t>ensure security for a claim</w:t>
      </w:r>
      <w:r w:rsidR="00B57711" w:rsidRPr="00AD65D4">
        <w:rPr>
          <w:color w:val="000000" w:themeColor="text1"/>
        </w:rPr>
        <w:t xml:space="preserve">. </w:t>
      </w:r>
      <w:r w:rsidR="00C41DD4" w:rsidRPr="00AD65D4">
        <w:rPr>
          <w:color w:val="000000" w:themeColor="text1"/>
        </w:rPr>
        <w:t xml:space="preserve">Loss of possession prior to the appointment of a trustee will </w:t>
      </w:r>
      <w:r w:rsidR="00B57711" w:rsidRPr="00AD65D4">
        <w:rPr>
          <w:color w:val="000000" w:themeColor="text1"/>
        </w:rPr>
        <w:t>ordinarily</w:t>
      </w:r>
      <w:r w:rsidR="00C41DD4" w:rsidRPr="00AD65D4">
        <w:rPr>
          <w:color w:val="000000" w:themeColor="text1"/>
        </w:rPr>
        <w:t xml:space="preserve"> terminate security. </w:t>
      </w:r>
      <w:r w:rsidR="00133B1A" w:rsidRPr="00AD65D4">
        <w:rPr>
          <w:color w:val="000000" w:themeColor="text1"/>
        </w:rPr>
        <w:t>Therefore,</w:t>
      </w:r>
      <w:r w:rsidR="00B57711" w:rsidRPr="00AD65D4">
        <w:rPr>
          <w:color w:val="000000" w:themeColor="text1"/>
        </w:rPr>
        <w:t xml:space="preserve"> the trustee will succeed in his claim against joe and joe will lose his security. </w:t>
      </w:r>
    </w:p>
    <w:p w14:paraId="1B15F3A1" w14:textId="77777777" w:rsidR="00B57711" w:rsidRDefault="00B57711" w:rsidP="009143EA">
      <w:pPr>
        <w:rPr>
          <w:color w:val="FF0000"/>
        </w:rPr>
      </w:pPr>
    </w:p>
    <w:p w14:paraId="52BE7F48" w14:textId="553B6BFF"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B3BB" w14:textId="77777777" w:rsidR="00FA4E33" w:rsidRDefault="00FA4E33" w:rsidP="001016B0">
      <w:r>
        <w:separator/>
      </w:r>
    </w:p>
  </w:endnote>
  <w:endnote w:type="continuationSeparator" w:id="0">
    <w:p w14:paraId="0E5A63A9" w14:textId="77777777" w:rsidR="00FA4E33" w:rsidRDefault="00FA4E33"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186BF733" w:rsidR="001A20D0" w:rsidRDefault="006550EC" w:rsidP="008A20AC">
    <w:pPr>
      <w:pStyle w:val="Footer"/>
      <w:ind w:right="360"/>
    </w:pPr>
    <w:r>
      <w:t>202223-720</w:t>
    </w:r>
    <w:r w:rsidR="001A1043">
      <w:t>.Paper1Formative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CF69" w14:textId="77777777" w:rsidR="00FA4E33" w:rsidRDefault="00FA4E33" w:rsidP="001016B0">
      <w:r>
        <w:separator/>
      </w:r>
    </w:p>
  </w:footnote>
  <w:footnote w:type="continuationSeparator" w:id="0">
    <w:p w14:paraId="50802031" w14:textId="77777777" w:rsidR="00FA4E33" w:rsidRDefault="00FA4E33"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19E"/>
    <w:multiLevelType w:val="hybridMultilevel"/>
    <w:tmpl w:val="D660E1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6E03"/>
    <w:multiLevelType w:val="hybridMultilevel"/>
    <w:tmpl w:val="0ADC0F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674111779">
    <w:abstractNumId w:val="10"/>
  </w:num>
  <w:num w:numId="2" w16cid:durableId="291794557">
    <w:abstractNumId w:val="30"/>
  </w:num>
  <w:num w:numId="3" w16cid:durableId="789864044">
    <w:abstractNumId w:val="27"/>
  </w:num>
  <w:num w:numId="4" w16cid:durableId="1969318326">
    <w:abstractNumId w:val="12"/>
  </w:num>
  <w:num w:numId="5" w16cid:durableId="190730280">
    <w:abstractNumId w:val="19"/>
  </w:num>
  <w:num w:numId="6" w16cid:durableId="302470311">
    <w:abstractNumId w:val="20"/>
  </w:num>
  <w:num w:numId="7" w16cid:durableId="1902016845">
    <w:abstractNumId w:val="15"/>
  </w:num>
  <w:num w:numId="8" w16cid:durableId="478689576">
    <w:abstractNumId w:val="3"/>
  </w:num>
  <w:num w:numId="9" w16cid:durableId="896282684">
    <w:abstractNumId w:val="24"/>
  </w:num>
  <w:num w:numId="10" w16cid:durableId="196085230">
    <w:abstractNumId w:val="14"/>
  </w:num>
  <w:num w:numId="11" w16cid:durableId="974677071">
    <w:abstractNumId w:val="2"/>
  </w:num>
  <w:num w:numId="12" w16cid:durableId="917206055">
    <w:abstractNumId w:val="11"/>
  </w:num>
  <w:num w:numId="13" w16cid:durableId="1632396607">
    <w:abstractNumId w:val="13"/>
  </w:num>
  <w:num w:numId="14" w16cid:durableId="1138572799">
    <w:abstractNumId w:val="9"/>
  </w:num>
  <w:num w:numId="15" w16cid:durableId="432287465">
    <w:abstractNumId w:val="28"/>
  </w:num>
  <w:num w:numId="16" w16cid:durableId="726800544">
    <w:abstractNumId w:val="25"/>
  </w:num>
  <w:num w:numId="17" w16cid:durableId="1190610612">
    <w:abstractNumId w:val="26"/>
  </w:num>
  <w:num w:numId="18" w16cid:durableId="816264208">
    <w:abstractNumId w:val="22"/>
  </w:num>
  <w:num w:numId="19" w16cid:durableId="1162232334">
    <w:abstractNumId w:val="17"/>
  </w:num>
  <w:num w:numId="20" w16cid:durableId="1675961987">
    <w:abstractNumId w:val="32"/>
  </w:num>
  <w:num w:numId="21" w16cid:durableId="1346593539">
    <w:abstractNumId w:val="31"/>
  </w:num>
  <w:num w:numId="22" w16cid:durableId="24641898">
    <w:abstractNumId w:val="21"/>
  </w:num>
  <w:num w:numId="23" w16cid:durableId="1569536830">
    <w:abstractNumId w:val="7"/>
  </w:num>
  <w:num w:numId="24" w16cid:durableId="1418013908">
    <w:abstractNumId w:val="18"/>
  </w:num>
  <w:num w:numId="25" w16cid:durableId="2046127756">
    <w:abstractNumId w:val="16"/>
  </w:num>
  <w:num w:numId="26" w16cid:durableId="76754567">
    <w:abstractNumId w:val="23"/>
  </w:num>
  <w:num w:numId="27" w16cid:durableId="787896415">
    <w:abstractNumId w:val="6"/>
  </w:num>
  <w:num w:numId="28" w16cid:durableId="2042240493">
    <w:abstractNumId w:val="4"/>
  </w:num>
  <w:num w:numId="29" w16cid:durableId="811412340">
    <w:abstractNumId w:val="8"/>
  </w:num>
  <w:num w:numId="30" w16cid:durableId="525488617">
    <w:abstractNumId w:val="29"/>
  </w:num>
  <w:num w:numId="31" w16cid:durableId="1372804286">
    <w:abstractNumId w:val="1"/>
  </w:num>
  <w:num w:numId="32" w16cid:durableId="625084632">
    <w:abstractNumId w:val="0"/>
  </w:num>
  <w:num w:numId="33" w16cid:durableId="1418286862">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proofState w:spelling="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15579"/>
    <w:rsid w:val="00033D18"/>
    <w:rsid w:val="00034FC0"/>
    <w:rsid w:val="000429DB"/>
    <w:rsid w:val="000451AA"/>
    <w:rsid w:val="00045503"/>
    <w:rsid w:val="000554CA"/>
    <w:rsid w:val="000672ED"/>
    <w:rsid w:val="00071EFD"/>
    <w:rsid w:val="00073862"/>
    <w:rsid w:val="000943C5"/>
    <w:rsid w:val="000D340C"/>
    <w:rsid w:val="000D5B7A"/>
    <w:rsid w:val="000D6FEF"/>
    <w:rsid w:val="000F1349"/>
    <w:rsid w:val="000F7E2C"/>
    <w:rsid w:val="001016B0"/>
    <w:rsid w:val="0010681A"/>
    <w:rsid w:val="001165C7"/>
    <w:rsid w:val="00117579"/>
    <w:rsid w:val="00120495"/>
    <w:rsid w:val="001336C3"/>
    <w:rsid w:val="00133B1A"/>
    <w:rsid w:val="00154720"/>
    <w:rsid w:val="001615BD"/>
    <w:rsid w:val="00194D76"/>
    <w:rsid w:val="00194EB4"/>
    <w:rsid w:val="001A1043"/>
    <w:rsid w:val="001A20D0"/>
    <w:rsid w:val="001A370C"/>
    <w:rsid w:val="001B1994"/>
    <w:rsid w:val="001B4CC3"/>
    <w:rsid w:val="001D232E"/>
    <w:rsid w:val="001D2F9B"/>
    <w:rsid w:val="001D46B4"/>
    <w:rsid w:val="001E72C8"/>
    <w:rsid w:val="001F31E8"/>
    <w:rsid w:val="001F65C0"/>
    <w:rsid w:val="00211EE8"/>
    <w:rsid w:val="00213DA5"/>
    <w:rsid w:val="00216818"/>
    <w:rsid w:val="00221041"/>
    <w:rsid w:val="00234313"/>
    <w:rsid w:val="00244935"/>
    <w:rsid w:val="00257792"/>
    <w:rsid w:val="00270263"/>
    <w:rsid w:val="0027308F"/>
    <w:rsid w:val="00283584"/>
    <w:rsid w:val="002A454F"/>
    <w:rsid w:val="002B7150"/>
    <w:rsid w:val="002C1C6F"/>
    <w:rsid w:val="002F1336"/>
    <w:rsid w:val="002F2E23"/>
    <w:rsid w:val="002F49CF"/>
    <w:rsid w:val="00300368"/>
    <w:rsid w:val="00303C2F"/>
    <w:rsid w:val="00337E93"/>
    <w:rsid w:val="00342DDB"/>
    <w:rsid w:val="00343065"/>
    <w:rsid w:val="00345A22"/>
    <w:rsid w:val="00347074"/>
    <w:rsid w:val="00362356"/>
    <w:rsid w:val="00373930"/>
    <w:rsid w:val="003925DB"/>
    <w:rsid w:val="003B06BB"/>
    <w:rsid w:val="003B4199"/>
    <w:rsid w:val="003B4A44"/>
    <w:rsid w:val="003C5D82"/>
    <w:rsid w:val="003D15EA"/>
    <w:rsid w:val="003D779F"/>
    <w:rsid w:val="003E4A25"/>
    <w:rsid w:val="004031E2"/>
    <w:rsid w:val="00406CA5"/>
    <w:rsid w:val="00407CEF"/>
    <w:rsid w:val="004165ED"/>
    <w:rsid w:val="00416B97"/>
    <w:rsid w:val="004537F4"/>
    <w:rsid w:val="00454E81"/>
    <w:rsid w:val="00470B76"/>
    <w:rsid w:val="00472927"/>
    <w:rsid w:val="00483C38"/>
    <w:rsid w:val="00491658"/>
    <w:rsid w:val="00497863"/>
    <w:rsid w:val="004B491D"/>
    <w:rsid w:val="004C206D"/>
    <w:rsid w:val="004C6612"/>
    <w:rsid w:val="004C7945"/>
    <w:rsid w:val="004E0D3A"/>
    <w:rsid w:val="00504A64"/>
    <w:rsid w:val="00542B4C"/>
    <w:rsid w:val="00562DC2"/>
    <w:rsid w:val="00563F78"/>
    <w:rsid w:val="00574240"/>
    <w:rsid w:val="005C0FF6"/>
    <w:rsid w:val="005E42AF"/>
    <w:rsid w:val="005E45BD"/>
    <w:rsid w:val="005F3F13"/>
    <w:rsid w:val="006027A2"/>
    <w:rsid w:val="00604564"/>
    <w:rsid w:val="0063766F"/>
    <w:rsid w:val="00643725"/>
    <w:rsid w:val="00647006"/>
    <w:rsid w:val="006550EC"/>
    <w:rsid w:val="0066147F"/>
    <w:rsid w:val="006659FD"/>
    <w:rsid w:val="006773FC"/>
    <w:rsid w:val="0068617E"/>
    <w:rsid w:val="0069113C"/>
    <w:rsid w:val="0069468A"/>
    <w:rsid w:val="006B4C64"/>
    <w:rsid w:val="006D34F1"/>
    <w:rsid w:val="006E218D"/>
    <w:rsid w:val="006E3122"/>
    <w:rsid w:val="006E3289"/>
    <w:rsid w:val="006E3E96"/>
    <w:rsid w:val="006E481A"/>
    <w:rsid w:val="006F7EC1"/>
    <w:rsid w:val="007120A0"/>
    <w:rsid w:val="00715982"/>
    <w:rsid w:val="00733777"/>
    <w:rsid w:val="007405F6"/>
    <w:rsid w:val="007436C2"/>
    <w:rsid w:val="007474F5"/>
    <w:rsid w:val="00755F63"/>
    <w:rsid w:val="0077169C"/>
    <w:rsid w:val="00772EF9"/>
    <w:rsid w:val="007747E8"/>
    <w:rsid w:val="00781C48"/>
    <w:rsid w:val="007836DB"/>
    <w:rsid w:val="007A1000"/>
    <w:rsid w:val="007B1B03"/>
    <w:rsid w:val="007B607D"/>
    <w:rsid w:val="007B6DD3"/>
    <w:rsid w:val="007F02EC"/>
    <w:rsid w:val="007F7D13"/>
    <w:rsid w:val="008014DE"/>
    <w:rsid w:val="00804FC8"/>
    <w:rsid w:val="0081003D"/>
    <w:rsid w:val="008108F7"/>
    <w:rsid w:val="00812BFB"/>
    <w:rsid w:val="00822A4C"/>
    <w:rsid w:val="0086161E"/>
    <w:rsid w:val="008735A4"/>
    <w:rsid w:val="008A1E6D"/>
    <w:rsid w:val="008A20AC"/>
    <w:rsid w:val="008A2308"/>
    <w:rsid w:val="008B18AE"/>
    <w:rsid w:val="008B2794"/>
    <w:rsid w:val="008C52C5"/>
    <w:rsid w:val="008C5DCB"/>
    <w:rsid w:val="008D7189"/>
    <w:rsid w:val="008E6B76"/>
    <w:rsid w:val="008F0B7C"/>
    <w:rsid w:val="008F4BC6"/>
    <w:rsid w:val="00903B0F"/>
    <w:rsid w:val="009143EA"/>
    <w:rsid w:val="00914AC3"/>
    <w:rsid w:val="00917205"/>
    <w:rsid w:val="0092725A"/>
    <w:rsid w:val="00930A74"/>
    <w:rsid w:val="00954CBE"/>
    <w:rsid w:val="00957A2E"/>
    <w:rsid w:val="00960617"/>
    <w:rsid w:val="009700FE"/>
    <w:rsid w:val="009803AC"/>
    <w:rsid w:val="009A4CEF"/>
    <w:rsid w:val="009B0913"/>
    <w:rsid w:val="009B7D40"/>
    <w:rsid w:val="009C7BB4"/>
    <w:rsid w:val="009D0718"/>
    <w:rsid w:val="009D27B4"/>
    <w:rsid w:val="009E2AEB"/>
    <w:rsid w:val="009E549B"/>
    <w:rsid w:val="00A0473E"/>
    <w:rsid w:val="00A04A26"/>
    <w:rsid w:val="00A06708"/>
    <w:rsid w:val="00A322BC"/>
    <w:rsid w:val="00A379F5"/>
    <w:rsid w:val="00A46438"/>
    <w:rsid w:val="00A514C8"/>
    <w:rsid w:val="00A52660"/>
    <w:rsid w:val="00A53A45"/>
    <w:rsid w:val="00A55B7D"/>
    <w:rsid w:val="00A61E8B"/>
    <w:rsid w:val="00A70406"/>
    <w:rsid w:val="00A71C38"/>
    <w:rsid w:val="00A81BF9"/>
    <w:rsid w:val="00A82E83"/>
    <w:rsid w:val="00A90D21"/>
    <w:rsid w:val="00A91174"/>
    <w:rsid w:val="00A9217C"/>
    <w:rsid w:val="00A95393"/>
    <w:rsid w:val="00AA1118"/>
    <w:rsid w:val="00AC37E2"/>
    <w:rsid w:val="00AC3A2B"/>
    <w:rsid w:val="00AD65D4"/>
    <w:rsid w:val="00AE0ADA"/>
    <w:rsid w:val="00AF146A"/>
    <w:rsid w:val="00AF419D"/>
    <w:rsid w:val="00B17707"/>
    <w:rsid w:val="00B20098"/>
    <w:rsid w:val="00B22A54"/>
    <w:rsid w:val="00B3456B"/>
    <w:rsid w:val="00B40A75"/>
    <w:rsid w:val="00B57711"/>
    <w:rsid w:val="00B62FFC"/>
    <w:rsid w:val="00B91E5F"/>
    <w:rsid w:val="00B9778D"/>
    <w:rsid w:val="00BA24B1"/>
    <w:rsid w:val="00BA451C"/>
    <w:rsid w:val="00BB12FE"/>
    <w:rsid w:val="00BB1EBB"/>
    <w:rsid w:val="00BD257D"/>
    <w:rsid w:val="00BD2DF8"/>
    <w:rsid w:val="00BE35A9"/>
    <w:rsid w:val="00BF243A"/>
    <w:rsid w:val="00C0277D"/>
    <w:rsid w:val="00C41DD4"/>
    <w:rsid w:val="00C521B7"/>
    <w:rsid w:val="00C65FDA"/>
    <w:rsid w:val="00C73233"/>
    <w:rsid w:val="00C77709"/>
    <w:rsid w:val="00C84F3F"/>
    <w:rsid w:val="00C93E28"/>
    <w:rsid w:val="00CC2E46"/>
    <w:rsid w:val="00CD5477"/>
    <w:rsid w:val="00CD618E"/>
    <w:rsid w:val="00CF24EA"/>
    <w:rsid w:val="00CF3421"/>
    <w:rsid w:val="00CF6645"/>
    <w:rsid w:val="00D343E2"/>
    <w:rsid w:val="00D4670C"/>
    <w:rsid w:val="00D47E91"/>
    <w:rsid w:val="00D54D31"/>
    <w:rsid w:val="00D62745"/>
    <w:rsid w:val="00D7312A"/>
    <w:rsid w:val="00D73BB0"/>
    <w:rsid w:val="00D82D88"/>
    <w:rsid w:val="00D85DAC"/>
    <w:rsid w:val="00DB58C0"/>
    <w:rsid w:val="00DC20CF"/>
    <w:rsid w:val="00DE6FDB"/>
    <w:rsid w:val="00DF77C9"/>
    <w:rsid w:val="00E03AD1"/>
    <w:rsid w:val="00E12660"/>
    <w:rsid w:val="00E36270"/>
    <w:rsid w:val="00E40A16"/>
    <w:rsid w:val="00E5559A"/>
    <w:rsid w:val="00E56F95"/>
    <w:rsid w:val="00E64F45"/>
    <w:rsid w:val="00E755CA"/>
    <w:rsid w:val="00E756DF"/>
    <w:rsid w:val="00E7781C"/>
    <w:rsid w:val="00E83556"/>
    <w:rsid w:val="00E9506C"/>
    <w:rsid w:val="00E951B5"/>
    <w:rsid w:val="00EA2B57"/>
    <w:rsid w:val="00EA6193"/>
    <w:rsid w:val="00EB6910"/>
    <w:rsid w:val="00EB6DA5"/>
    <w:rsid w:val="00ED192E"/>
    <w:rsid w:val="00EF285F"/>
    <w:rsid w:val="00EF5AB0"/>
    <w:rsid w:val="00F008DD"/>
    <w:rsid w:val="00F01D9B"/>
    <w:rsid w:val="00F11319"/>
    <w:rsid w:val="00F11598"/>
    <w:rsid w:val="00F254AF"/>
    <w:rsid w:val="00F43B6C"/>
    <w:rsid w:val="00F6582B"/>
    <w:rsid w:val="00FA4E33"/>
    <w:rsid w:val="00FA596D"/>
    <w:rsid w:val="00FA602E"/>
    <w:rsid w:val="00FC074E"/>
    <w:rsid w:val="00FC17E8"/>
    <w:rsid w:val="00FC5217"/>
    <w:rsid w:val="00FC6940"/>
    <w:rsid w:val="00FF41AF"/>
    <w:rsid w:val="00FF44ED"/>
    <w:rsid w:val="00FF62D0"/>
    <w:rsid w:val="00FF64F6"/>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17</Pages>
  <Words>6264</Words>
  <Characters>35705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Stuart</cp:lastModifiedBy>
  <cp:revision>6</cp:revision>
  <cp:lastPrinted>2022-09-29T12:20:00Z</cp:lastPrinted>
  <dcterms:created xsi:type="dcterms:W3CDTF">2022-10-06T16:27:00Z</dcterms:created>
  <dcterms:modified xsi:type="dcterms:W3CDTF">2022-10-07T07:14:00Z</dcterms:modified>
</cp:coreProperties>
</file>