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06F0D653"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 xml:space="preserve">Prof </w:t>
      </w:r>
      <w:proofErr w:type="gramStart"/>
      <w:r w:rsidR="00013834">
        <w:rPr>
          <w:rFonts w:ascii="Avenir Next Demi Bold" w:hAnsi="Avenir Next Demi Bold"/>
          <w:b/>
          <w:bCs/>
        </w:rPr>
        <w:t>A</w:t>
      </w:r>
      <w:proofErr w:type="gramEnd"/>
      <w:r w:rsidR="00013834">
        <w:rPr>
          <w:rFonts w:ascii="Avenir Next Demi Bold" w:hAnsi="Avenir Next Demi Bold"/>
          <w:b/>
          <w:bCs/>
        </w:rPr>
        <w:t xml:space="preserve">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 xml:space="preserve">Dr E Levenstein   Prof </w:t>
      </w:r>
      <w:proofErr w:type="gramStart"/>
      <w:r>
        <w:rPr>
          <w:rFonts w:ascii="Avenir Next Demi Bold" w:hAnsi="Avenir Next Demi Bold"/>
          <w:b/>
          <w:bCs/>
        </w:rPr>
        <w:t>A</w:t>
      </w:r>
      <w:proofErr w:type="gramEnd"/>
      <w:r>
        <w:rPr>
          <w:rFonts w:ascii="Avenir Next Demi Bold" w:hAnsi="Avenir Next Demi Bold"/>
          <w:b/>
          <w:bCs/>
        </w:rPr>
        <w:t xml:space="preserve">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w:t>
      </w:r>
      <w:proofErr w:type="gramStart"/>
      <w:r w:rsidR="00E755CA">
        <w:t>if at all possible</w:t>
      </w:r>
      <w:proofErr w:type="gramEnd"/>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lastRenderedPageBreak/>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proofErr w:type="gramStart"/>
      <w:r w:rsidR="008A1E6D">
        <w:t>compulsory</w:t>
      </w:r>
      <w:proofErr w:type="gramEnd"/>
      <w:r w:rsidR="008A1E6D">
        <w:t xml:space="preserve">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5A6B28"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5A6B28">
        <w:rPr>
          <w:rFonts w:ascii="Avenir Next" w:hAnsi="Avenir Next"/>
          <w:color w:val="000000" w:themeColor="text1"/>
          <w:highlight w:val="yellow"/>
          <w:lang w:val="en-GB"/>
        </w:rPr>
        <w:t xml:space="preserve">(1) </w:t>
      </w:r>
      <w:r w:rsidR="00563F78" w:rsidRPr="005A6B28">
        <w:rPr>
          <w:rFonts w:ascii="Avenir Next" w:hAnsi="Avenir Next"/>
          <w:color w:val="000000" w:themeColor="text1"/>
          <w:highlight w:val="yellow"/>
          <w:lang w:val="en-GB"/>
        </w:rPr>
        <w:t>and (2) are correct</w:t>
      </w:r>
      <w:r w:rsidR="007747E8" w:rsidRPr="005A6B28">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831ADF"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831ADF">
        <w:rPr>
          <w:rFonts w:ascii="Avenir Next" w:hAnsi="Avenir Next" w:cs="Arial"/>
          <w:color w:val="000000" w:themeColor="text1"/>
          <w:highlight w:val="yellow"/>
          <w:lang w:val="en-GB"/>
        </w:rPr>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831ADF"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831ADF">
        <w:rPr>
          <w:rFonts w:ascii="Avenir Next" w:hAnsi="Avenir Next" w:cs="Arial"/>
          <w:color w:val="000000" w:themeColor="text1"/>
          <w:highlight w:val="yellow"/>
          <w:lang w:val="en-GB"/>
        </w:rPr>
        <w:t>d</w:t>
      </w:r>
      <w:r w:rsidR="00A9217C" w:rsidRPr="00831ADF">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 xml:space="preserve">The family </w:t>
      </w:r>
      <w:proofErr w:type="gramStart"/>
      <w:r w:rsidRPr="00497863">
        <w:rPr>
          <w:rFonts w:ascii="Avenir Next" w:hAnsi="Avenir Next" w:cs="Arial"/>
          <w:color w:val="000000" w:themeColor="text1"/>
          <w:lang w:val="en-GB"/>
        </w:rPr>
        <w:t>home</w:t>
      </w:r>
      <w:proofErr w:type="gramEnd"/>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4B6EE4" w:rsidRDefault="00343065"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4B6EE4">
        <w:rPr>
          <w:rFonts w:ascii="Avenir Next" w:hAnsi="Avenir Next" w:cs="Arial"/>
          <w:color w:val="000000" w:themeColor="text1"/>
          <w:highlight w:val="yellow"/>
          <w:lang w:val="en-GB"/>
        </w:rPr>
        <w:t>(1)</w:t>
      </w:r>
      <w:r w:rsidR="00F254AF" w:rsidRPr="004B6EE4">
        <w:rPr>
          <w:rFonts w:ascii="Avenir Next" w:hAnsi="Avenir Next" w:cs="Arial"/>
          <w:color w:val="000000" w:themeColor="text1"/>
          <w:highlight w:val="yellow"/>
          <w:lang w:val="en-GB"/>
        </w:rPr>
        <w:t xml:space="preserve">, and </w:t>
      </w:r>
      <w:r w:rsidRPr="004B6EE4">
        <w:rPr>
          <w:rFonts w:ascii="Avenir Next" w:hAnsi="Avenir Next" w:cs="Arial"/>
          <w:color w:val="000000" w:themeColor="text1"/>
          <w:highlight w:val="yellow"/>
          <w:lang w:val="en-GB"/>
        </w:rPr>
        <w:t>(4)</w:t>
      </w:r>
      <w:r w:rsidR="00F254AF" w:rsidRPr="004B6EE4">
        <w:rPr>
          <w:rFonts w:ascii="Avenir Next" w:hAnsi="Avenir Next" w:cs="Arial"/>
          <w:color w:val="000000" w:themeColor="text1"/>
          <w:highlight w:val="yellow"/>
          <w:lang w:val="en-GB"/>
        </w:rPr>
        <w:t xml:space="preserve"> are correct</w:t>
      </w:r>
      <w:r w:rsidR="00194D76" w:rsidRPr="004B6EE4">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w:t>
      </w:r>
      <w:proofErr w:type="gramStart"/>
      <w:r w:rsidRPr="00270263">
        <w:rPr>
          <w:rFonts w:ascii="Avenir Next" w:hAnsi="Avenir Next"/>
          <w:lang w:val="en-GB"/>
        </w:rPr>
        <w:t>affairs;</w:t>
      </w:r>
      <w:proofErr w:type="gramEnd"/>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01745A"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01745A">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01745A"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01745A">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B027D1" w:rsidRDefault="0066147F" w:rsidP="00FC5217">
      <w:pPr>
        <w:pStyle w:val="ListParagraph"/>
        <w:numPr>
          <w:ilvl w:val="0"/>
          <w:numId w:val="17"/>
        </w:numPr>
        <w:spacing w:after="0" w:line="240" w:lineRule="auto"/>
        <w:ind w:left="426"/>
        <w:rPr>
          <w:rFonts w:ascii="Avenir Next" w:hAnsi="Avenir Next"/>
          <w:highlight w:val="yellow"/>
          <w:lang w:val="en-GB"/>
        </w:rPr>
      </w:pPr>
      <w:r w:rsidRPr="00B027D1">
        <w:rPr>
          <w:rFonts w:ascii="Avenir Next" w:hAnsi="Avenir Next"/>
          <w:highlight w:val="yellow"/>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A90D21" w:rsidRDefault="003D15EA" w:rsidP="00FC5217">
      <w:pPr>
        <w:pStyle w:val="ListParagraph"/>
        <w:numPr>
          <w:ilvl w:val="0"/>
          <w:numId w:val="18"/>
        </w:numPr>
        <w:spacing w:after="0" w:line="240" w:lineRule="auto"/>
        <w:ind w:left="426"/>
        <w:rPr>
          <w:rFonts w:ascii="Avenir Next" w:hAnsi="Avenir Next"/>
          <w:lang w:val="en-GB"/>
        </w:rPr>
      </w:pPr>
      <w:r w:rsidRPr="00A90D21">
        <w:rPr>
          <w:rFonts w:ascii="Avenir Next" w:hAnsi="Avenir Next"/>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lastRenderedPageBreak/>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Pr="00A3411F" w:rsidRDefault="000F1349" w:rsidP="00FC5217">
      <w:pPr>
        <w:pStyle w:val="NoSpacing"/>
        <w:numPr>
          <w:ilvl w:val="0"/>
          <w:numId w:val="19"/>
        </w:numPr>
        <w:ind w:left="426"/>
        <w:jc w:val="both"/>
        <w:rPr>
          <w:rFonts w:ascii="Avenir Next" w:hAnsi="Avenir Next"/>
          <w:highlight w:val="yellow"/>
        </w:rPr>
      </w:pPr>
      <w:r w:rsidRPr="00A3411F">
        <w:rPr>
          <w:rFonts w:ascii="Avenir Next" w:hAnsi="Avenir Next"/>
          <w:highlight w:val="yellow"/>
        </w:rPr>
        <w:t>Be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A90D21" w:rsidRDefault="00504A64" w:rsidP="00FC5217">
      <w:pPr>
        <w:pStyle w:val="ListParagraph"/>
        <w:numPr>
          <w:ilvl w:val="0"/>
          <w:numId w:val="19"/>
        </w:numPr>
        <w:spacing w:after="0" w:line="240" w:lineRule="auto"/>
        <w:ind w:left="426"/>
        <w:rPr>
          <w:rFonts w:ascii="Avenir Next" w:hAnsi="Avenir Next"/>
          <w:color w:val="000000" w:themeColor="text1"/>
          <w:lang w:val="en-GB"/>
        </w:rPr>
      </w:pPr>
      <w:r w:rsidRPr="00A90D21">
        <w:rPr>
          <w:rFonts w:ascii="Avenir Next" w:hAnsi="Avenir Next"/>
          <w:lang w:val="en-GB"/>
        </w:rPr>
        <w:t>Both (a) and (b)</w:t>
      </w:r>
      <w:r w:rsidR="00BA451C" w:rsidRPr="00A90D21">
        <w:rPr>
          <w:rFonts w:ascii="Avenir Next" w:hAnsi="Avenir Next"/>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A90D21"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A90D21">
        <w:rPr>
          <w:rFonts w:ascii="Avenir Next" w:hAnsi="Avenir Next"/>
          <w:color w:val="000000" w:themeColor="text1"/>
          <w:lang w:val="en-GB"/>
        </w:rPr>
        <w:t>True</w:t>
      </w:r>
    </w:p>
    <w:p w14:paraId="11635E95" w14:textId="2C302BE2" w:rsidR="00034FC0" w:rsidRDefault="00034FC0" w:rsidP="00117579">
      <w:pPr>
        <w:ind w:left="426"/>
        <w:rPr>
          <w:color w:val="000000" w:themeColor="text1"/>
          <w:lang w:val="en-GB"/>
        </w:rPr>
      </w:pPr>
    </w:p>
    <w:p w14:paraId="4F1047F4" w14:textId="50F1609F" w:rsidR="00034FC0" w:rsidRPr="00EA22CB"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EA22CB">
        <w:rPr>
          <w:rFonts w:ascii="Avenir Next" w:hAnsi="Avenir Next"/>
          <w:color w:val="000000" w:themeColor="text1"/>
          <w:highlight w:val="yellow"/>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733777"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733777">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A90D21"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6D7A92">
        <w:rPr>
          <w:rFonts w:ascii="Avenir Next" w:hAnsi="Avenir Next"/>
          <w:color w:val="000000" w:themeColor="text1"/>
          <w:highlight w:val="yellow"/>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DE6768">
        <w:rPr>
          <w:rFonts w:ascii="Avenir Next" w:hAnsi="Avenir Next" w:cs="Times New Roman"/>
          <w:highlight w:val="yellow"/>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A90D21" w:rsidRDefault="00117579" w:rsidP="00FC5217">
      <w:pPr>
        <w:pStyle w:val="ListParagraph"/>
        <w:numPr>
          <w:ilvl w:val="2"/>
          <w:numId w:val="20"/>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The statement is not correct since the preference of one creditor above others is not prescribed in </w:t>
      </w:r>
      <w:r w:rsidR="00A71C38" w:rsidRPr="00A90D21">
        <w:rPr>
          <w:rFonts w:ascii="Avenir Next" w:hAnsi="Avenir Next" w:cs="Times New Roman"/>
          <w:lang w:val="en-GB"/>
        </w:rPr>
        <w:t xml:space="preserve">the </w:t>
      </w:r>
      <w:r w:rsidRPr="00A90D21">
        <w:rPr>
          <w:rFonts w:ascii="Avenir Next" w:hAnsi="Avenir Next" w:cs="Times New Roman"/>
          <w:lang w:val="en-GB"/>
        </w:rPr>
        <w:t>case of dispositions for value</w:t>
      </w:r>
      <w:r w:rsidR="00A71C38" w:rsidRPr="00A90D21">
        <w:rPr>
          <w:rFonts w:ascii="Avenir Next" w:hAnsi="Avenir Next" w:cs="Times New Roman"/>
          <w:lang w:val="en-GB"/>
        </w:rPr>
        <w:t>,</w:t>
      </w:r>
      <w:r w:rsidRPr="00A90D21">
        <w:rPr>
          <w:rFonts w:ascii="Avenir Next" w:hAnsi="Avenir Next" w:cs="Times New Roman"/>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A90D21"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A90D21">
        <w:rPr>
          <w:rFonts w:ascii="Avenir Next" w:hAnsi="Avenir Next" w:cs="Times New Roman"/>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xml:space="preserve">/ uncompleted contract </w:t>
      </w:r>
      <w:proofErr w:type="gramStart"/>
      <w:r w:rsidRPr="00BA24B1">
        <w:rPr>
          <w:rFonts w:cs="Times New Roman"/>
        </w:rPr>
        <w:t>entered into</w:t>
      </w:r>
      <w:proofErr w:type="gramEnd"/>
      <w:r w:rsidRPr="00BA24B1">
        <w:rPr>
          <w:rFonts w:cs="Times New Roman"/>
        </w:rPr>
        <w:t xml:space="preserve">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A90D21" w:rsidRDefault="00BA24B1" w:rsidP="00FC5217">
      <w:pPr>
        <w:pStyle w:val="ListParagraph"/>
        <w:numPr>
          <w:ilvl w:val="1"/>
          <w:numId w:val="22"/>
        </w:numPr>
        <w:spacing w:after="0" w:line="240" w:lineRule="auto"/>
        <w:ind w:left="426"/>
        <w:rPr>
          <w:rFonts w:ascii="Avenir Next" w:hAnsi="Avenir Next" w:cs="Times New Roman"/>
          <w:lang w:val="en-US"/>
        </w:rPr>
      </w:pPr>
      <w:r w:rsidRPr="00A90D21">
        <w:rPr>
          <w:rFonts w:ascii="Avenir Next" w:hAnsi="Avenir Next" w:cs="Times New Roman"/>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A90D21" w:rsidRDefault="00BA24B1" w:rsidP="00FC5217">
      <w:pPr>
        <w:pStyle w:val="ListParagraph"/>
        <w:numPr>
          <w:ilvl w:val="1"/>
          <w:numId w:val="23"/>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W </w:t>
      </w:r>
      <w:r w:rsidR="00A95393" w:rsidRPr="00A90D21">
        <w:rPr>
          <w:rFonts w:ascii="Avenir Next" w:hAnsi="Avenir Next" w:cs="Times New Roman"/>
          <w:lang w:val="en-GB"/>
        </w:rPr>
        <w:t xml:space="preserve">has </w:t>
      </w:r>
      <w:r w:rsidRPr="00A90D21">
        <w:rPr>
          <w:rFonts w:ascii="Avenir Next" w:hAnsi="Avenir Next" w:cs="Times New Roman"/>
          <w:lang w:val="en-GB"/>
        </w:rPr>
        <w:t xml:space="preserve">lost ownership </w:t>
      </w:r>
      <w:r w:rsidR="00A95393" w:rsidRPr="00A90D21">
        <w:rPr>
          <w:rFonts w:ascii="Avenir Next" w:hAnsi="Avenir Next" w:cs="Times New Roman"/>
          <w:lang w:val="en-GB"/>
        </w:rPr>
        <w:t>of</w:t>
      </w:r>
      <w:r w:rsidRPr="00A90D21">
        <w:rPr>
          <w:rFonts w:ascii="Avenir Next" w:hAnsi="Avenir Next" w:cs="Times New Roman"/>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997291">
        <w:rPr>
          <w:rFonts w:ascii="Avenir Next" w:hAnsi="Avenir Next" w:cs="Times New Roman"/>
          <w:highlight w:val="yellow"/>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A90D21" w:rsidRDefault="00416B97" w:rsidP="00FC5217">
      <w:pPr>
        <w:pStyle w:val="ListParagraph"/>
        <w:numPr>
          <w:ilvl w:val="0"/>
          <w:numId w:val="24"/>
        </w:numPr>
        <w:spacing w:after="0" w:line="240" w:lineRule="auto"/>
        <w:ind w:left="426"/>
        <w:rPr>
          <w:rFonts w:ascii="Avenir Next" w:hAnsi="Avenir Next"/>
        </w:rPr>
      </w:pPr>
      <w:r w:rsidRPr="00A90D21">
        <w:rPr>
          <w:rFonts w:ascii="Avenir Next" w:hAnsi="Avenir Next"/>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1365BD" w:rsidRDefault="00416B97" w:rsidP="00FC5217">
      <w:pPr>
        <w:pStyle w:val="ListParagraph"/>
        <w:numPr>
          <w:ilvl w:val="0"/>
          <w:numId w:val="24"/>
        </w:numPr>
        <w:spacing w:after="0" w:line="240" w:lineRule="auto"/>
        <w:ind w:left="426"/>
        <w:rPr>
          <w:rFonts w:ascii="Avenir Next" w:hAnsi="Avenir Next"/>
          <w:highlight w:val="yellow"/>
        </w:rPr>
      </w:pPr>
      <w:r w:rsidRPr="001365BD">
        <w:rPr>
          <w:rFonts w:ascii="Avenir Next" w:hAnsi="Avenir Next"/>
          <w:highlight w:val="yellow"/>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proofErr w:type="gramStart"/>
      <w:r w:rsidRPr="00960617">
        <w:rPr>
          <w:rFonts w:ascii="Avenir Next" w:hAnsi="Avenir Next"/>
          <w:lang w:val="en-GB"/>
        </w:rPr>
        <w:t>All of</w:t>
      </w:r>
      <w:proofErr w:type="gramEnd"/>
      <w:r w:rsidRPr="00960617">
        <w:rPr>
          <w:rFonts w:ascii="Avenir Next" w:hAnsi="Avenir Next"/>
          <w:lang w:val="en-GB"/>
        </w:rPr>
        <w:t xml:space="preserve">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A90D21" w:rsidRDefault="007120A0" w:rsidP="00FC5217">
      <w:pPr>
        <w:pStyle w:val="ListParagraph"/>
        <w:numPr>
          <w:ilvl w:val="0"/>
          <w:numId w:val="25"/>
        </w:numPr>
        <w:spacing w:after="0" w:line="240" w:lineRule="auto"/>
        <w:ind w:left="426"/>
        <w:rPr>
          <w:rFonts w:ascii="Avenir Next" w:hAnsi="Avenir Next"/>
          <w:lang w:val="en-GB"/>
        </w:rPr>
      </w:pPr>
      <w:proofErr w:type="gramStart"/>
      <w:r w:rsidRPr="00A90D21">
        <w:rPr>
          <w:rFonts w:ascii="Avenir Next" w:hAnsi="Avenir Next"/>
          <w:lang w:val="en-GB"/>
        </w:rPr>
        <w:t>All of</w:t>
      </w:r>
      <w:proofErr w:type="gramEnd"/>
      <w:r w:rsidRPr="00A90D21">
        <w:rPr>
          <w:rFonts w:ascii="Avenir Next" w:hAnsi="Avenir Next"/>
          <w:lang w:val="en-GB"/>
        </w:rPr>
        <w:t xml:space="preserve">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lastRenderedPageBreak/>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A90D21" w:rsidRDefault="00E12660" w:rsidP="00FC5217">
      <w:pPr>
        <w:numPr>
          <w:ilvl w:val="0"/>
          <w:numId w:val="26"/>
        </w:numPr>
        <w:rPr>
          <w:lang w:val="en-ZA"/>
        </w:rPr>
      </w:pPr>
      <w:r w:rsidRPr="00A90D21">
        <w:rPr>
          <w:lang w:val="en-ZA"/>
        </w:rPr>
        <w:t xml:space="preserve">Both </w:t>
      </w:r>
      <w:r w:rsidR="00FF44ED" w:rsidRPr="00A90D21">
        <w:rPr>
          <w:lang w:val="en-ZA"/>
        </w:rPr>
        <w:t xml:space="preserve">statements </w:t>
      </w:r>
      <w:r w:rsidRPr="00A90D21">
        <w:rPr>
          <w:lang w:val="en-ZA"/>
        </w:rPr>
        <w:t>(a) and (b)</w:t>
      </w:r>
      <w:r w:rsidR="00FF44ED" w:rsidRPr="00A90D21">
        <w:rPr>
          <w:lang w:val="en-ZA"/>
        </w:rPr>
        <w:t xml:space="preserve"> are correct</w:t>
      </w:r>
      <w:r w:rsidRPr="00A90D21">
        <w:rPr>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9708AD" w:rsidRDefault="00EF285F" w:rsidP="00FC5217">
      <w:pPr>
        <w:pStyle w:val="ListParagraph"/>
        <w:numPr>
          <w:ilvl w:val="0"/>
          <w:numId w:val="13"/>
        </w:numPr>
        <w:spacing w:after="0" w:line="240" w:lineRule="auto"/>
        <w:ind w:left="426"/>
        <w:rPr>
          <w:rFonts w:ascii="Avenir Next" w:hAnsi="Avenir Next"/>
          <w:highlight w:val="yellow"/>
          <w:lang w:val="en-GB"/>
        </w:rPr>
      </w:pPr>
      <w:r w:rsidRPr="009708AD">
        <w:rPr>
          <w:rFonts w:ascii="Avenir Next" w:hAnsi="Avenir Next"/>
          <w:highlight w:val="yellow"/>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A90D21" w:rsidRDefault="00EF285F" w:rsidP="00FC5217">
      <w:pPr>
        <w:pStyle w:val="ListParagraph"/>
        <w:numPr>
          <w:ilvl w:val="0"/>
          <w:numId w:val="13"/>
        </w:numPr>
        <w:spacing w:after="0" w:line="240" w:lineRule="auto"/>
        <w:ind w:left="426"/>
        <w:rPr>
          <w:rFonts w:ascii="Avenir Next" w:hAnsi="Avenir Next"/>
          <w:lang w:val="en-GB"/>
        </w:rPr>
      </w:pPr>
      <w:r w:rsidRPr="00A90D21">
        <w:rPr>
          <w:rFonts w:ascii="Avenir Next" w:hAnsi="Avenir Next"/>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A90D21" w:rsidRDefault="00EF285F" w:rsidP="00FC5217">
      <w:pPr>
        <w:pStyle w:val="ListParagraph"/>
        <w:numPr>
          <w:ilvl w:val="0"/>
          <w:numId w:val="14"/>
        </w:numPr>
        <w:spacing w:after="0" w:line="240" w:lineRule="auto"/>
        <w:ind w:left="426" w:hanging="357"/>
        <w:rPr>
          <w:rFonts w:ascii="Avenir Next" w:hAnsi="Avenir Next"/>
          <w:lang w:val="en-GB"/>
        </w:rPr>
      </w:pPr>
      <w:r w:rsidRPr="00977082">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0ECB8AE1" w14:textId="61AAC55F" w:rsidR="00A90D21" w:rsidRPr="00445FE4" w:rsidRDefault="00210FED" w:rsidP="00A514C8">
      <w:pPr>
        <w:rPr>
          <w:color w:val="808080" w:themeColor="background1" w:themeShade="80"/>
        </w:rPr>
      </w:pPr>
      <w:r>
        <w:rPr>
          <w:color w:val="808080" w:themeColor="background1" w:themeShade="80"/>
        </w:rPr>
        <w:t xml:space="preserve">According to Section 22 of the Insolvency Act, debts that were due are payable to the trustee. Unless the debtor can prove he was </w:t>
      </w:r>
      <w:r w:rsidRPr="00210FED">
        <w:rPr>
          <w:i/>
          <w:iCs/>
          <w:color w:val="808080" w:themeColor="background1" w:themeShade="80"/>
        </w:rPr>
        <w:t>bona fide</w:t>
      </w:r>
      <w:r>
        <w:rPr>
          <w:color w:val="808080" w:themeColor="background1" w:themeShade="80"/>
        </w:rPr>
        <w:t xml:space="preserve"> and had no knowledge of the sequestration, the payment is made to the insolvent and the obligation</w:t>
      </w:r>
      <w:r w:rsidR="00445FE4">
        <w:rPr>
          <w:color w:val="808080" w:themeColor="background1" w:themeShade="80"/>
        </w:rPr>
        <w:t>s are</w:t>
      </w:r>
      <w:r>
        <w:rPr>
          <w:color w:val="808080" w:themeColor="background1" w:themeShade="80"/>
        </w:rPr>
        <w:t xml:space="preserve"> not terminated.</w:t>
      </w: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C0EF5E8" w14:textId="07B5B16C" w:rsidR="00CC2E46" w:rsidRPr="00CC2E46" w:rsidRDefault="00615FA7" w:rsidP="00CC2E46">
      <w:pPr>
        <w:rPr>
          <w:color w:val="808080" w:themeColor="background1" w:themeShade="80"/>
        </w:rPr>
      </w:pPr>
      <w:r>
        <w:rPr>
          <w:color w:val="808080" w:themeColor="background1" w:themeShade="80"/>
        </w:rPr>
        <w:t xml:space="preserve">The burden of proof differs in compulsory sequestration applications. In compulsory sequestration there is only a slight chance that sequestration will be to the advantage of creditors, however, positive proof of advantage is required when applying for voluntary surrender. </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0C79D174" w14:textId="28CEFAD0" w:rsidR="00345A22" w:rsidRDefault="003D5F13" w:rsidP="00345A22">
      <w:pPr>
        <w:rPr>
          <w:color w:val="808080" w:themeColor="background1" w:themeShade="80"/>
        </w:rPr>
      </w:pPr>
      <w:r>
        <w:rPr>
          <w:color w:val="808080" w:themeColor="background1" w:themeShade="80"/>
        </w:rPr>
        <w:t>A witness to an insolvency e</w:t>
      </w:r>
      <w:r w:rsidR="001C5588">
        <w:rPr>
          <w:color w:val="808080" w:themeColor="background1" w:themeShade="80"/>
        </w:rPr>
        <w:t xml:space="preserve">nquiry may be subpoenaed </w:t>
      </w:r>
      <w:proofErr w:type="gramStart"/>
      <w:r w:rsidR="001C5588">
        <w:rPr>
          <w:color w:val="808080" w:themeColor="background1" w:themeShade="80"/>
        </w:rPr>
        <w:t>if;</w:t>
      </w:r>
      <w:proofErr w:type="gramEnd"/>
    </w:p>
    <w:p w14:paraId="362AACAB" w14:textId="5AB3DCC2" w:rsidR="001C5588" w:rsidRDefault="001C5588" w:rsidP="001C5588">
      <w:pPr>
        <w:pStyle w:val="ListParagraph"/>
        <w:numPr>
          <w:ilvl w:val="0"/>
          <w:numId w:val="32"/>
        </w:numPr>
        <w:rPr>
          <w:color w:val="808080" w:themeColor="background1" w:themeShade="80"/>
          <w:lang w:val="en-GB"/>
        </w:rPr>
      </w:pPr>
      <w:r>
        <w:rPr>
          <w:color w:val="808080" w:themeColor="background1" w:themeShade="80"/>
          <w:lang w:val="en-GB"/>
        </w:rPr>
        <w:t>They have the right to equality (section 9)</w:t>
      </w:r>
    </w:p>
    <w:p w14:paraId="4128D518" w14:textId="35762E06" w:rsidR="001C5588" w:rsidRDefault="001C5588" w:rsidP="001C5588">
      <w:pPr>
        <w:pStyle w:val="ListParagraph"/>
        <w:numPr>
          <w:ilvl w:val="0"/>
          <w:numId w:val="32"/>
        </w:numPr>
        <w:rPr>
          <w:color w:val="808080" w:themeColor="background1" w:themeShade="80"/>
          <w:lang w:val="en-GB"/>
        </w:rPr>
      </w:pPr>
      <w:r>
        <w:rPr>
          <w:color w:val="808080" w:themeColor="background1" w:themeShade="80"/>
          <w:lang w:val="en-GB"/>
        </w:rPr>
        <w:t>They have the right to freedom and security (section 12)</w:t>
      </w:r>
    </w:p>
    <w:p w14:paraId="11D07BB7" w14:textId="7EAC92D1" w:rsidR="001C5588" w:rsidRDefault="001C5588" w:rsidP="001C5588">
      <w:pPr>
        <w:pStyle w:val="ListParagraph"/>
        <w:numPr>
          <w:ilvl w:val="0"/>
          <w:numId w:val="32"/>
        </w:numPr>
        <w:rPr>
          <w:color w:val="808080" w:themeColor="background1" w:themeShade="80"/>
          <w:lang w:val="en-GB"/>
        </w:rPr>
      </w:pPr>
      <w:r>
        <w:rPr>
          <w:color w:val="808080" w:themeColor="background1" w:themeShade="80"/>
          <w:lang w:val="en-GB"/>
        </w:rPr>
        <w:t>They have the right to privacy (section 14)</w:t>
      </w:r>
    </w:p>
    <w:p w14:paraId="3D895F5A" w14:textId="5762A2D0" w:rsidR="001C5588" w:rsidRDefault="001C5588" w:rsidP="001C5588">
      <w:pPr>
        <w:pStyle w:val="ListParagraph"/>
        <w:numPr>
          <w:ilvl w:val="0"/>
          <w:numId w:val="32"/>
        </w:numPr>
        <w:rPr>
          <w:color w:val="808080" w:themeColor="background1" w:themeShade="80"/>
          <w:lang w:val="en-GB"/>
        </w:rPr>
      </w:pPr>
      <w:r>
        <w:rPr>
          <w:color w:val="808080" w:themeColor="background1" w:themeShade="80"/>
          <w:lang w:val="en-GB"/>
        </w:rPr>
        <w:t>They have the right to just administrative action (section 33)</w:t>
      </w:r>
    </w:p>
    <w:p w14:paraId="7E0CDCB3" w14:textId="2B2E1665" w:rsidR="001C5588" w:rsidRPr="001C5588" w:rsidRDefault="001C5588" w:rsidP="001C5588">
      <w:pPr>
        <w:pStyle w:val="ListParagraph"/>
        <w:numPr>
          <w:ilvl w:val="0"/>
          <w:numId w:val="32"/>
        </w:numPr>
        <w:rPr>
          <w:color w:val="808080" w:themeColor="background1" w:themeShade="80"/>
          <w:lang w:val="en-GB"/>
        </w:rPr>
      </w:pPr>
      <w:r>
        <w:rPr>
          <w:color w:val="808080" w:themeColor="background1" w:themeShade="80"/>
          <w:lang w:val="en-GB"/>
        </w:rPr>
        <w:t>They have the right to a fair trial (section 35(</w:t>
      </w:r>
      <w:r w:rsidR="00E15B89">
        <w:rPr>
          <w:color w:val="808080" w:themeColor="background1" w:themeShade="80"/>
          <w:lang w:val="en-GB"/>
        </w:rPr>
        <w:t>3))</w:t>
      </w: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7DA7FB34" w14:textId="3DD47852" w:rsidR="00CC2E46" w:rsidRDefault="00E15B89" w:rsidP="00E15B89">
      <w:pPr>
        <w:pStyle w:val="ListParagraph"/>
        <w:numPr>
          <w:ilvl w:val="0"/>
          <w:numId w:val="33"/>
        </w:numPr>
        <w:rPr>
          <w:color w:val="808080" w:themeColor="background1" w:themeShade="80"/>
        </w:rPr>
      </w:pPr>
      <w:r>
        <w:rPr>
          <w:color w:val="808080" w:themeColor="background1" w:themeShade="80"/>
        </w:rPr>
        <w:t>Can the section apply to a winding-up?</w:t>
      </w:r>
    </w:p>
    <w:p w14:paraId="1B18A873" w14:textId="6FA49FF2" w:rsidR="00E15B89" w:rsidRDefault="00E15B89" w:rsidP="00E15B89">
      <w:pPr>
        <w:pStyle w:val="ListParagraph"/>
        <w:numPr>
          <w:ilvl w:val="0"/>
          <w:numId w:val="33"/>
        </w:numPr>
        <w:rPr>
          <w:color w:val="808080" w:themeColor="background1" w:themeShade="80"/>
        </w:rPr>
      </w:pPr>
      <w:r>
        <w:rPr>
          <w:color w:val="808080" w:themeColor="background1" w:themeShade="80"/>
        </w:rPr>
        <w:t>Is the matter specially provided for by the Companies Act?</w:t>
      </w:r>
    </w:p>
    <w:p w14:paraId="1998E733" w14:textId="42C53F7D" w:rsidR="00E15B89" w:rsidRPr="00E15B89" w:rsidRDefault="00E15B89" w:rsidP="00E15B89">
      <w:pPr>
        <w:pStyle w:val="ListParagraph"/>
        <w:numPr>
          <w:ilvl w:val="0"/>
          <w:numId w:val="33"/>
        </w:numPr>
        <w:rPr>
          <w:color w:val="808080" w:themeColor="background1" w:themeShade="80"/>
        </w:rPr>
      </w:pPr>
      <w:r>
        <w:rPr>
          <w:color w:val="808080" w:themeColor="background1" w:themeShade="80"/>
        </w:rPr>
        <w:t>Does the provision apply to the mode of liquidation in question?</w:t>
      </w: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32510B1B" w:rsidR="00CC2E46" w:rsidRDefault="007B5C66" w:rsidP="00CC2E46">
      <w:pPr>
        <w:rPr>
          <w:color w:val="808080" w:themeColor="background1" w:themeShade="80"/>
        </w:rPr>
      </w:pPr>
      <w:r>
        <w:rPr>
          <w:color w:val="808080" w:themeColor="background1" w:themeShade="80"/>
        </w:rPr>
        <w:t xml:space="preserve">The partnership itself will be terminated. The partnership assets are divided amongst the partners in terms of their agreement. </w:t>
      </w:r>
    </w:p>
    <w:p w14:paraId="6A23D283" w14:textId="7FCB4F6A" w:rsidR="007B5C66" w:rsidRPr="00CC2E46" w:rsidRDefault="007B5C66" w:rsidP="00CC2E46">
      <w:pPr>
        <w:rPr>
          <w:color w:val="808080" w:themeColor="background1" w:themeShade="80"/>
        </w:rPr>
      </w:pPr>
      <w:r>
        <w:rPr>
          <w:color w:val="808080" w:themeColor="background1" w:themeShade="80"/>
        </w:rPr>
        <w:t xml:space="preserve">The partnership assets due to the insolvent partner vests in the trustee of the insolvents partner’s estate. </w:t>
      </w:r>
    </w:p>
    <w:p w14:paraId="3268CC0F" w14:textId="36C4ADEC" w:rsidR="006027A2" w:rsidRDefault="006027A2" w:rsidP="006027A2">
      <w:pPr>
        <w:rPr>
          <w:lang w:val="en-GB"/>
        </w:rPr>
      </w:pP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06B26349" w14:textId="77777777" w:rsidR="00A3411F"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p>
    <w:p w14:paraId="2C03D484" w14:textId="785241C7" w:rsidR="003B4199" w:rsidRPr="001F65C0" w:rsidRDefault="000451AA" w:rsidP="000451AA">
      <w:pPr>
        <w:tabs>
          <w:tab w:val="right" w:pos="9021"/>
        </w:tabs>
      </w:pPr>
      <w:r>
        <w:lastRenderedPageBreak/>
        <w:tab/>
      </w:r>
      <w:r w:rsidR="003B4199" w:rsidRPr="000451AA">
        <w:rPr>
          <w:rFonts w:ascii="Avenir Next Demi Bold" w:hAnsi="Avenir Next Demi Bold"/>
          <w:b/>
          <w:bCs/>
        </w:rPr>
        <w:t>(3)</w:t>
      </w:r>
    </w:p>
    <w:p w14:paraId="29FCA605" w14:textId="77777777" w:rsidR="003B4199" w:rsidRPr="001F65C0" w:rsidRDefault="003B4199" w:rsidP="003B4199"/>
    <w:p w14:paraId="52A81CF6" w14:textId="1B32C611" w:rsidR="00CC2E46" w:rsidRDefault="00A3411F" w:rsidP="00A3411F">
      <w:pPr>
        <w:pStyle w:val="ListParagraph"/>
        <w:numPr>
          <w:ilvl w:val="0"/>
          <w:numId w:val="34"/>
        </w:numPr>
        <w:rPr>
          <w:color w:val="808080" w:themeColor="background1" w:themeShade="80"/>
        </w:rPr>
      </w:pPr>
      <w:r>
        <w:rPr>
          <w:color w:val="808080" w:themeColor="background1" w:themeShade="80"/>
        </w:rPr>
        <w:t xml:space="preserve">Stay of sales in execution – </w:t>
      </w:r>
      <w:r w:rsidR="00F80965">
        <w:rPr>
          <w:color w:val="808080" w:themeColor="background1" w:themeShade="80"/>
        </w:rPr>
        <w:t xml:space="preserve">all sales in execution is stayed. </w:t>
      </w:r>
    </w:p>
    <w:p w14:paraId="16635241" w14:textId="3E70C794" w:rsidR="00A3411F" w:rsidRPr="00A3411F" w:rsidRDefault="00A3411F" w:rsidP="00A3411F">
      <w:pPr>
        <w:pStyle w:val="ListParagraph"/>
        <w:numPr>
          <w:ilvl w:val="0"/>
          <w:numId w:val="34"/>
        </w:numPr>
        <w:rPr>
          <w:color w:val="808080" w:themeColor="background1" w:themeShade="80"/>
        </w:rPr>
      </w:pPr>
      <w:r>
        <w:rPr>
          <w:color w:val="808080" w:themeColor="background1" w:themeShade="80"/>
        </w:rPr>
        <w:t xml:space="preserve">Appointment of a curator bonis </w:t>
      </w:r>
      <w:r w:rsidR="00F80965">
        <w:rPr>
          <w:color w:val="808080" w:themeColor="background1" w:themeShade="80"/>
        </w:rPr>
        <w:t>–</w:t>
      </w:r>
      <w:r>
        <w:rPr>
          <w:color w:val="808080" w:themeColor="background1" w:themeShade="80"/>
        </w:rPr>
        <w:t xml:space="preserve"> </w:t>
      </w:r>
      <w:r w:rsidR="00F80965">
        <w:rPr>
          <w:color w:val="808080" w:themeColor="background1" w:themeShade="80"/>
        </w:rPr>
        <w:t xml:space="preserve">the master appoints a curator bonis who is temporarily in control of the estate. </w:t>
      </w:r>
    </w:p>
    <w:p w14:paraId="3E2BA91F" w14:textId="166BF8A3" w:rsidR="003B4199" w:rsidRDefault="003B4199"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3A288F12" w14:textId="77777777" w:rsidR="00F80965" w:rsidRDefault="00F80965" w:rsidP="00CC2E46">
      <w:pPr>
        <w:rPr>
          <w:lang w:val="en-GB"/>
        </w:rPr>
      </w:pPr>
    </w:p>
    <w:p w14:paraId="331B6B24" w14:textId="32D7B5EA" w:rsidR="00CC2E46" w:rsidRPr="00CC2E46" w:rsidRDefault="00F80965" w:rsidP="00CC2E46">
      <w:pPr>
        <w:rPr>
          <w:color w:val="808080" w:themeColor="background1" w:themeShade="80"/>
        </w:rPr>
      </w:pPr>
      <w:r>
        <w:rPr>
          <w:color w:val="808080" w:themeColor="background1" w:themeShade="80"/>
        </w:rPr>
        <w:t>In terms of section 3 of General Pensions Act 1979</w:t>
      </w:r>
      <w:r w:rsidR="00DE6768">
        <w:rPr>
          <w:color w:val="808080" w:themeColor="background1" w:themeShade="80"/>
        </w:rPr>
        <w:t xml:space="preserve">, </w:t>
      </w:r>
      <w:r>
        <w:rPr>
          <w:color w:val="808080" w:themeColor="background1" w:themeShade="80"/>
        </w:rPr>
        <w:t xml:space="preserve">the pension </w:t>
      </w:r>
      <w:proofErr w:type="spellStart"/>
      <w:r>
        <w:rPr>
          <w:color w:val="808080" w:themeColor="background1" w:themeShade="80"/>
        </w:rPr>
        <w:t>Mrs</w:t>
      </w:r>
      <w:proofErr w:type="spellEnd"/>
      <w:r>
        <w:rPr>
          <w:color w:val="808080" w:themeColor="background1" w:themeShade="80"/>
        </w:rPr>
        <w:t xml:space="preserve"> A became entitled to will not fall into her insolvent account. </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7ED95E38" w14:textId="77777777" w:rsidR="009708AD" w:rsidRPr="009708AD" w:rsidRDefault="009708AD" w:rsidP="009708AD">
      <w:pPr>
        <w:rPr>
          <w:color w:val="808080" w:themeColor="background1" w:themeShade="80"/>
        </w:rPr>
      </w:pPr>
      <w:r w:rsidRPr="009708AD">
        <w:rPr>
          <w:color w:val="808080" w:themeColor="background1" w:themeShade="80"/>
        </w:rPr>
        <w:t>Benefits under some long-term insurance contracts are protected for policyholders by Section 63 of the Long-Term Insurance Act of 1998.</w:t>
      </w:r>
    </w:p>
    <w:p w14:paraId="2D7D22E4" w14:textId="77777777" w:rsidR="009708AD" w:rsidRDefault="009708AD" w:rsidP="009708AD">
      <w:pPr>
        <w:rPr>
          <w:color w:val="808080" w:themeColor="background1" w:themeShade="80"/>
        </w:rPr>
      </w:pPr>
      <w:r w:rsidRPr="009708AD">
        <w:rPr>
          <w:color w:val="808080" w:themeColor="background1" w:themeShade="80"/>
        </w:rPr>
        <w:t>Up to February 28, 2014, when the Financial Services General Amendment Act of 2013 went into effect, the protection provided by section 63 was only good for a total of R50,000. The limit was removed by the modified section 63, which now safeguards the entire value of the policy benefit. The policy benefits offere</w:t>
      </w:r>
      <w:r>
        <w:rPr>
          <w:color w:val="808080" w:themeColor="background1" w:themeShade="80"/>
        </w:rPr>
        <w:t>d are</w:t>
      </w:r>
      <w:r w:rsidRPr="009708AD">
        <w:rPr>
          <w:color w:val="808080" w:themeColor="background1" w:themeShade="80"/>
        </w:rPr>
        <w:t xml:space="preserve"> under one or more of the following: </w:t>
      </w:r>
    </w:p>
    <w:p w14:paraId="500646E4" w14:textId="77777777" w:rsidR="009708AD" w:rsidRPr="009708AD" w:rsidRDefault="009708AD" w:rsidP="009708AD">
      <w:pPr>
        <w:pStyle w:val="ListParagraph"/>
        <w:numPr>
          <w:ilvl w:val="0"/>
          <w:numId w:val="35"/>
        </w:numPr>
      </w:pPr>
      <w:r w:rsidRPr="009708AD">
        <w:rPr>
          <w:color w:val="808080" w:themeColor="background1" w:themeShade="80"/>
        </w:rPr>
        <w:t xml:space="preserve">in relation to a registered injurer, assistance, life, disability, or health policies; or </w:t>
      </w:r>
    </w:p>
    <w:p w14:paraId="689EE390" w14:textId="655632E8" w:rsidR="009708AD" w:rsidRPr="009708AD" w:rsidRDefault="009708AD" w:rsidP="009708AD">
      <w:pPr>
        <w:pStyle w:val="ListParagraph"/>
        <w:numPr>
          <w:ilvl w:val="0"/>
          <w:numId w:val="35"/>
        </w:numPr>
        <w:rPr>
          <w:color w:val="808080" w:themeColor="background1" w:themeShade="80"/>
        </w:rPr>
      </w:pPr>
      <w:r w:rsidRPr="009708AD">
        <w:rPr>
          <w:color w:val="808080" w:themeColor="background1" w:themeShade="80"/>
        </w:rPr>
        <w:t>in the case of an authorized insurer, policies issued under the risk, fund risk, credit life, funeral, life annuities, individual investment, or income drawdown class of life insurance business as specified in Table 1 of Schedule 2 of the Insurance Act.</w:t>
      </w:r>
      <w:r>
        <w:rPr>
          <w:color w:val="808080" w:themeColor="background1" w:themeShade="80"/>
        </w:rPr>
        <w:t xml:space="preserve"> </w:t>
      </w:r>
    </w:p>
    <w:p w14:paraId="63D90212" w14:textId="0652F1C4" w:rsidR="009708AD" w:rsidRPr="009708AD" w:rsidRDefault="009708AD" w:rsidP="009708AD">
      <w:pPr>
        <w:rPr>
          <w:color w:val="808080" w:themeColor="background1" w:themeShade="80"/>
        </w:rPr>
      </w:pPr>
      <w:r w:rsidRPr="009708AD">
        <w:rPr>
          <w:color w:val="808080" w:themeColor="background1" w:themeShade="80"/>
        </w:rPr>
        <w:t xml:space="preserve">Which, other than for the payment of a debt guaranteed by the policy, has been in existence for at least three years and in which that person or that person's spouse is the life insured, shall be protected in accordance with section 63 as </w:t>
      </w:r>
      <w:r w:rsidR="00977082" w:rsidRPr="009708AD">
        <w:rPr>
          <w:color w:val="808080" w:themeColor="background1" w:themeShade="80"/>
        </w:rPr>
        <w:t>follows.</w:t>
      </w:r>
    </w:p>
    <w:p w14:paraId="53A646EF" w14:textId="77777777" w:rsidR="00977082" w:rsidRDefault="009708AD" w:rsidP="00977082">
      <w:pPr>
        <w:pStyle w:val="ListParagraph"/>
        <w:numPr>
          <w:ilvl w:val="0"/>
          <w:numId w:val="36"/>
        </w:numPr>
        <w:rPr>
          <w:color w:val="808080" w:themeColor="background1" w:themeShade="80"/>
        </w:rPr>
      </w:pPr>
      <w:r w:rsidRPr="00977082">
        <w:rPr>
          <w:color w:val="808080" w:themeColor="background1" w:themeShade="80"/>
        </w:rPr>
        <w:t>During that person's lifetime, the aforementioned policy benefits will not be a part of their insolvent estate;</w:t>
      </w:r>
    </w:p>
    <w:p w14:paraId="0AAB0869" w14:textId="553AB7C5" w:rsidR="00977082" w:rsidRDefault="009708AD" w:rsidP="00977082">
      <w:pPr>
        <w:pStyle w:val="ListParagraph"/>
        <w:numPr>
          <w:ilvl w:val="0"/>
          <w:numId w:val="36"/>
        </w:numPr>
        <w:rPr>
          <w:color w:val="808080" w:themeColor="background1" w:themeShade="80"/>
        </w:rPr>
      </w:pPr>
      <w:r w:rsidRPr="00977082">
        <w:rPr>
          <w:color w:val="808080" w:themeColor="background1" w:themeShade="80"/>
        </w:rPr>
        <w:t>after their death, if they are survived by a spouse, child, stepchild, or parent, they will not be used to settle their debts;</w:t>
      </w:r>
    </w:p>
    <w:p w14:paraId="36136996" w14:textId="49C8E46E" w:rsidR="00977082" w:rsidRPr="00977082" w:rsidRDefault="00977082" w:rsidP="00977082">
      <w:pPr>
        <w:rPr>
          <w:color w:val="808080" w:themeColor="background1" w:themeShade="80"/>
        </w:rPr>
      </w:pPr>
      <w:r w:rsidRPr="00977082">
        <w:rPr>
          <w:color w:val="808080" w:themeColor="background1" w:themeShade="80"/>
        </w:rPr>
        <w:t xml:space="preserve">For a period of five years following the date the insurance benefits were granted, the </w:t>
      </w:r>
      <w:proofErr w:type="gramStart"/>
      <w:r w:rsidRPr="00977082">
        <w:rPr>
          <w:color w:val="808080" w:themeColor="background1" w:themeShade="80"/>
        </w:rPr>
        <w:t>aforementioned protection</w:t>
      </w:r>
      <w:proofErr w:type="gramEnd"/>
      <w:r w:rsidRPr="00977082">
        <w:rPr>
          <w:color w:val="808080" w:themeColor="background1" w:themeShade="80"/>
        </w:rPr>
        <w:t xml:space="preserve"> is applicable to assets acquired entirely with policy benefits as well as policy benefits</w:t>
      </w:r>
      <w:r>
        <w:rPr>
          <w:color w:val="808080" w:themeColor="background1" w:themeShade="80"/>
        </w:rPr>
        <w:t xml:space="preserve">, provided that: </w:t>
      </w:r>
      <w:r w:rsidRPr="00977082">
        <w:rPr>
          <w:color w:val="808080" w:themeColor="background1" w:themeShade="80"/>
        </w:rPr>
        <w:t>In accordance with section 63(1), the policy benefits are only safeguarded if they pass to the surviving spouse, child, stepchild, or parent of the individual mentioned in Section 63(1) in the case of that person's demise. In addition, the person seeking protection under section 63(1) must be able to demonstrate on the balance of probabilities that the protection is provided to them under this provision.</w:t>
      </w:r>
    </w:p>
    <w:p w14:paraId="48A8E1F9" w14:textId="21C664E1" w:rsidR="00977082" w:rsidRPr="00977082" w:rsidRDefault="00977082" w:rsidP="00977082">
      <w:pPr>
        <w:rPr>
          <w:color w:val="808080" w:themeColor="background1" w:themeShade="80"/>
        </w:rPr>
      </w:pPr>
      <w:r w:rsidRPr="00977082">
        <w:rPr>
          <w:color w:val="808080" w:themeColor="background1" w:themeShade="80"/>
        </w:rPr>
        <w:lastRenderedPageBreak/>
        <w:t>If it can be demonstrated that the insurance in question was obtained with the intent to deceive creditors, the benefits of the policy will not be protected as stated above.</w:t>
      </w:r>
    </w:p>
    <w:p w14:paraId="1FD296C0" w14:textId="77777777" w:rsidR="009708AD" w:rsidRDefault="009708AD" w:rsidP="0077169C">
      <w:pPr>
        <w:rPr>
          <w:rFonts w:ascii="Avenir Next Demi Bold" w:hAnsi="Avenir Next Demi Bold"/>
          <w:b/>
          <w:bCs/>
          <w:lang w:val="en-GB"/>
        </w:rPr>
      </w:pPr>
    </w:p>
    <w:p w14:paraId="5DC1268C" w14:textId="1A328986"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12AF36C8" w14:textId="2BA37F09" w:rsidR="001365BD" w:rsidRPr="001365BD" w:rsidRDefault="001365BD" w:rsidP="001365BD">
      <w:pPr>
        <w:rPr>
          <w:color w:val="808080" w:themeColor="background1" w:themeShade="80"/>
        </w:rPr>
      </w:pPr>
      <w:r w:rsidRPr="001365BD">
        <w:rPr>
          <w:color w:val="808080" w:themeColor="background1" w:themeShade="80"/>
        </w:rPr>
        <w:t>In accordance with section 63(1), the policy benefits are only safeguarded if they pass to the surviving spouse, child, stepchild, or parent of the individual mentioned in Section 63(1) in the case of that person's demise. In addition, the person seeking protection under section 63(1) must be able to demonstrate on the balance of probabilities that the protection is provided to them under this provision.</w:t>
      </w:r>
    </w:p>
    <w:p w14:paraId="429C5A2D" w14:textId="77777777" w:rsidR="001365BD" w:rsidRDefault="001365BD" w:rsidP="001365BD">
      <w:pPr>
        <w:rPr>
          <w:color w:val="808080" w:themeColor="background1" w:themeShade="80"/>
        </w:rPr>
      </w:pPr>
      <w:r w:rsidRPr="001365BD">
        <w:rPr>
          <w:color w:val="808080" w:themeColor="background1" w:themeShade="80"/>
        </w:rPr>
        <w:t>If it can be demonstrated that the insurance in question was obtained with the intent to deceive creditors, the benefits of the policy will not be protected as stated above.</w:t>
      </w:r>
      <w:r>
        <w:rPr>
          <w:color w:val="808080" w:themeColor="background1" w:themeShade="80"/>
        </w:rPr>
        <w:t xml:space="preserve"> </w:t>
      </w:r>
    </w:p>
    <w:p w14:paraId="585FEC44" w14:textId="28182DA8" w:rsidR="001365BD" w:rsidRPr="001365BD" w:rsidRDefault="001365BD" w:rsidP="001365BD">
      <w:pPr>
        <w:rPr>
          <w:color w:val="808080" w:themeColor="background1" w:themeShade="80"/>
        </w:rPr>
      </w:pPr>
      <w:r w:rsidRPr="001365BD">
        <w:rPr>
          <w:color w:val="808080" w:themeColor="background1" w:themeShade="80"/>
        </w:rPr>
        <w:t>The execution of a judgment is postponed as soon as the involved sheriff learns of the sequestration, according to Section 20(1)c) of the Insolvency Act, unless the court orders otherwise.</w:t>
      </w:r>
    </w:p>
    <w:p w14:paraId="386AECC3" w14:textId="3ADD0646" w:rsidR="0077169C" w:rsidRDefault="001365BD" w:rsidP="001365BD">
      <w:pPr>
        <w:rPr>
          <w:color w:val="808080" w:themeColor="background1" w:themeShade="80"/>
        </w:rPr>
      </w:pPr>
      <w:r w:rsidRPr="001365BD">
        <w:rPr>
          <w:color w:val="808080" w:themeColor="background1" w:themeShade="80"/>
        </w:rPr>
        <w:t xml:space="preserve">However, if it is necessary, the court may order that execution be prolonged and essential, </w:t>
      </w:r>
      <w:r w:rsidRPr="001365BD">
        <w:rPr>
          <w:color w:val="808080" w:themeColor="background1" w:themeShade="80"/>
        </w:rPr>
        <w:t>most</w:t>
      </w:r>
      <w:r w:rsidRPr="001365BD">
        <w:rPr>
          <w:color w:val="808080" w:themeColor="background1" w:themeShade="80"/>
        </w:rPr>
        <w:t xml:space="preserve"> creditors won't be harmed, but the proceeds the Master or the Trustee must receive payment.</w:t>
      </w:r>
    </w:p>
    <w:p w14:paraId="439425DA" w14:textId="77777777" w:rsidR="001365BD" w:rsidRDefault="001365BD" w:rsidP="001365BD">
      <w:pPr>
        <w:rPr>
          <w:lang w:val="en-GB"/>
        </w:rPr>
      </w:pP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637F1B1E" w14:textId="3AAB94A9" w:rsidR="008B18AE" w:rsidRDefault="008B18AE" w:rsidP="00211EE8">
      <w:pPr>
        <w:rPr>
          <w:lang w:val="en-GB"/>
        </w:rPr>
      </w:pPr>
    </w:p>
    <w:p w14:paraId="465DF30E" w14:textId="77777777" w:rsidR="00FE1980" w:rsidRDefault="00FE1980" w:rsidP="00FE1980">
      <w:pPr>
        <w:rPr>
          <w:color w:val="808080" w:themeColor="background1" w:themeShade="80"/>
        </w:rPr>
      </w:pPr>
      <w:r w:rsidRPr="00FE1980">
        <w:rPr>
          <w:color w:val="808080" w:themeColor="background1" w:themeShade="80"/>
        </w:rPr>
        <w:t xml:space="preserve">The company may be charged by the business rescue practitioner for the practitioner's compensation and expenses in line with the tariff established under section 143. (6). Additionally, in accordance with section 143(2), the practitioner may suggest a contract with the business that calls for additional compensation above and beyond that provided for in section 143(1), to be determined in accordance with a contingency linked to </w:t>
      </w:r>
      <w:r>
        <w:rPr>
          <w:color w:val="808080" w:themeColor="background1" w:themeShade="80"/>
        </w:rPr>
        <w:t xml:space="preserve">– </w:t>
      </w:r>
    </w:p>
    <w:p w14:paraId="18AF7017" w14:textId="21F25F32" w:rsidR="00FE1980" w:rsidRPr="00FE1980" w:rsidRDefault="00FE1980" w:rsidP="00FE1980">
      <w:pPr>
        <w:rPr>
          <w:color w:val="808080" w:themeColor="background1" w:themeShade="80"/>
        </w:rPr>
      </w:pPr>
      <w:r w:rsidRPr="00FE1980">
        <w:rPr>
          <w:color w:val="808080" w:themeColor="background1" w:themeShade="80"/>
        </w:rPr>
        <w:t>(a) the adoption of a business rescue plan, whether at all, within a specific timeframe, or with the inclusion of a specific topic; or</w:t>
      </w:r>
    </w:p>
    <w:p w14:paraId="4FD6FCF1" w14:textId="6A3AC3A0" w:rsidR="00FE1980" w:rsidRPr="00FE1980" w:rsidRDefault="00FE1980" w:rsidP="00FE1980">
      <w:pPr>
        <w:rPr>
          <w:color w:val="808080" w:themeColor="background1" w:themeShade="80"/>
        </w:rPr>
      </w:pPr>
      <w:r w:rsidRPr="00FE1980">
        <w:rPr>
          <w:color w:val="808080" w:themeColor="background1" w:themeShade="80"/>
        </w:rPr>
        <w:t>(b) the achievement of any specific result or group of results pertaining to the company rescue proceedings.</w:t>
      </w:r>
    </w:p>
    <w:p w14:paraId="0FB09B0A" w14:textId="6B6FAF62" w:rsidR="009405D6" w:rsidRDefault="00FE1980" w:rsidP="00FE1980">
      <w:pPr>
        <w:rPr>
          <w:color w:val="808080" w:themeColor="background1" w:themeShade="80"/>
        </w:rPr>
      </w:pPr>
      <w:r w:rsidRPr="00FE1980">
        <w:rPr>
          <w:color w:val="808080" w:themeColor="background1" w:themeShade="80"/>
        </w:rPr>
        <w:t>A subsequent remuneration agreement must specifically be agreed "at a meeting held for the purpose of examining the proposed agreement," according to Section 143(3). Such a fee is void absent approval at a meeting called specifically to ratify the arrangement.</w:t>
      </w:r>
    </w:p>
    <w:p w14:paraId="36A82FC6" w14:textId="6D3D8B6E" w:rsidR="00FE1980" w:rsidRDefault="00FE1980" w:rsidP="00FE1980">
      <w:pPr>
        <w:rPr>
          <w:color w:val="808080" w:themeColor="background1" w:themeShade="80"/>
        </w:rPr>
      </w:pPr>
    </w:p>
    <w:p w14:paraId="6D1AE641" w14:textId="77697594" w:rsidR="00FE1980" w:rsidRDefault="00FE1980" w:rsidP="00FE1980">
      <w:pPr>
        <w:rPr>
          <w:color w:val="808080" w:themeColor="background1" w:themeShade="80"/>
        </w:rPr>
      </w:pPr>
      <w:r w:rsidRPr="00FE1980">
        <w:rPr>
          <w:color w:val="808080" w:themeColor="background1" w:themeShade="80"/>
        </w:rPr>
        <w:t>For the purposes of section 143, the Minister may issue rules establishing a tariff of fees and expenditures (1). The practitioner fee schedule is outlined in Regulation 128. It has been argued that charging the firm for compensation as a business rescue practitioner would not be appropriate as the person performing the business rescue was only nominally in charge but was not actually in charge of the company's affairs.</w:t>
      </w:r>
      <w:r>
        <w:rPr>
          <w:color w:val="808080" w:themeColor="background1" w:themeShade="80"/>
        </w:rPr>
        <w:t xml:space="preserve"> </w:t>
      </w:r>
      <w:r w:rsidRPr="00FE1980">
        <w:rPr>
          <w:color w:val="808080" w:themeColor="background1" w:themeShade="80"/>
        </w:rPr>
        <w:t xml:space="preserve">The Supreme Court of Appeal was tasked with deciding whether compensation agreements, or so-called "success fee" agreements, concluded between business rescue practitioners and third parties (including creditors) outside the ambit of section 143, were prohibited, void for illegality, or otherwise contrary to public policy in the case of </w:t>
      </w:r>
      <w:proofErr w:type="spellStart"/>
      <w:r w:rsidRPr="00FE1980">
        <w:rPr>
          <w:color w:val="808080" w:themeColor="background1" w:themeShade="80"/>
        </w:rPr>
        <w:t>Caratco</w:t>
      </w:r>
      <w:proofErr w:type="spellEnd"/>
      <w:r w:rsidRPr="00FE1980">
        <w:rPr>
          <w:color w:val="808080" w:themeColor="background1" w:themeShade="80"/>
        </w:rPr>
        <w:t xml:space="preserve"> (Fry) Ltd v. Independent Advisory (Pty) Ltd. The Supreme Court of Appeal ruled that section 143 solely deals with fee agreements </w:t>
      </w:r>
      <w:r w:rsidRPr="00FE1980">
        <w:rPr>
          <w:color w:val="808080" w:themeColor="background1" w:themeShade="80"/>
        </w:rPr>
        <w:lastRenderedPageBreak/>
        <w:t>reached between practitioners and third parties and does not apply to the compensation of business rescue practitioners by the company under business rescue.</w:t>
      </w:r>
      <w:r>
        <w:rPr>
          <w:color w:val="808080" w:themeColor="background1" w:themeShade="80"/>
        </w:rPr>
        <w:t xml:space="preserve"> </w:t>
      </w:r>
    </w:p>
    <w:p w14:paraId="5E6490F9" w14:textId="77777777" w:rsidR="00FE1980" w:rsidRDefault="00FE1980" w:rsidP="00211EE8">
      <w:pPr>
        <w:rPr>
          <w:rFonts w:ascii="Avenir Next Demi Bold" w:hAnsi="Avenir Next Demi Bold"/>
          <w:b/>
          <w:bCs/>
          <w:lang w:val="en-GB"/>
        </w:rPr>
      </w:pPr>
    </w:p>
    <w:p w14:paraId="64B8F446" w14:textId="77777777" w:rsidR="009405D6" w:rsidRDefault="009405D6" w:rsidP="00211EE8">
      <w:pPr>
        <w:rPr>
          <w:rFonts w:ascii="Avenir Next Demi Bold" w:hAnsi="Avenir Next Demi Bold"/>
          <w:b/>
          <w:bCs/>
          <w:lang w:val="en-GB"/>
        </w:rPr>
      </w:pPr>
    </w:p>
    <w:p w14:paraId="7087886F" w14:textId="053887A8"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89966BF" w14:textId="5D00D4ED" w:rsidR="00CC2E46" w:rsidRPr="00CC2E46" w:rsidRDefault="003C33F2" w:rsidP="003C33F2">
      <w:pPr>
        <w:rPr>
          <w:color w:val="808080" w:themeColor="background1" w:themeShade="80"/>
        </w:rPr>
      </w:pPr>
      <w:r w:rsidRPr="003C33F2">
        <w:rPr>
          <w:color w:val="808080" w:themeColor="background1" w:themeShade="80"/>
        </w:rPr>
        <w:t xml:space="preserve">If a mutual debt set-off has occurred and the estate of the insolvent party is sequestrated within six months, the trustee may follow or disobey the set-off if it was not carried out in the regular course of business but with the </w:t>
      </w:r>
      <w:r w:rsidR="00865BE1" w:rsidRPr="003C33F2">
        <w:rPr>
          <w:color w:val="808080" w:themeColor="background1" w:themeShade="80"/>
        </w:rPr>
        <w:t>master’s</w:t>
      </w:r>
      <w:r w:rsidRPr="003C33F2">
        <w:rPr>
          <w:color w:val="808080" w:themeColor="background1" w:themeShade="80"/>
        </w:rPr>
        <w:t xml:space="preserve"> agreement.</w:t>
      </w:r>
      <w:r w:rsidR="009405D6">
        <w:rPr>
          <w:color w:val="808080" w:themeColor="background1" w:themeShade="80"/>
        </w:rPr>
        <w:t xml:space="preserve"> </w:t>
      </w:r>
      <w:r w:rsidRPr="003C33F2">
        <w:rPr>
          <w:color w:val="808080" w:themeColor="background1" w:themeShade="80"/>
        </w:rPr>
        <w:t xml:space="preserve">By ignoring the set-off, the trustee </w:t>
      </w:r>
      <w:r w:rsidR="00865BE1" w:rsidRPr="003C33F2">
        <w:rPr>
          <w:color w:val="808080" w:themeColor="background1" w:themeShade="80"/>
        </w:rPr>
        <w:t>can</w:t>
      </w:r>
      <w:r w:rsidRPr="003C33F2">
        <w:rPr>
          <w:color w:val="808080" w:themeColor="background1" w:themeShade="80"/>
        </w:rPr>
        <w:t xml:space="preserve"> recover the sum that the solvent party would have been responsible for paying.</w:t>
      </w:r>
      <w:r w:rsidR="00865BE1">
        <w:rPr>
          <w:color w:val="808080" w:themeColor="background1" w:themeShade="80"/>
        </w:rPr>
        <w:t xml:space="preserve"> </w:t>
      </w:r>
      <w:r w:rsidR="00865BE1" w:rsidRPr="00865BE1">
        <w:rPr>
          <w:color w:val="808080" w:themeColor="background1" w:themeShade="80"/>
        </w:rPr>
        <w:t>The court further ruled that nothing in section 143 implies that an agreement that does not fall under its purview is null and void. The court further pointed out that the Companies Act of 2008 contains no language that would allow a court to conclude that the legislature intended to invalidate such fee arrangements, and it does not penalize the negotiation of remuneration agreements with third parties. The Supreme Court of Appeal decided that compensation agreements, often known as success fee or special fee agreements, made between business rescue practitioners and outside parties (including creditors) and not covered by section 143 are neither forbidden by law nor against the public interest.</w:t>
      </w:r>
    </w:p>
    <w:p w14:paraId="24CBFF54" w14:textId="2007698E" w:rsidR="00211EE8" w:rsidRDefault="00211EE8" w:rsidP="00715982">
      <w:pPr>
        <w:rPr>
          <w:lang w:val="en-GB"/>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w:t>
      </w:r>
      <w:proofErr w:type="gramStart"/>
      <w:r w:rsidRPr="00715982">
        <w:rPr>
          <w:lang w:val="en-GB"/>
        </w:rPr>
        <w:t>entered into</w:t>
      </w:r>
      <w:proofErr w:type="gramEnd"/>
      <w:r w:rsidRPr="00715982">
        <w:rPr>
          <w:lang w:val="en-GB"/>
        </w:rPr>
        <w:t xml:space="preserve">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proofErr w:type="gramStart"/>
      <w:r w:rsidR="00FC5217">
        <w:rPr>
          <w:lang w:val="en-GB"/>
        </w:rPr>
        <w:t>in regard</w:t>
      </w:r>
      <w:r w:rsidRPr="00715982">
        <w:rPr>
          <w:lang w:val="en-GB"/>
        </w:rPr>
        <w:t xml:space="preserve"> to</w:t>
      </w:r>
      <w:proofErr w:type="gramEnd"/>
      <w:r w:rsidRPr="00715982">
        <w:rPr>
          <w:lang w:val="en-GB"/>
        </w:rPr>
        <w:t xml:space="preserve">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480F8425"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64567B8E" w14:textId="164D6DE3" w:rsidR="001A20D0" w:rsidRDefault="001A20D0" w:rsidP="00715982">
      <w:pPr>
        <w:rPr>
          <w:lang w:val="en-GB"/>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lastRenderedPageBreak/>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39C69307"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03ED9A21"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526DE4C7"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96FF" w14:textId="77777777" w:rsidR="00286DA8" w:rsidRDefault="00286DA8" w:rsidP="001016B0">
      <w:r>
        <w:separator/>
      </w:r>
    </w:p>
  </w:endnote>
  <w:endnote w:type="continuationSeparator" w:id="0">
    <w:p w14:paraId="043986B0" w14:textId="77777777" w:rsidR="00286DA8" w:rsidRDefault="00286DA8"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2C6A03DE" w:rsidR="001A20D0" w:rsidRDefault="001A1043" w:rsidP="008A20AC">
    <w:pPr>
      <w:pStyle w:val="Footer"/>
      <w:ind w:right="360"/>
    </w:pPr>
    <w:r>
      <w:t>StudentID.Paper1Formative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81AF" w14:textId="77777777" w:rsidR="00286DA8" w:rsidRDefault="00286DA8" w:rsidP="001016B0">
      <w:r>
        <w:separator/>
      </w:r>
    </w:p>
  </w:footnote>
  <w:footnote w:type="continuationSeparator" w:id="0">
    <w:p w14:paraId="1B614993" w14:textId="77777777" w:rsidR="00286DA8" w:rsidRDefault="00286DA8"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37BCB"/>
    <w:multiLevelType w:val="hybridMultilevel"/>
    <w:tmpl w:val="E428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 w15:restartNumberingAfterBreak="0">
    <w:nsid w:val="09A945F2"/>
    <w:multiLevelType w:val="hybridMultilevel"/>
    <w:tmpl w:val="B62087B0"/>
    <w:lvl w:ilvl="0" w:tplc="E9E82E26">
      <w:start w:val="1"/>
      <w:numFmt w:val="lowerLetter"/>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D9C0829"/>
    <w:multiLevelType w:val="hybridMultilevel"/>
    <w:tmpl w:val="9474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6FF4F95"/>
    <w:multiLevelType w:val="hybridMultilevel"/>
    <w:tmpl w:val="07385882"/>
    <w:lvl w:ilvl="0" w:tplc="E878E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7540586A"/>
    <w:multiLevelType w:val="hybridMultilevel"/>
    <w:tmpl w:val="63AE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679039854">
    <w:abstractNumId w:val="11"/>
  </w:num>
  <w:num w:numId="2" w16cid:durableId="306446382">
    <w:abstractNumId w:val="33"/>
  </w:num>
  <w:num w:numId="3" w16cid:durableId="572471095">
    <w:abstractNumId w:val="29"/>
  </w:num>
  <w:num w:numId="4" w16cid:durableId="461773823">
    <w:abstractNumId w:val="13"/>
  </w:num>
  <w:num w:numId="5" w16cid:durableId="838890779">
    <w:abstractNumId w:val="20"/>
  </w:num>
  <w:num w:numId="6" w16cid:durableId="1379477405">
    <w:abstractNumId w:val="21"/>
  </w:num>
  <w:num w:numId="7" w16cid:durableId="1349334949">
    <w:abstractNumId w:val="16"/>
  </w:num>
  <w:num w:numId="8" w16cid:durableId="1854372235">
    <w:abstractNumId w:val="3"/>
  </w:num>
  <w:num w:numId="9" w16cid:durableId="30158501">
    <w:abstractNumId w:val="26"/>
  </w:num>
  <w:num w:numId="10" w16cid:durableId="1828208179">
    <w:abstractNumId w:val="15"/>
  </w:num>
  <w:num w:numId="11" w16cid:durableId="1301570630">
    <w:abstractNumId w:val="1"/>
  </w:num>
  <w:num w:numId="12" w16cid:durableId="2094010637">
    <w:abstractNumId w:val="12"/>
  </w:num>
  <w:num w:numId="13" w16cid:durableId="1098020237">
    <w:abstractNumId w:val="14"/>
  </w:num>
  <w:num w:numId="14" w16cid:durableId="1568609968">
    <w:abstractNumId w:val="9"/>
  </w:num>
  <w:num w:numId="15" w16cid:durableId="1297416870">
    <w:abstractNumId w:val="31"/>
  </w:num>
  <w:num w:numId="16" w16cid:durableId="330644217">
    <w:abstractNumId w:val="27"/>
  </w:num>
  <w:num w:numId="17" w16cid:durableId="157771988">
    <w:abstractNumId w:val="28"/>
  </w:num>
  <w:num w:numId="18" w16cid:durableId="657348006">
    <w:abstractNumId w:val="24"/>
  </w:num>
  <w:num w:numId="19" w16cid:durableId="1959295047">
    <w:abstractNumId w:val="18"/>
  </w:num>
  <w:num w:numId="20" w16cid:durableId="1010107018">
    <w:abstractNumId w:val="35"/>
  </w:num>
  <w:num w:numId="21" w16cid:durableId="1986663671">
    <w:abstractNumId w:val="34"/>
  </w:num>
  <w:num w:numId="22" w16cid:durableId="1228615231">
    <w:abstractNumId w:val="23"/>
  </w:num>
  <w:num w:numId="23" w16cid:durableId="194974301">
    <w:abstractNumId w:val="7"/>
  </w:num>
  <w:num w:numId="24" w16cid:durableId="2121755379">
    <w:abstractNumId w:val="19"/>
  </w:num>
  <w:num w:numId="25" w16cid:durableId="919944205">
    <w:abstractNumId w:val="17"/>
  </w:num>
  <w:num w:numId="26" w16cid:durableId="507988374">
    <w:abstractNumId w:val="25"/>
  </w:num>
  <w:num w:numId="27" w16cid:durableId="122117168">
    <w:abstractNumId w:val="6"/>
  </w:num>
  <w:num w:numId="28" w16cid:durableId="1468163270">
    <w:abstractNumId w:val="5"/>
  </w:num>
  <w:num w:numId="29" w16cid:durableId="1084032004">
    <w:abstractNumId w:val="8"/>
  </w:num>
  <w:num w:numId="30" w16cid:durableId="2127040975">
    <w:abstractNumId w:val="32"/>
  </w:num>
  <w:num w:numId="31" w16cid:durableId="282149435">
    <w:abstractNumId w:val="0"/>
  </w:num>
  <w:num w:numId="32" w16cid:durableId="1126463598">
    <w:abstractNumId w:val="30"/>
  </w:num>
  <w:num w:numId="33" w16cid:durableId="253787005">
    <w:abstractNumId w:val="10"/>
  </w:num>
  <w:num w:numId="34" w16cid:durableId="606622325">
    <w:abstractNumId w:val="2"/>
  </w:num>
  <w:num w:numId="35" w16cid:durableId="4863742">
    <w:abstractNumId w:val="4"/>
  </w:num>
  <w:num w:numId="36" w16cid:durableId="79772483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1745A"/>
    <w:rsid w:val="00033D18"/>
    <w:rsid w:val="00034FC0"/>
    <w:rsid w:val="000451AA"/>
    <w:rsid w:val="00045503"/>
    <w:rsid w:val="000554CA"/>
    <w:rsid w:val="000672ED"/>
    <w:rsid w:val="00071EFD"/>
    <w:rsid w:val="00073862"/>
    <w:rsid w:val="000943C5"/>
    <w:rsid w:val="000D340C"/>
    <w:rsid w:val="000D5B7A"/>
    <w:rsid w:val="000F1349"/>
    <w:rsid w:val="000F7E2C"/>
    <w:rsid w:val="001016B0"/>
    <w:rsid w:val="001165C7"/>
    <w:rsid w:val="00117579"/>
    <w:rsid w:val="00120495"/>
    <w:rsid w:val="001336C3"/>
    <w:rsid w:val="001365BD"/>
    <w:rsid w:val="00194D76"/>
    <w:rsid w:val="001A1043"/>
    <w:rsid w:val="001A20D0"/>
    <w:rsid w:val="001A370C"/>
    <w:rsid w:val="001B4CC3"/>
    <w:rsid w:val="001C5588"/>
    <w:rsid w:val="001D2F9B"/>
    <w:rsid w:val="001E72C8"/>
    <w:rsid w:val="001F65C0"/>
    <w:rsid w:val="00210FED"/>
    <w:rsid w:val="00211EE8"/>
    <w:rsid w:val="00213DA5"/>
    <w:rsid w:val="00216818"/>
    <w:rsid w:val="00221041"/>
    <w:rsid w:val="00234313"/>
    <w:rsid w:val="00244935"/>
    <w:rsid w:val="00257792"/>
    <w:rsid w:val="00270263"/>
    <w:rsid w:val="0027308F"/>
    <w:rsid w:val="00283584"/>
    <w:rsid w:val="00286DA8"/>
    <w:rsid w:val="002A454F"/>
    <w:rsid w:val="002B7150"/>
    <w:rsid w:val="002C1C6F"/>
    <w:rsid w:val="002F2E23"/>
    <w:rsid w:val="002F49CF"/>
    <w:rsid w:val="00300368"/>
    <w:rsid w:val="00303C2F"/>
    <w:rsid w:val="00337E93"/>
    <w:rsid w:val="00342DDB"/>
    <w:rsid w:val="00343065"/>
    <w:rsid w:val="00345A22"/>
    <w:rsid w:val="00347074"/>
    <w:rsid w:val="00362356"/>
    <w:rsid w:val="00373930"/>
    <w:rsid w:val="003B06BB"/>
    <w:rsid w:val="003B4199"/>
    <w:rsid w:val="003B4A44"/>
    <w:rsid w:val="003C33F2"/>
    <w:rsid w:val="003C5D82"/>
    <w:rsid w:val="003D15EA"/>
    <w:rsid w:val="003D5F13"/>
    <w:rsid w:val="003D779F"/>
    <w:rsid w:val="004031E2"/>
    <w:rsid w:val="004165ED"/>
    <w:rsid w:val="00416B97"/>
    <w:rsid w:val="00445FE4"/>
    <w:rsid w:val="00454E81"/>
    <w:rsid w:val="00470B76"/>
    <w:rsid w:val="00472927"/>
    <w:rsid w:val="00483C38"/>
    <w:rsid w:val="0049694D"/>
    <w:rsid w:val="00497863"/>
    <w:rsid w:val="004B491D"/>
    <w:rsid w:val="004B6EE4"/>
    <w:rsid w:val="004C206D"/>
    <w:rsid w:val="004C6612"/>
    <w:rsid w:val="004C7945"/>
    <w:rsid w:val="00504A64"/>
    <w:rsid w:val="00542B4C"/>
    <w:rsid w:val="00562DC2"/>
    <w:rsid w:val="00563F78"/>
    <w:rsid w:val="00574240"/>
    <w:rsid w:val="005A6B28"/>
    <w:rsid w:val="005C0FF6"/>
    <w:rsid w:val="005E42AF"/>
    <w:rsid w:val="005E45BD"/>
    <w:rsid w:val="005F3F13"/>
    <w:rsid w:val="006027A2"/>
    <w:rsid w:val="00604564"/>
    <w:rsid w:val="00615FA7"/>
    <w:rsid w:val="0063766F"/>
    <w:rsid w:val="00643725"/>
    <w:rsid w:val="00647006"/>
    <w:rsid w:val="0066147F"/>
    <w:rsid w:val="006659FD"/>
    <w:rsid w:val="006773FC"/>
    <w:rsid w:val="0068617E"/>
    <w:rsid w:val="0069113C"/>
    <w:rsid w:val="0069468A"/>
    <w:rsid w:val="006B4C64"/>
    <w:rsid w:val="006D34F1"/>
    <w:rsid w:val="006D7A92"/>
    <w:rsid w:val="006E218D"/>
    <w:rsid w:val="006E3289"/>
    <w:rsid w:val="006E3E96"/>
    <w:rsid w:val="006E481A"/>
    <w:rsid w:val="006F7EC1"/>
    <w:rsid w:val="007120A0"/>
    <w:rsid w:val="00715982"/>
    <w:rsid w:val="00733777"/>
    <w:rsid w:val="00755F63"/>
    <w:rsid w:val="0077169C"/>
    <w:rsid w:val="00772EF9"/>
    <w:rsid w:val="007747E8"/>
    <w:rsid w:val="007836DB"/>
    <w:rsid w:val="007A1000"/>
    <w:rsid w:val="007B1B03"/>
    <w:rsid w:val="007B5C66"/>
    <w:rsid w:val="007B607D"/>
    <w:rsid w:val="007B6DD3"/>
    <w:rsid w:val="007F02EC"/>
    <w:rsid w:val="00804FC8"/>
    <w:rsid w:val="0081003D"/>
    <w:rsid w:val="00812BFB"/>
    <w:rsid w:val="00822A4C"/>
    <w:rsid w:val="00831ADF"/>
    <w:rsid w:val="00865BE1"/>
    <w:rsid w:val="008735A4"/>
    <w:rsid w:val="008A1E6D"/>
    <w:rsid w:val="008A20AC"/>
    <w:rsid w:val="008B18AE"/>
    <w:rsid w:val="008B2794"/>
    <w:rsid w:val="008C52C5"/>
    <w:rsid w:val="008C5DCB"/>
    <w:rsid w:val="008D7189"/>
    <w:rsid w:val="008E6B76"/>
    <w:rsid w:val="008F0B7C"/>
    <w:rsid w:val="008F4BC6"/>
    <w:rsid w:val="00903B0F"/>
    <w:rsid w:val="009143EA"/>
    <w:rsid w:val="00917205"/>
    <w:rsid w:val="0092725A"/>
    <w:rsid w:val="00930A74"/>
    <w:rsid w:val="009405D6"/>
    <w:rsid w:val="00954CBE"/>
    <w:rsid w:val="00957A2E"/>
    <w:rsid w:val="00960617"/>
    <w:rsid w:val="009700FE"/>
    <w:rsid w:val="009708AD"/>
    <w:rsid w:val="00977082"/>
    <w:rsid w:val="009803AC"/>
    <w:rsid w:val="00997291"/>
    <w:rsid w:val="009A4CEF"/>
    <w:rsid w:val="009B0913"/>
    <w:rsid w:val="009B7D40"/>
    <w:rsid w:val="009C7BB4"/>
    <w:rsid w:val="009D0718"/>
    <w:rsid w:val="009D27B4"/>
    <w:rsid w:val="009E2AEB"/>
    <w:rsid w:val="009E549B"/>
    <w:rsid w:val="00A0473E"/>
    <w:rsid w:val="00A06708"/>
    <w:rsid w:val="00A322BC"/>
    <w:rsid w:val="00A3411F"/>
    <w:rsid w:val="00A379F5"/>
    <w:rsid w:val="00A46438"/>
    <w:rsid w:val="00A514C8"/>
    <w:rsid w:val="00A52660"/>
    <w:rsid w:val="00A53A45"/>
    <w:rsid w:val="00A55B7D"/>
    <w:rsid w:val="00A70406"/>
    <w:rsid w:val="00A71C38"/>
    <w:rsid w:val="00A81BF9"/>
    <w:rsid w:val="00A82E83"/>
    <w:rsid w:val="00A90D21"/>
    <w:rsid w:val="00A91174"/>
    <w:rsid w:val="00A9217C"/>
    <w:rsid w:val="00A95393"/>
    <w:rsid w:val="00AC37E2"/>
    <w:rsid w:val="00AC3A2B"/>
    <w:rsid w:val="00AE0ADA"/>
    <w:rsid w:val="00AF146A"/>
    <w:rsid w:val="00B027D1"/>
    <w:rsid w:val="00B17707"/>
    <w:rsid w:val="00B20098"/>
    <w:rsid w:val="00B22A54"/>
    <w:rsid w:val="00B3456B"/>
    <w:rsid w:val="00B40A75"/>
    <w:rsid w:val="00B62FFC"/>
    <w:rsid w:val="00B91E5F"/>
    <w:rsid w:val="00BA24B1"/>
    <w:rsid w:val="00BA451C"/>
    <w:rsid w:val="00BB1EBB"/>
    <w:rsid w:val="00BD2DF8"/>
    <w:rsid w:val="00BE35A9"/>
    <w:rsid w:val="00BF243A"/>
    <w:rsid w:val="00C73233"/>
    <w:rsid w:val="00C77709"/>
    <w:rsid w:val="00C84F3F"/>
    <w:rsid w:val="00CC2E46"/>
    <w:rsid w:val="00CD618E"/>
    <w:rsid w:val="00CF24EA"/>
    <w:rsid w:val="00CF3421"/>
    <w:rsid w:val="00CF6645"/>
    <w:rsid w:val="00D47E91"/>
    <w:rsid w:val="00D62745"/>
    <w:rsid w:val="00D7312A"/>
    <w:rsid w:val="00D73BB0"/>
    <w:rsid w:val="00D82D88"/>
    <w:rsid w:val="00D85DAC"/>
    <w:rsid w:val="00DB58C0"/>
    <w:rsid w:val="00DC20CF"/>
    <w:rsid w:val="00DE6768"/>
    <w:rsid w:val="00DE6FDB"/>
    <w:rsid w:val="00E03AD1"/>
    <w:rsid w:val="00E12660"/>
    <w:rsid w:val="00E15B89"/>
    <w:rsid w:val="00E36270"/>
    <w:rsid w:val="00E40A16"/>
    <w:rsid w:val="00E5559A"/>
    <w:rsid w:val="00E56F95"/>
    <w:rsid w:val="00E64F45"/>
    <w:rsid w:val="00E755CA"/>
    <w:rsid w:val="00E756DF"/>
    <w:rsid w:val="00E7781C"/>
    <w:rsid w:val="00E83556"/>
    <w:rsid w:val="00E9506C"/>
    <w:rsid w:val="00EA22CB"/>
    <w:rsid w:val="00EA2B57"/>
    <w:rsid w:val="00EA6193"/>
    <w:rsid w:val="00EB6910"/>
    <w:rsid w:val="00EB6DA5"/>
    <w:rsid w:val="00ED192E"/>
    <w:rsid w:val="00EF285F"/>
    <w:rsid w:val="00EF5AB0"/>
    <w:rsid w:val="00F01D9B"/>
    <w:rsid w:val="00F11319"/>
    <w:rsid w:val="00F11598"/>
    <w:rsid w:val="00F254AF"/>
    <w:rsid w:val="00F6582B"/>
    <w:rsid w:val="00F80965"/>
    <w:rsid w:val="00FA596D"/>
    <w:rsid w:val="00FA602E"/>
    <w:rsid w:val="00FC074E"/>
    <w:rsid w:val="00FC5217"/>
    <w:rsid w:val="00FC6940"/>
    <w:rsid w:val="00FE1980"/>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Odette Kemp</cp:lastModifiedBy>
  <cp:revision>2</cp:revision>
  <cp:lastPrinted>2022-09-29T12:20:00Z</cp:lastPrinted>
  <dcterms:created xsi:type="dcterms:W3CDTF">2022-10-06T21:53:00Z</dcterms:created>
  <dcterms:modified xsi:type="dcterms:W3CDTF">2022-10-06T21:53:00Z</dcterms:modified>
</cp:coreProperties>
</file>