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61232C"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61232C">
        <w:rPr>
          <w:rFonts w:ascii="Avenir Next" w:hAnsi="Avenir Next"/>
          <w:color w:val="000000" w:themeColor="text1"/>
          <w:highlight w:val="yellow"/>
          <w:lang w:val="en-GB"/>
        </w:rPr>
        <w:t xml:space="preserve">(1) </w:t>
      </w:r>
      <w:r w:rsidR="00563F78" w:rsidRPr="0061232C">
        <w:rPr>
          <w:rFonts w:ascii="Avenir Next" w:hAnsi="Avenir Next"/>
          <w:color w:val="000000" w:themeColor="text1"/>
          <w:highlight w:val="yellow"/>
          <w:lang w:val="en-GB"/>
        </w:rPr>
        <w:t>and (2) are correct</w:t>
      </w:r>
      <w:r w:rsidR="007747E8" w:rsidRPr="0061232C">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9B5740"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9B5740">
        <w:rPr>
          <w:rFonts w:ascii="Avenir Next" w:hAnsi="Avenir Next" w:cs="Arial"/>
          <w:color w:val="000000" w:themeColor="text1"/>
          <w:lang w:val="en-GB"/>
        </w:rPr>
        <w:t>the debtor remains owner of his or her property and only the control of his or her estate passes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9B5740"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9B5740">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9B5740"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9B5740">
        <w:rPr>
          <w:rFonts w:ascii="Avenir Next" w:hAnsi="Avenir Next" w:cs="Arial"/>
          <w:color w:val="000000" w:themeColor="text1"/>
          <w:highlight w:val="yellow"/>
          <w:lang w:val="en-GB"/>
        </w:rPr>
        <w:t>d</w:t>
      </w:r>
      <w:r w:rsidR="00A9217C" w:rsidRPr="009B5740">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9B5740"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9B5740">
        <w:rPr>
          <w:rFonts w:ascii="Avenir Next" w:hAnsi="Avenir Next" w:cs="Arial"/>
          <w:color w:val="000000" w:themeColor="text1"/>
          <w:highlight w:val="yellow"/>
          <w:lang w:val="en-GB"/>
        </w:rPr>
        <w:t>(1)</w:t>
      </w:r>
      <w:r w:rsidR="00F254AF" w:rsidRPr="009B5740">
        <w:rPr>
          <w:rFonts w:ascii="Avenir Next" w:hAnsi="Avenir Next" w:cs="Arial"/>
          <w:color w:val="000000" w:themeColor="text1"/>
          <w:highlight w:val="yellow"/>
          <w:lang w:val="en-GB"/>
        </w:rPr>
        <w:t xml:space="preserve">, and </w:t>
      </w:r>
      <w:r w:rsidRPr="009B5740">
        <w:rPr>
          <w:rFonts w:ascii="Avenir Next" w:hAnsi="Avenir Next" w:cs="Arial"/>
          <w:color w:val="000000" w:themeColor="text1"/>
          <w:highlight w:val="yellow"/>
          <w:lang w:val="en-GB"/>
        </w:rPr>
        <w:t>(4)</w:t>
      </w:r>
      <w:r w:rsidR="00F254AF" w:rsidRPr="009B5740">
        <w:rPr>
          <w:rFonts w:ascii="Avenir Next" w:hAnsi="Avenir Next" w:cs="Arial"/>
          <w:color w:val="000000" w:themeColor="text1"/>
          <w:highlight w:val="yellow"/>
          <w:lang w:val="en-GB"/>
        </w:rPr>
        <w:t xml:space="preserve"> are correct</w:t>
      </w:r>
      <w:r w:rsidR="00194D76" w:rsidRPr="009B5740">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C15652"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C15652">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C15652"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C15652">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78082D" w:rsidRDefault="0066147F" w:rsidP="00FC5217">
      <w:pPr>
        <w:pStyle w:val="ListParagraph"/>
        <w:numPr>
          <w:ilvl w:val="0"/>
          <w:numId w:val="17"/>
        </w:numPr>
        <w:spacing w:after="0" w:line="240" w:lineRule="auto"/>
        <w:ind w:left="426"/>
        <w:rPr>
          <w:rFonts w:ascii="Avenir Next" w:hAnsi="Avenir Next"/>
          <w:highlight w:val="yellow"/>
          <w:lang w:val="en-GB"/>
        </w:rPr>
      </w:pPr>
      <w:r w:rsidRPr="0078082D">
        <w:rPr>
          <w:rFonts w:ascii="Avenir Next" w:hAnsi="Avenir Next"/>
          <w:highlight w:val="yellow"/>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896A1D" w:rsidRDefault="003D15EA" w:rsidP="00FC5217">
      <w:pPr>
        <w:pStyle w:val="ListParagraph"/>
        <w:numPr>
          <w:ilvl w:val="0"/>
          <w:numId w:val="18"/>
        </w:numPr>
        <w:spacing w:after="0" w:line="240" w:lineRule="auto"/>
        <w:ind w:left="426"/>
        <w:rPr>
          <w:rFonts w:ascii="Avenir Next" w:hAnsi="Avenir Next"/>
          <w:highlight w:val="yellow"/>
          <w:lang w:val="en-GB"/>
        </w:rPr>
      </w:pPr>
      <w:r w:rsidRPr="00896A1D">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896A1D">
        <w:rPr>
          <w:rFonts w:ascii="Avenir Next" w:hAnsi="Avenir Next"/>
          <w:highlight w:val="yellow"/>
          <w:lang w:val="en-GB"/>
        </w:rPr>
        <w:t>Both (a) and (b)</w:t>
      </w:r>
      <w:r w:rsidR="00BA451C" w:rsidRPr="00896A1D">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675B5B">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675B5B"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675B5B">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Pr="00675B5B"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675B5B">
        <w:rPr>
          <w:rFonts w:ascii="Avenir Next" w:hAnsi="Avenir Next" w:cs="Times New Roman"/>
          <w:highlight w:val="yellow"/>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Pr="003D28D6" w:rsidRDefault="00117579" w:rsidP="00FC5217">
      <w:pPr>
        <w:pStyle w:val="ListParagraph"/>
        <w:numPr>
          <w:ilvl w:val="2"/>
          <w:numId w:val="21"/>
        </w:numPr>
        <w:spacing w:after="0" w:line="240" w:lineRule="auto"/>
        <w:ind w:left="426"/>
        <w:rPr>
          <w:rFonts w:ascii="Avenir Next" w:hAnsi="Avenir Next" w:cs="Times New Roman"/>
          <w:highlight w:val="yellow"/>
          <w:lang w:val="en-GB"/>
        </w:rPr>
      </w:pPr>
      <w:r w:rsidRPr="003D28D6">
        <w:rPr>
          <w:rFonts w:ascii="Avenir Next" w:hAnsi="Avenir Next" w:cs="Times New Roman"/>
          <w:highlight w:val="yellow"/>
          <w:lang w:val="en-GB"/>
        </w:rPr>
        <w:t>The statement is correct since section 32 of the Insolvency Act provides for the return of the value of the property at the date of the dispositions</w:t>
      </w:r>
      <w:r w:rsidR="00FF62D0" w:rsidRPr="003D28D6">
        <w:rPr>
          <w:rFonts w:ascii="Avenir Next" w:hAnsi="Avenir Next" w:cs="Times New Roman"/>
          <w:highlight w:val="yellow"/>
          <w:lang w:val="en-GB"/>
        </w:rPr>
        <w:t>,</w:t>
      </w:r>
      <w:r w:rsidRPr="003D28D6">
        <w:rPr>
          <w:rFonts w:ascii="Avenir Next" w:hAnsi="Avenir Next" w:cs="Times New Roman"/>
          <w:highlight w:val="yellow"/>
          <w:lang w:val="en-GB"/>
        </w:rPr>
        <w:t xml:space="preserve"> as mentioned in the statement</w:t>
      </w:r>
      <w:r w:rsidR="00FA602E" w:rsidRPr="003D28D6">
        <w:rPr>
          <w:rFonts w:ascii="Avenir Next" w:hAnsi="Avenir Next" w:cs="Times New Roman"/>
          <w:highlight w:val="yellow"/>
          <w:lang w:val="en-GB"/>
        </w:rPr>
        <w:t xml:space="preserve"> above</w:t>
      </w:r>
      <w:r w:rsidRPr="003D28D6">
        <w:rPr>
          <w:rFonts w:ascii="Avenir Next" w:hAnsi="Avenir Next" w:cs="Times New Roman"/>
          <w:highlight w:val="yellow"/>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A90D21">
        <w:rPr>
          <w:rFonts w:ascii="Avenir Next" w:hAnsi="Avenir Next" w:cs="Times New Roman"/>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21789D"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21789D">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B17917">
        <w:rPr>
          <w:rFonts w:ascii="Avenir Next" w:hAnsi="Avenir Next" w:cs="Times New Roman"/>
          <w:highlight w:val="yellow"/>
          <w:lang w:val="en-GB"/>
        </w:rPr>
        <w:t xml:space="preserve">W </w:t>
      </w:r>
      <w:r w:rsidR="00A95393" w:rsidRPr="00B17917">
        <w:rPr>
          <w:rFonts w:ascii="Avenir Next" w:hAnsi="Avenir Next" w:cs="Times New Roman"/>
          <w:highlight w:val="yellow"/>
          <w:lang w:val="en-GB"/>
        </w:rPr>
        <w:t xml:space="preserve">has </w:t>
      </w:r>
      <w:r w:rsidRPr="00B17917">
        <w:rPr>
          <w:rFonts w:ascii="Avenir Next" w:hAnsi="Avenir Next" w:cs="Times New Roman"/>
          <w:highlight w:val="yellow"/>
          <w:lang w:val="en-GB"/>
        </w:rPr>
        <w:t xml:space="preserve">lost ownership </w:t>
      </w:r>
      <w:r w:rsidR="00A95393" w:rsidRPr="00B17917">
        <w:rPr>
          <w:rFonts w:ascii="Avenir Next" w:hAnsi="Avenir Next" w:cs="Times New Roman"/>
          <w:highlight w:val="yellow"/>
          <w:lang w:val="en-GB"/>
        </w:rPr>
        <w:t>of</w:t>
      </w:r>
      <w:r w:rsidRPr="00B17917">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r w:rsidRPr="00416B97">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 w14:paraId="32F7189E" w14:textId="698A9BED" w:rsidR="00416B97" w:rsidRPr="00416B97" w:rsidRDefault="00416B97" w:rsidP="00416B97">
      <w:r w:rsidRPr="002C1C6F">
        <w:t xml:space="preserve">Which of the following statements </w:t>
      </w:r>
      <w:r w:rsidRPr="002C1C6F">
        <w:rPr>
          <w:rFonts w:ascii="Avenir Next Demi Bold" w:hAnsi="Avenir Next Demi Bold"/>
          <w:b/>
          <w:bCs/>
        </w:rPr>
        <w:t>correctly</w:t>
      </w:r>
      <w:r w:rsidRPr="002C1C6F">
        <w:t xml:space="preserve"> describes the position of employees during</w:t>
      </w:r>
      <w:r w:rsidRPr="00416B97">
        <w:t xml:space="preserve"> business rescue proceedings?</w:t>
      </w:r>
    </w:p>
    <w:p w14:paraId="4C782EE7" w14:textId="77777777" w:rsidR="00416B97" w:rsidRPr="00416B97" w:rsidRDefault="00416B97" w:rsidP="00416B97"/>
    <w:p w14:paraId="39AC3507" w14:textId="77777777" w:rsidR="00416B97" w:rsidRPr="00073AD0" w:rsidRDefault="00416B97" w:rsidP="00FC5217">
      <w:pPr>
        <w:pStyle w:val="ListParagraph"/>
        <w:numPr>
          <w:ilvl w:val="0"/>
          <w:numId w:val="24"/>
        </w:numPr>
        <w:spacing w:after="0" w:line="240" w:lineRule="auto"/>
        <w:ind w:left="426"/>
        <w:rPr>
          <w:rFonts w:ascii="Avenir Next" w:hAnsi="Avenir Next"/>
          <w:highlight w:val="yellow"/>
        </w:rPr>
      </w:pPr>
      <w:r w:rsidRPr="00073AD0">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rPr>
      </w:pPr>
      <w:r w:rsidRPr="002C1C6F">
        <w:t xml:space="preserve">Which of the following statements is / are </w:t>
      </w:r>
      <w:r w:rsidRPr="002C1C6F">
        <w:rPr>
          <w:rFonts w:ascii="Avenir Next Demi Bold" w:hAnsi="Avenir Next Demi Bold"/>
          <w:b/>
          <w:bCs/>
        </w:rPr>
        <w:t>correct</w:t>
      </w:r>
      <w:r w:rsidRPr="002C1C6F">
        <w:t xml:space="preserve"> in relation to compromises between a</w:t>
      </w:r>
      <w:r w:rsidRPr="007120A0">
        <w:t xml:space="preserve"> company and its creditors in terms of section 155 of the Companies Act 2008?</w:t>
      </w:r>
      <w:r w:rsidR="00ED192E">
        <w:t xml:space="preserve"> </w:t>
      </w:r>
    </w:p>
    <w:p w14:paraId="7043313B" w14:textId="77777777" w:rsidR="007120A0" w:rsidRPr="007120A0" w:rsidRDefault="007120A0" w:rsidP="007120A0"/>
    <w:p w14:paraId="5CC49726" w14:textId="60C95DAB" w:rsidR="007120A0" w:rsidRPr="00B121FF" w:rsidRDefault="007120A0" w:rsidP="00FC5217">
      <w:pPr>
        <w:pStyle w:val="ListParagraph"/>
        <w:numPr>
          <w:ilvl w:val="0"/>
          <w:numId w:val="25"/>
        </w:numPr>
        <w:spacing w:after="0" w:line="240" w:lineRule="auto"/>
        <w:ind w:left="426"/>
        <w:rPr>
          <w:rFonts w:ascii="Avenir Next" w:hAnsi="Avenir Next"/>
          <w:highlight w:val="yellow"/>
        </w:rPr>
      </w:pPr>
      <w:r w:rsidRPr="00B121FF">
        <w:rPr>
          <w:rFonts w:ascii="Avenir Next" w:hAnsi="Avenir Next"/>
          <w:highlight w:val="yellow"/>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B121FF" w:rsidRDefault="007120A0" w:rsidP="00FC5217">
      <w:pPr>
        <w:pStyle w:val="ListParagraph"/>
        <w:numPr>
          <w:ilvl w:val="0"/>
          <w:numId w:val="25"/>
        </w:numPr>
        <w:spacing w:after="0" w:line="240" w:lineRule="auto"/>
        <w:ind w:left="426"/>
        <w:rPr>
          <w:rFonts w:ascii="Avenir Next" w:hAnsi="Avenir Next"/>
          <w:highlight w:val="yellow"/>
        </w:rPr>
      </w:pPr>
      <w:r w:rsidRPr="00B121FF">
        <w:rPr>
          <w:rFonts w:ascii="Avenir Next" w:hAnsi="Avenir Next"/>
          <w:highlight w:val="yellow"/>
          <w:lang w:val="en-US"/>
        </w:rPr>
        <w:lastRenderedPageBreak/>
        <w:t>A liquidator, where a company is being wound up, may propose an arrangement or a compromise of the company's financial obligations.</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r w:rsidRPr="003230D3">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pPr>
      <w:r w:rsidRPr="003230D3">
        <w:t xml:space="preserve">The development and implementation of a business rescue plan to rescue </w:t>
      </w:r>
      <w:r>
        <w:t>the</w:t>
      </w:r>
      <w:r w:rsidRPr="003230D3">
        <w:t xml:space="preserve"> financially distressed company, which plan has the aim of allowing the company to continue in existence on a solvent basis</w:t>
      </w:r>
      <w:r>
        <w:t xml:space="preserve">. </w:t>
      </w:r>
    </w:p>
    <w:p w14:paraId="0861C2DB" w14:textId="77777777" w:rsidR="00E12660" w:rsidRPr="003230D3" w:rsidRDefault="00E12660" w:rsidP="00E12660"/>
    <w:p w14:paraId="297CFDC3" w14:textId="77777777" w:rsidR="00E12660" w:rsidRPr="00B121FF" w:rsidRDefault="00E12660" w:rsidP="00FC5217">
      <w:pPr>
        <w:numPr>
          <w:ilvl w:val="0"/>
          <w:numId w:val="26"/>
        </w:numPr>
        <w:rPr>
          <w:highlight w:val="yellow"/>
        </w:rPr>
      </w:pPr>
      <w:r w:rsidRPr="00B121FF">
        <w:rPr>
          <w:highlight w:val="yellow"/>
        </w:rPr>
        <w:t xml:space="preserve">To provide a better return for the financially distressed company's creditors or shareholders than would result from the immediate liquidation of the company. </w:t>
      </w:r>
    </w:p>
    <w:p w14:paraId="3B1FF024" w14:textId="77777777" w:rsidR="00E12660" w:rsidRPr="003230D3" w:rsidRDefault="00E12660" w:rsidP="00E12660"/>
    <w:p w14:paraId="534C67CC" w14:textId="7C9C0A70" w:rsidR="00E12660" w:rsidRPr="00A90D21" w:rsidRDefault="00E12660" w:rsidP="00FC5217">
      <w:pPr>
        <w:numPr>
          <w:ilvl w:val="0"/>
          <w:numId w:val="26"/>
        </w:numPr>
      </w:pPr>
      <w:r w:rsidRPr="00A90D21">
        <w:t xml:space="preserve">Both </w:t>
      </w:r>
      <w:r w:rsidR="00FF44ED" w:rsidRPr="00A90D21">
        <w:t xml:space="preserve">statements </w:t>
      </w:r>
      <w:r w:rsidRPr="00A90D21">
        <w:t>(a) and (b)</w:t>
      </w:r>
      <w:r w:rsidR="00FF44ED" w:rsidRPr="00A90D21">
        <w:t xml:space="preserve"> are correct</w:t>
      </w:r>
      <w:r w:rsidRPr="00A90D21">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pPr>
      <w:r w:rsidRPr="003230D3">
        <w:t>None of the above</w:t>
      </w:r>
      <w:r w:rsidR="00FF44ED">
        <w:t xml:space="preserve"> statements are correct</w:t>
      </w:r>
      <w:r w:rsidRPr="003230D3">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B121FF" w:rsidRDefault="00EF285F" w:rsidP="00FC5217">
      <w:pPr>
        <w:pStyle w:val="ListParagraph"/>
        <w:numPr>
          <w:ilvl w:val="0"/>
          <w:numId w:val="13"/>
        </w:numPr>
        <w:spacing w:after="0" w:line="240" w:lineRule="auto"/>
        <w:ind w:left="426"/>
        <w:rPr>
          <w:rFonts w:ascii="Avenir Next" w:hAnsi="Avenir Next"/>
          <w:highlight w:val="yellow"/>
          <w:lang w:val="en-GB"/>
        </w:rPr>
      </w:pPr>
      <w:r w:rsidRPr="00B121FF">
        <w:rPr>
          <w:rFonts w:ascii="Avenir Next" w:hAnsi="Avenir Next"/>
          <w:highlight w:val="yellow"/>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656862">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603C4426" w:rsidR="00A90D21" w:rsidRPr="00CC2E46" w:rsidRDefault="00CC2E46" w:rsidP="00A514C8">
      <w:pPr>
        <w:rPr>
          <w:color w:val="808080" w:themeColor="background1" w:themeShade="80"/>
        </w:rPr>
      </w:pPr>
      <w:r w:rsidRPr="00CC2E46">
        <w:rPr>
          <w:color w:val="808080" w:themeColor="background1" w:themeShade="80"/>
        </w:rPr>
        <w:t>[</w:t>
      </w:r>
      <w:r w:rsidR="00656862">
        <w:rPr>
          <w:color w:val="808080" w:themeColor="background1" w:themeShade="80"/>
        </w:rPr>
        <w:t xml:space="preserve">The debts owing to the insolvent debtor become assets in the insolvent estate and should be realized by the trustee and utilized toward the payment of creditors. Normally, these will appear in the trustee’s </w:t>
      </w:r>
      <w:r w:rsidR="00FC41FD">
        <w:rPr>
          <w:color w:val="808080" w:themeColor="background1" w:themeShade="80"/>
        </w:rPr>
        <w:t>account and he will list all such debts due to the insolvent estate and will further state why such debts have not been realized.</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5C6DD82C" w:rsidR="00CC2E46" w:rsidRPr="00CC2E46" w:rsidRDefault="00CC2E46" w:rsidP="00CC2E46">
      <w:pPr>
        <w:rPr>
          <w:color w:val="808080" w:themeColor="background1" w:themeShade="80"/>
        </w:rPr>
      </w:pPr>
      <w:r w:rsidRPr="00CC2E46">
        <w:rPr>
          <w:color w:val="808080" w:themeColor="background1" w:themeShade="80"/>
        </w:rPr>
        <w:t>[T</w:t>
      </w:r>
      <w:r w:rsidR="00BE73D2">
        <w:rPr>
          <w:color w:val="808080" w:themeColor="background1" w:themeShade="80"/>
        </w:rPr>
        <w:t xml:space="preserve">he requirement basically states that there must be some form of advantage to </w:t>
      </w:r>
      <w:r w:rsidR="00B22155">
        <w:rPr>
          <w:color w:val="808080" w:themeColor="background1" w:themeShade="80"/>
        </w:rPr>
        <w:t>the general bo</w:t>
      </w:r>
      <w:r w:rsidR="009E31FB">
        <w:rPr>
          <w:color w:val="808080" w:themeColor="background1" w:themeShade="80"/>
        </w:rPr>
        <w:t xml:space="preserve">dy </w:t>
      </w:r>
      <w:r w:rsidR="00B22155">
        <w:rPr>
          <w:color w:val="808080" w:themeColor="background1" w:themeShade="80"/>
        </w:rPr>
        <w:t xml:space="preserve">of </w:t>
      </w:r>
      <w:r w:rsidR="00BE73D2">
        <w:rPr>
          <w:color w:val="808080" w:themeColor="background1" w:themeShade="80"/>
        </w:rPr>
        <w:t xml:space="preserve">creditors </w:t>
      </w:r>
      <w:r w:rsidR="00B22155">
        <w:rPr>
          <w:color w:val="808080" w:themeColor="background1" w:themeShade="80"/>
        </w:rPr>
        <w:t xml:space="preserve">that they will receive some sort of benefit </w:t>
      </w:r>
      <w:r w:rsidR="00BE73D2">
        <w:rPr>
          <w:color w:val="808080" w:themeColor="background1" w:themeShade="80"/>
        </w:rPr>
        <w:t>should the sequestration be granted.</w:t>
      </w:r>
      <w:r w:rsidR="00184351">
        <w:rPr>
          <w:color w:val="808080" w:themeColor="background1" w:themeShade="80"/>
        </w:rPr>
        <w:t xml:space="preserve"> Although in both instances there must be </w:t>
      </w:r>
      <w:r w:rsidR="00B22155">
        <w:rPr>
          <w:color w:val="808080" w:themeColor="background1" w:themeShade="80"/>
        </w:rPr>
        <w:t>a reasonable prospect that there will be a noticeable benefit to creditors</w:t>
      </w:r>
      <w:r w:rsidR="00184351">
        <w:rPr>
          <w:color w:val="808080" w:themeColor="background1" w:themeShade="80"/>
        </w:rPr>
        <w:t xml:space="preserve">, in voluntary surrender there must be positive proof of this advantage, </w:t>
      </w:r>
      <w:r w:rsidR="00B22155">
        <w:rPr>
          <w:color w:val="808080" w:themeColor="background1" w:themeShade="80"/>
        </w:rPr>
        <w:t xml:space="preserve">while in </w:t>
      </w:r>
      <w:r w:rsidR="00BE73D2">
        <w:rPr>
          <w:color w:val="808080" w:themeColor="background1" w:themeShade="80"/>
        </w:rPr>
        <w:t xml:space="preserve"> </w:t>
      </w:r>
      <w:r w:rsidR="009E31FB">
        <w:rPr>
          <w:color w:val="808080" w:themeColor="background1" w:themeShade="80"/>
        </w:rPr>
        <w:t xml:space="preserve">compulsory sequestration the burden of proof lies on the applicant to prove a reasonable prospect that </w:t>
      </w:r>
      <w:r w:rsidR="00184351">
        <w:rPr>
          <w:color w:val="808080" w:themeColor="background1" w:themeShade="80"/>
        </w:rPr>
        <w:t>sequestration</w:t>
      </w:r>
      <w:r w:rsidR="009E31FB">
        <w:rPr>
          <w:color w:val="808080" w:themeColor="background1" w:themeShade="80"/>
        </w:rPr>
        <w:t xml:space="preserve"> will be to the advantage of creditors</w:t>
      </w:r>
      <w:r w:rsidRPr="00CC2E46">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3778C426" w:rsidR="00CC2E46" w:rsidRPr="00CC2E46" w:rsidRDefault="00CC2E46" w:rsidP="00CC2E46">
      <w:pPr>
        <w:rPr>
          <w:color w:val="808080" w:themeColor="background1" w:themeShade="80"/>
        </w:rPr>
      </w:pPr>
      <w:r w:rsidRPr="00CC2E46">
        <w:rPr>
          <w:color w:val="808080" w:themeColor="background1" w:themeShade="80"/>
        </w:rPr>
        <w:t>[T</w:t>
      </w:r>
      <w:r w:rsidR="00BB6A59">
        <w:rPr>
          <w:color w:val="808080" w:themeColor="background1" w:themeShade="80"/>
        </w:rPr>
        <w:t xml:space="preserve">he master may issue a subpoena </w:t>
      </w:r>
      <w:r w:rsidR="009D664C">
        <w:rPr>
          <w:color w:val="808080" w:themeColor="background1" w:themeShade="80"/>
        </w:rPr>
        <w:t>for a</w:t>
      </w:r>
      <w:r w:rsidR="00BB6A59">
        <w:rPr>
          <w:color w:val="808080" w:themeColor="background1" w:themeShade="80"/>
        </w:rPr>
        <w:t xml:space="preserve"> witness to appear at the insolvency inquiry.</w:t>
      </w:r>
      <w:r w:rsidR="009D664C">
        <w:rPr>
          <w:color w:val="808080" w:themeColor="background1" w:themeShade="80"/>
        </w:rPr>
        <w:t xml:space="preserve"> The Subpoena may be issued in the same manner as a subpoena in civil proceedings and served on the witness by the sheriff of the court.</w:t>
      </w:r>
      <w:r w:rsidR="00BB6A59">
        <w:rPr>
          <w:color w:val="808080" w:themeColor="background1" w:themeShade="80"/>
        </w:rPr>
        <w:t xml:space="preserve"> </w:t>
      </w:r>
      <w:r w:rsidR="00AA7114">
        <w:rPr>
          <w:color w:val="808080" w:themeColor="background1" w:themeShade="80"/>
        </w:rPr>
        <w:t>In terms of the companies act any person who may be able to furnish information or may have – in their possession – any book or document that may be beneficial to the inv</w:t>
      </w:r>
      <w:r w:rsidR="004E2B4F">
        <w:rPr>
          <w:color w:val="808080" w:themeColor="background1" w:themeShade="80"/>
        </w:rPr>
        <w:t>estigation into the company’s</w:t>
      </w:r>
      <w:r w:rsidR="005F4749">
        <w:rPr>
          <w:color w:val="808080" w:themeColor="background1" w:themeShade="80"/>
        </w:rPr>
        <w:t xml:space="preserve"> </w:t>
      </w:r>
      <w:r w:rsidR="003D6871">
        <w:rPr>
          <w:color w:val="808080" w:themeColor="background1" w:themeShade="80"/>
        </w:rPr>
        <w:t xml:space="preserve"> </w:t>
      </w:r>
      <w:r w:rsidR="004E2B4F">
        <w:rPr>
          <w:color w:val="808080" w:themeColor="background1" w:themeShade="80"/>
        </w:rPr>
        <w:t xml:space="preserve">affairs. </w:t>
      </w:r>
      <w:r w:rsidR="009D664C">
        <w:rPr>
          <w:color w:val="808080" w:themeColor="background1" w:themeShade="80"/>
        </w:rPr>
        <w:t>The Insolvency Act makes the same provisions, in terms of section 152 the master may issue a subpoena for either the insolvent or any other person who can provide information on the insolvent estate and its administration.</w:t>
      </w:r>
      <w:r w:rsidRPr="00CC2E46">
        <w:rPr>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3E9EA89C" w:rsidR="00CC2E46" w:rsidRPr="00CC2E46" w:rsidRDefault="00CC2E46" w:rsidP="00CC2E46">
      <w:pPr>
        <w:rPr>
          <w:color w:val="808080" w:themeColor="background1" w:themeShade="80"/>
        </w:rPr>
      </w:pPr>
      <w:r w:rsidRPr="00CC2E46">
        <w:rPr>
          <w:color w:val="808080" w:themeColor="background1" w:themeShade="80"/>
        </w:rPr>
        <w:t>[</w:t>
      </w:r>
      <w:r w:rsidR="00F575C5">
        <w:rPr>
          <w:color w:val="808080" w:themeColor="background1" w:themeShade="80"/>
        </w:rPr>
        <w:t>The first step is determining whether the section can apply to a winding up a company; the second step is determining whether this is specifically provided for or set out in the act; and the third step is determining whether the provision applies to the mode of liquidation which is being undertaken</w:t>
      </w:r>
      <w:r w:rsidRPr="00CC2E46">
        <w:rPr>
          <w:color w:val="808080" w:themeColor="background1" w:themeShade="80"/>
        </w:rPr>
        <w:t>]</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55069B5E" w:rsidR="00CC2E46" w:rsidRPr="00CC2E46" w:rsidRDefault="00CC2E46" w:rsidP="00CC2E46">
      <w:pPr>
        <w:rPr>
          <w:color w:val="808080" w:themeColor="background1" w:themeShade="80"/>
        </w:rPr>
      </w:pPr>
      <w:r w:rsidRPr="00CC2E46">
        <w:rPr>
          <w:color w:val="808080" w:themeColor="background1" w:themeShade="80"/>
        </w:rPr>
        <w:lastRenderedPageBreak/>
        <w:t>[</w:t>
      </w:r>
      <w:r w:rsidR="006D0D97">
        <w:rPr>
          <w:color w:val="808080" w:themeColor="background1" w:themeShade="80"/>
        </w:rPr>
        <w:t>When a partnership estate is insolvent and consequently sequestrated, the estates of the partners individual estates are also sequestrated. This is in terms of section 13(1) of the Insolvency Act and the section applies to all the estates of the partners in a partnership.</w:t>
      </w:r>
      <w:r w:rsidR="00F575C5">
        <w:rPr>
          <w:color w:val="808080" w:themeColor="background1" w:themeShade="80"/>
        </w:rPr>
        <w:t xml:space="preserve"> </w:t>
      </w:r>
      <w:r w:rsidRPr="00CC2E46">
        <w:rPr>
          <w:color w:val="808080" w:themeColor="background1" w:themeShade="80"/>
        </w:rPr>
        <w:t>]</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1E6790C4" w:rsidR="00CC2E46" w:rsidRPr="00CC2E46" w:rsidRDefault="00CC2E46" w:rsidP="00CC2E46">
      <w:pPr>
        <w:rPr>
          <w:color w:val="808080" w:themeColor="background1" w:themeShade="80"/>
        </w:rPr>
      </w:pPr>
      <w:r w:rsidRPr="00CC2E46">
        <w:rPr>
          <w:color w:val="808080" w:themeColor="background1" w:themeShade="80"/>
        </w:rPr>
        <w:t>[</w:t>
      </w:r>
      <w:r w:rsidR="006D0D97">
        <w:rPr>
          <w:color w:val="808080" w:themeColor="background1" w:themeShade="80"/>
        </w:rPr>
        <w:t xml:space="preserve">If the insolvent, having published a notice of surrender, then fails to lodge a statement of affairs or the statement so lodged is incorrect or incomplete, the publication of the notice will then constitute an act of insolvency and will allow the creditors to </w:t>
      </w:r>
      <w:r w:rsidR="00B21D99">
        <w:rPr>
          <w:color w:val="808080" w:themeColor="background1" w:themeShade="80"/>
        </w:rPr>
        <w:t>bring an application for the compulsory sequestration of the estate.</w:t>
      </w:r>
      <w:r w:rsidRPr="00CC2E46">
        <w:rPr>
          <w:color w:val="808080" w:themeColor="background1" w:themeShade="80"/>
        </w:rPr>
        <w:t>]</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355F09B3" w:rsidR="00CC2E46" w:rsidRPr="00CC2E46" w:rsidRDefault="00CC2E46" w:rsidP="00CC2E46">
      <w:pPr>
        <w:rPr>
          <w:color w:val="808080" w:themeColor="background1" w:themeShade="80"/>
        </w:rPr>
      </w:pPr>
      <w:r w:rsidRPr="00CC2E46">
        <w:rPr>
          <w:color w:val="808080" w:themeColor="background1" w:themeShade="80"/>
        </w:rPr>
        <w:t>[</w:t>
      </w:r>
      <w:r w:rsidR="00B21D99">
        <w:rPr>
          <w:color w:val="808080" w:themeColor="background1" w:themeShade="80"/>
        </w:rPr>
        <w:t>In terms of the Pension Funds Act the pensionable interest of a person whose estate has been sequestrated does not form part of their insolvent estate</w:t>
      </w:r>
      <w:r w:rsidRPr="00CC2E46">
        <w:rPr>
          <w:color w:val="808080" w:themeColor="background1" w:themeShade="80"/>
        </w:rPr>
        <w:t>]</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2431EBD1" w14:textId="60A092B3" w:rsidR="003460E8" w:rsidRDefault="00CC2E46" w:rsidP="00CC2E46">
      <w:pPr>
        <w:rPr>
          <w:color w:val="808080" w:themeColor="background1" w:themeShade="80"/>
        </w:rPr>
      </w:pPr>
      <w:r w:rsidRPr="00CC2E46">
        <w:rPr>
          <w:color w:val="808080" w:themeColor="background1" w:themeShade="80"/>
        </w:rPr>
        <w:t>[</w:t>
      </w:r>
      <w:r w:rsidR="0063027B">
        <w:rPr>
          <w:color w:val="808080" w:themeColor="background1" w:themeShade="80"/>
        </w:rPr>
        <w:t xml:space="preserve">Section 63 of the Long-Term Insurance Act 1998 was amended by the General Law amendment Act during 2014 and as a result the cap in the protection afforded by the section, which was previously R50 000.00, has been lifted and/or removed by the amendment. </w:t>
      </w:r>
      <w:r w:rsidR="003821BB">
        <w:rPr>
          <w:color w:val="808080" w:themeColor="background1" w:themeShade="80"/>
        </w:rPr>
        <w:t xml:space="preserve">Traditionally this includes policies like the insolvent or sequestrated person’s life and disability covers and also includes investment policies like life annuities and the like. The policy concerned need to either cover the insolvent – as the life insured – or their spouse and need to have existed for more than 3 years to fall into the ambit of the application of this section. </w:t>
      </w:r>
      <w:r w:rsidR="003460E8">
        <w:rPr>
          <w:color w:val="808080" w:themeColor="background1" w:themeShade="80"/>
        </w:rPr>
        <w:t>And the person who claims that the policy or its pay</w:t>
      </w:r>
      <w:r w:rsidR="000D729D">
        <w:rPr>
          <w:color w:val="808080" w:themeColor="background1" w:themeShade="80"/>
        </w:rPr>
        <w:t>-</w:t>
      </w:r>
      <w:r w:rsidR="003460E8">
        <w:rPr>
          <w:color w:val="808080" w:themeColor="background1" w:themeShade="80"/>
        </w:rPr>
        <w:t>out is protected under this section bears the burden of truth to prove this, and further such pay out must have accrued to the insolvent’s spouse, child or parent.</w:t>
      </w:r>
    </w:p>
    <w:p w14:paraId="228A9B6A" w14:textId="77777777" w:rsidR="003460E8" w:rsidRDefault="003460E8" w:rsidP="00CC2E46">
      <w:pPr>
        <w:rPr>
          <w:color w:val="808080" w:themeColor="background1" w:themeShade="80"/>
        </w:rPr>
      </w:pPr>
    </w:p>
    <w:p w14:paraId="3C879A96" w14:textId="45164827" w:rsidR="00B74A79" w:rsidRDefault="003460E8" w:rsidP="00470B76">
      <w:pPr>
        <w:rPr>
          <w:color w:val="808080" w:themeColor="background1" w:themeShade="80"/>
        </w:rPr>
      </w:pPr>
      <w:r>
        <w:rPr>
          <w:color w:val="808080" w:themeColor="background1" w:themeShade="80"/>
        </w:rPr>
        <w:t xml:space="preserve">In the Pieterse matter, the apex court </w:t>
      </w:r>
      <w:r w:rsidR="00983944">
        <w:rPr>
          <w:color w:val="808080" w:themeColor="background1" w:themeShade="80"/>
        </w:rPr>
        <w:t>held</w:t>
      </w:r>
      <w:r>
        <w:rPr>
          <w:color w:val="808080" w:themeColor="background1" w:themeShade="80"/>
        </w:rPr>
        <w:t xml:space="preserve"> that this section does not dictate the procedure for the payment of </w:t>
      </w:r>
      <w:r w:rsidR="00983944">
        <w:rPr>
          <w:color w:val="808080" w:themeColor="background1" w:themeShade="80"/>
        </w:rPr>
        <w:t xml:space="preserve">policy benefits and further stated that because the policy had a nominated beneficiary and the proceeds would be paid to such beneficiary, the trustee of the deceased and insolvent estate had no claim for the recovery of the said benefit from the policy’s nominated beneficiary. </w:t>
      </w:r>
      <w:r w:rsidR="00DD4190">
        <w:rPr>
          <w:color w:val="808080" w:themeColor="background1" w:themeShade="80"/>
        </w:rPr>
        <w:t xml:space="preserve">In a somewhat contrasting but more interesting discussion the apex court was faced with a </w:t>
      </w:r>
      <w:r w:rsidR="001544B8">
        <w:rPr>
          <w:color w:val="808080" w:themeColor="background1" w:themeShade="80"/>
        </w:rPr>
        <w:t xml:space="preserve">similar situation in the matter of Malcom Wentzel where in that matter the insolvent was in fact a beneficiary </w:t>
      </w:r>
      <w:r w:rsidR="001544B8">
        <w:rPr>
          <w:color w:val="808080" w:themeColor="background1" w:themeShade="80"/>
        </w:rPr>
        <w:lastRenderedPageBreak/>
        <w:t xml:space="preserve">in terms of their deceased spouse’s life insurance policy. Before the passing of Wentzel’s spouse the </w:t>
      </w:r>
      <w:r w:rsidR="008C7465">
        <w:rPr>
          <w:color w:val="808080" w:themeColor="background1" w:themeShade="80"/>
        </w:rPr>
        <w:t>party’s</w:t>
      </w:r>
      <w:r w:rsidR="001544B8">
        <w:rPr>
          <w:color w:val="808080" w:themeColor="background1" w:themeShade="80"/>
        </w:rPr>
        <w:t xml:space="preserve"> joint estate was finally sequestrated and at</w:t>
      </w:r>
      <w:r w:rsidR="00E9329D">
        <w:rPr>
          <w:color w:val="808080" w:themeColor="background1" w:themeShade="80"/>
        </w:rPr>
        <w:t xml:space="preserve"> the time of</w:t>
      </w:r>
      <w:r w:rsidR="001544B8">
        <w:rPr>
          <w:color w:val="808080" w:themeColor="background1" w:themeShade="80"/>
        </w:rPr>
        <w:t xml:space="preserve"> her passing, the policy benefit accrued to the parties and Wentzel’s insolvent estate as the beneficiary</w:t>
      </w:r>
      <w:r w:rsidR="00E9329D">
        <w:rPr>
          <w:color w:val="808080" w:themeColor="background1" w:themeShade="80"/>
        </w:rPr>
        <w:t xml:space="preserve">. The apex court had to decide whether an unrehabilitated insolvent who was a beneficiary to a policy was entitled to the protection in terms of section 63, and although the court did not specifically mention section 63, in dealing with the matter the section was considered </w:t>
      </w:r>
      <w:r w:rsidR="006528AB">
        <w:rPr>
          <w:color w:val="808080" w:themeColor="background1" w:themeShade="80"/>
        </w:rPr>
        <w:t>as the court mentioned that the policy benefit did not devolve upon him but was payable to him as a nominated beneficiary under the policy. In this situation it is trite that the protection in Pieterse did not apply. In this instance the court distinguished Wentzel from the Pieterse matter and found that subsections 20(2) and 23 applied, and that the proceeds from the policy accrued to Wentzel’s insolvent and could be realized to the benefit of his creditors as he remained as an unrehabilitated insolvent.</w:t>
      </w:r>
    </w:p>
    <w:p w14:paraId="3EECF86A" w14:textId="77777777" w:rsidR="00B74A79" w:rsidRDefault="00B74A79" w:rsidP="00470B76">
      <w:pPr>
        <w:rPr>
          <w:color w:val="808080" w:themeColor="background1" w:themeShade="80"/>
        </w:rPr>
      </w:pPr>
    </w:p>
    <w:p w14:paraId="63E96747" w14:textId="006A370D" w:rsidR="00A514C8" w:rsidRPr="00E9329D" w:rsidRDefault="00B74A79" w:rsidP="00470B76">
      <w:pPr>
        <w:rPr>
          <w:color w:val="808080" w:themeColor="background1" w:themeShade="80"/>
        </w:rPr>
      </w:pPr>
      <w:r>
        <w:rPr>
          <w:color w:val="808080" w:themeColor="background1" w:themeShade="80"/>
        </w:rPr>
        <w:t xml:space="preserve">The decision in Wentzel is somewhat </w:t>
      </w:r>
      <w:r w:rsidR="000D729D" w:rsidRPr="008C7465">
        <w:rPr>
          <w:color w:val="808080" w:themeColor="background1" w:themeShade="80"/>
        </w:rPr>
        <w:t>criticised</w:t>
      </w:r>
      <w:r>
        <w:rPr>
          <w:color w:val="808080" w:themeColor="background1" w:themeShade="80"/>
        </w:rPr>
        <w:t xml:space="preserve"> as the court failed to pay attention</w:t>
      </w:r>
      <w:r w:rsidR="005241D7">
        <w:rPr>
          <w:color w:val="808080" w:themeColor="background1" w:themeShade="80"/>
        </w:rPr>
        <w:t xml:space="preserve"> the explicit provisions of section 63 which, if fully considered and applied, would recognize the policy as being provided or to be provided to a person being Mr. Wentzel; in which that person or their spouse is the life insured, this provision is particularly important as the lives of both spouses were covered in terms of the policies</w:t>
      </w:r>
      <w:r w:rsidR="0071535D">
        <w:rPr>
          <w:color w:val="808080" w:themeColor="background1" w:themeShade="80"/>
        </w:rPr>
        <w:t xml:space="preserve">. For these reasons it is opined that the provisions of section 63 did in fact apply to </w:t>
      </w:r>
      <w:r w:rsidR="000D729D">
        <w:rPr>
          <w:color w:val="808080" w:themeColor="background1" w:themeShade="80"/>
        </w:rPr>
        <w:t>Wentzel’s</w:t>
      </w:r>
      <w:r w:rsidR="0071535D">
        <w:rPr>
          <w:color w:val="808080" w:themeColor="background1" w:themeShade="80"/>
        </w:rPr>
        <w:t xml:space="preserve"> policy and the benefit should have been recognized and protected in terms of section 63</w:t>
      </w:r>
      <w:r w:rsidR="005241D7">
        <w:rPr>
          <w:color w:val="808080" w:themeColor="background1" w:themeShade="80"/>
        </w:rPr>
        <w:t xml:space="preserve"> </w:t>
      </w:r>
      <w:r w:rsidR="00CC2E46" w:rsidRPr="00CC2E46">
        <w:rPr>
          <w:color w:val="808080" w:themeColor="background1" w:themeShade="80"/>
        </w:rPr>
        <w:t>]</w:t>
      </w:r>
    </w:p>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67FD883" w14:textId="6BF9E6D5" w:rsidR="00BC4936" w:rsidRDefault="00CC2E46" w:rsidP="00CC2E46">
      <w:pPr>
        <w:rPr>
          <w:color w:val="808080" w:themeColor="background1" w:themeShade="80"/>
        </w:rPr>
      </w:pPr>
      <w:r w:rsidRPr="00CC2E46">
        <w:rPr>
          <w:color w:val="808080" w:themeColor="background1" w:themeShade="80"/>
        </w:rPr>
        <w:t>[</w:t>
      </w:r>
      <w:r w:rsidR="0071535D">
        <w:rPr>
          <w:color w:val="808080" w:themeColor="background1" w:themeShade="80"/>
        </w:rPr>
        <w:t>Upon the granting of a sequestration order, the Registrar must transmit a copy of the order to</w:t>
      </w:r>
      <w:r w:rsidR="005221A6">
        <w:rPr>
          <w:color w:val="808080" w:themeColor="background1" w:themeShade="80"/>
        </w:rPr>
        <w:t xml:space="preserve"> all the </w:t>
      </w:r>
      <w:r w:rsidR="008C7465">
        <w:rPr>
          <w:color w:val="808080" w:themeColor="background1" w:themeShade="80"/>
        </w:rPr>
        <w:t>sheriffs</w:t>
      </w:r>
      <w:r w:rsidR="005221A6">
        <w:rPr>
          <w:color w:val="808080" w:themeColor="background1" w:themeShade="80"/>
        </w:rPr>
        <w:t xml:space="preserve"> who attached property of the insolvent under a writ issued by the court. In terms of the Insolvency Act the property of the insolvent, including goods under attachment, vests upon the trustee. </w:t>
      </w:r>
      <w:r w:rsidR="00BC4936">
        <w:rPr>
          <w:color w:val="808080" w:themeColor="background1" w:themeShade="80"/>
        </w:rPr>
        <w:t>In terms of the judgment in Kalianjee</w:t>
      </w:r>
      <w:r w:rsidR="005221A6">
        <w:rPr>
          <w:color w:val="808080" w:themeColor="background1" w:themeShade="80"/>
        </w:rPr>
        <w:t xml:space="preserve"> </w:t>
      </w:r>
      <w:r w:rsidR="00BC4936">
        <w:rPr>
          <w:color w:val="808080" w:themeColor="background1" w:themeShade="80"/>
        </w:rPr>
        <w:t xml:space="preserve">the court found that the establishment of the general body of creditors took preference should it have preceded the sale in execution, and it was found that the trustee was entitled to have the sale set aside. </w:t>
      </w:r>
    </w:p>
    <w:p w14:paraId="1AFF2BEA" w14:textId="77777777" w:rsidR="00BC4936" w:rsidRDefault="00BC4936" w:rsidP="00CC2E46">
      <w:pPr>
        <w:rPr>
          <w:color w:val="808080" w:themeColor="background1" w:themeShade="80"/>
        </w:rPr>
      </w:pPr>
    </w:p>
    <w:p w14:paraId="3460196F" w14:textId="6FFC74F6" w:rsidR="00CC2E46" w:rsidRPr="00CC2E46" w:rsidRDefault="00BC4936" w:rsidP="00CC2E46">
      <w:pPr>
        <w:rPr>
          <w:color w:val="808080" w:themeColor="background1" w:themeShade="80"/>
        </w:rPr>
      </w:pPr>
      <w:r>
        <w:rPr>
          <w:color w:val="808080" w:themeColor="background1" w:themeShade="80"/>
        </w:rPr>
        <w:t>In terms of the Insolvency Act the trustee must substitute themselves as the debtor in all legal proceedings which have been brought against the insolvent</w:t>
      </w:r>
      <w:r w:rsidR="00B847C4">
        <w:rPr>
          <w:color w:val="808080" w:themeColor="background1" w:themeShade="80"/>
        </w:rPr>
        <w:t xml:space="preserve"> before sequestration. It has been stated the rejection of a claim by the trustee does not preclude the creditor from bringing legal action against the deceased estate to enforce their claim. This action must be brought before the trustee has issued their account, and may not be brought after, although the court can condone this should there be a reasonable explanation for the delay in bringing the action.</w:t>
      </w:r>
      <w:r w:rsidR="00CC2E46" w:rsidRPr="00CC2E46">
        <w:rPr>
          <w:color w:val="808080" w:themeColor="background1" w:themeShade="80"/>
        </w:rPr>
        <w: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78B9F38B" w14:textId="379D8D97" w:rsidR="00BA363C" w:rsidRDefault="00CC2E46" w:rsidP="00CC2E46">
      <w:pPr>
        <w:rPr>
          <w:color w:val="808080" w:themeColor="background1" w:themeShade="80"/>
        </w:rPr>
      </w:pPr>
      <w:r w:rsidRPr="00CC2E46">
        <w:rPr>
          <w:color w:val="808080" w:themeColor="background1" w:themeShade="80"/>
        </w:rPr>
        <w:t>[</w:t>
      </w:r>
      <w:r w:rsidR="00A76D48">
        <w:rPr>
          <w:color w:val="808080" w:themeColor="background1" w:themeShade="80"/>
        </w:rPr>
        <w:t>The remuneration of the Business Rescue Practitioner (the “BRP”) is dealt with under the provisions of the Companies Act. In terms of the provisions of the Act, the remunerations of the BRP together with the expenses that arise from the rescue proceedings are to be paid as the first expenses during the proceedings.</w:t>
      </w:r>
      <w:r w:rsidR="007F6E32">
        <w:rPr>
          <w:color w:val="808080" w:themeColor="background1" w:themeShade="80"/>
        </w:rPr>
        <w:t xml:space="preserve"> The fees that the BRP may charge for his services are legislated and set out in a tariff </w:t>
      </w:r>
      <w:r w:rsidR="007F6E32">
        <w:rPr>
          <w:color w:val="808080" w:themeColor="background1" w:themeShade="80"/>
        </w:rPr>
        <w:lastRenderedPageBreak/>
        <w:t xml:space="preserve">in the Companies Act, specifically subsection 143(6) of the Companies Act. The BRP may further enter into agreements with the </w:t>
      </w:r>
      <w:r w:rsidR="00BA363C">
        <w:rPr>
          <w:color w:val="808080" w:themeColor="background1" w:themeShade="80"/>
        </w:rPr>
        <w:t xml:space="preserve">company to provide further remuneration to the BRP – what is described as the contingency or success fee – which remuneration would be contingent or based on either the adoption of a business rescue plan or the inclusion of a specific matter within the plan itself; or based on the BRP achieving a certain outcome or result which could be achieved by the BRP during the rescue </w:t>
      </w:r>
      <w:r w:rsidR="003B7E1B">
        <w:rPr>
          <w:color w:val="808080" w:themeColor="background1" w:themeShade="80"/>
        </w:rPr>
        <w:t>proceedings</w:t>
      </w:r>
      <w:r w:rsidR="00BA363C">
        <w:rPr>
          <w:color w:val="808080" w:themeColor="background1" w:themeShade="80"/>
        </w:rPr>
        <w:t xml:space="preserve">. </w:t>
      </w:r>
    </w:p>
    <w:p w14:paraId="5BEBACCA" w14:textId="77777777" w:rsidR="00BA363C" w:rsidRDefault="00BA363C" w:rsidP="00CC2E46">
      <w:pPr>
        <w:rPr>
          <w:color w:val="808080" w:themeColor="background1" w:themeShade="80"/>
        </w:rPr>
      </w:pPr>
    </w:p>
    <w:p w14:paraId="77DF6128" w14:textId="77777777" w:rsidR="008F7517" w:rsidRDefault="00BA363C" w:rsidP="00CC2E46">
      <w:pPr>
        <w:rPr>
          <w:color w:val="808080" w:themeColor="background1" w:themeShade="80"/>
        </w:rPr>
      </w:pPr>
      <w:r>
        <w:rPr>
          <w:color w:val="808080" w:themeColor="background1" w:themeShade="80"/>
        </w:rPr>
        <w:t xml:space="preserve">In the Caratco case the apex court had to determine whether the contingency fee agreement between the BRP and third parties which could be creditors, were prohibited in law as they were either against the law or against public policy. </w:t>
      </w:r>
      <w:r w:rsidR="008F7517">
        <w:rPr>
          <w:color w:val="808080" w:themeColor="background1" w:themeShade="80"/>
        </w:rPr>
        <w:t xml:space="preserve">The court found that the relevant section of the Act deals with agreements between the BRP and the business, and although it does not make provisions for agreements that fall outside its ambit, their non-regulation does not make such agreements invalid or against legislation or public policy and were further not punishable in terms of the companies act or the common law. </w:t>
      </w:r>
    </w:p>
    <w:p w14:paraId="2C027EC4" w14:textId="77777777" w:rsidR="008F7517" w:rsidRDefault="008F7517" w:rsidP="00CC2E46">
      <w:pPr>
        <w:rPr>
          <w:color w:val="808080" w:themeColor="background1" w:themeShade="80"/>
        </w:rPr>
      </w:pPr>
    </w:p>
    <w:p w14:paraId="682327F4" w14:textId="78774810" w:rsidR="00CC2E46" w:rsidRDefault="008F7517" w:rsidP="00CC2E46">
      <w:pPr>
        <w:rPr>
          <w:color w:val="808080" w:themeColor="background1" w:themeShade="80"/>
        </w:rPr>
      </w:pPr>
      <w:r>
        <w:rPr>
          <w:color w:val="808080" w:themeColor="background1" w:themeShade="80"/>
        </w:rPr>
        <w:t xml:space="preserve">Once a business rescue practitioner concludes the rescue proceedings and converts them into liquidations proceedings, all payments made after this – including payments to the BRP and payments for the expense of the expenses relating to the rescue proceedings, could be regarded as voidable preferences. </w:t>
      </w:r>
      <w:r w:rsidR="003B7E1B">
        <w:rPr>
          <w:color w:val="808080" w:themeColor="background1" w:themeShade="80"/>
        </w:rPr>
        <w:t xml:space="preserve">This position was confirmed by the court in Montic Diary (Pty) Ltd, which emphasised that once the provisions of section 141(2) had been invoked the company is precluded from making payments to its creditors or anyone else – including the BRP. </w:t>
      </w:r>
      <w:r w:rsidR="00CC2E46" w:rsidRPr="00CC2E46">
        <w:rPr>
          <w:color w:val="808080" w:themeColor="background1" w:themeShade="80"/>
        </w:rPr>
        <w:t>]</w:t>
      </w:r>
    </w:p>
    <w:p w14:paraId="1314821B" w14:textId="77777777" w:rsidR="00BC18CC" w:rsidRPr="00CC2E46" w:rsidRDefault="00BC18CC"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4FFC9972" w:rsidR="00CC2E46" w:rsidRPr="00CC2E46" w:rsidRDefault="00CC2E46" w:rsidP="00CC2E46">
      <w:pPr>
        <w:rPr>
          <w:color w:val="808080" w:themeColor="background1" w:themeShade="80"/>
        </w:rPr>
      </w:pPr>
      <w:r w:rsidRPr="00CC2E46">
        <w:rPr>
          <w:color w:val="808080" w:themeColor="background1" w:themeShade="80"/>
        </w:rPr>
        <w:t>[</w:t>
      </w:r>
      <w:r w:rsidR="00EE25E1">
        <w:rPr>
          <w:color w:val="808080" w:themeColor="background1" w:themeShade="80"/>
        </w:rPr>
        <w:t xml:space="preserve">As a consequence of the sequestration of one partner, it does not automatically follow that estates of the other individual partners and the partnership estate must also be sequestrated, however </w:t>
      </w:r>
      <w:r w:rsidR="00F62365">
        <w:rPr>
          <w:color w:val="808080" w:themeColor="background1" w:themeShade="80"/>
        </w:rPr>
        <w:t xml:space="preserve">as a natural consequence of one </w:t>
      </w:r>
      <w:r w:rsidR="008C7465">
        <w:rPr>
          <w:color w:val="808080" w:themeColor="background1" w:themeShade="80"/>
        </w:rPr>
        <w:t>partner’s</w:t>
      </w:r>
      <w:r w:rsidR="00F62365">
        <w:rPr>
          <w:color w:val="808080" w:themeColor="background1" w:themeShade="80"/>
        </w:rPr>
        <w:t xml:space="preserve"> sequestration the partnership itself must be wound up and the partnership assets realized and divided between the partners. The assets are due to or accrue to the sequestrated partner will vest with the trustee of the insolvent partners estate. After the dissolution of a partnership, as a natural consequence, each of the partners become jointly and severally liable for the debts of the partnership and the creditors can recover such debts from any partner individually and without pursuing the other partners. </w:t>
      </w:r>
      <w:r w:rsidR="000322B0">
        <w:rPr>
          <w:color w:val="808080" w:themeColor="background1" w:themeShade="80"/>
        </w:rPr>
        <w:t>The trustee of the insolvent estate will have a claim against the other partners for their proportionate share of the partnership’s debts which have been paid out of the insolvent estate as a result of the creditor proving a claim against the sequestrated partner.</w:t>
      </w:r>
      <w:r w:rsidR="00F62365">
        <w:rPr>
          <w:color w:val="808080" w:themeColor="background1" w:themeShade="80"/>
        </w:rPr>
        <w:t xml:space="preserve"> </w:t>
      </w:r>
      <w:r w:rsidRPr="00CC2E46">
        <w:rPr>
          <w:color w:val="808080" w:themeColor="background1" w:themeShade="80"/>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lastRenderedPageBreak/>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60673C0B" w14:textId="1488D9EA" w:rsidR="002F63A1" w:rsidRDefault="00CC2E46" w:rsidP="00CC2E46">
      <w:pPr>
        <w:rPr>
          <w:color w:val="808080" w:themeColor="background1" w:themeShade="80"/>
        </w:rPr>
      </w:pPr>
      <w:r w:rsidRPr="00CC2E46">
        <w:rPr>
          <w:color w:val="808080" w:themeColor="background1" w:themeShade="80"/>
        </w:rPr>
        <w:t>[</w:t>
      </w:r>
      <w:r w:rsidR="00AC7337">
        <w:rPr>
          <w:color w:val="808080" w:themeColor="background1" w:themeShade="80"/>
        </w:rPr>
        <w:t xml:space="preserve">A person may enter into a valid agreement with another person with a view of disposing of their property, both movable and immovable, which agreement could result in a decrease of the value of their estate. </w:t>
      </w:r>
      <w:r w:rsidR="00AC7337">
        <w:rPr>
          <w:color w:val="808080" w:themeColor="background1" w:themeShade="80"/>
        </w:rPr>
        <w:t>There are different types of such agreements, however b</w:t>
      </w:r>
      <w:r w:rsidR="000322B0">
        <w:rPr>
          <w:color w:val="808080" w:themeColor="background1" w:themeShade="80"/>
        </w:rPr>
        <w:t>oth donations made by Mr. X to Mr. Y can be defined as disposition not made for value</w:t>
      </w:r>
      <w:r w:rsidR="00AC7337">
        <w:rPr>
          <w:color w:val="808080" w:themeColor="background1" w:themeShade="80"/>
        </w:rPr>
        <w:t xml:space="preserve"> as Mr. X did not receive any consideration or value in exchange for the assets.</w:t>
      </w:r>
      <w:r w:rsidR="00687B97">
        <w:rPr>
          <w:color w:val="808080" w:themeColor="background1" w:themeShade="80"/>
        </w:rPr>
        <w:t xml:space="preserve"> In terms of the law, such a disposition can be set aside if two things are proven by the trustee. If the disposition was made more than 2 years before the date of sequestration the trustee must prove that immediately after the disposition the debtor’s estate was immediately insolvent; and, if the disposition was made within 2 years before the </w:t>
      </w:r>
      <w:r w:rsidR="008C7465">
        <w:rPr>
          <w:color w:val="808080" w:themeColor="background1" w:themeShade="80"/>
        </w:rPr>
        <w:t>debtor’s</w:t>
      </w:r>
      <w:r w:rsidR="00687B97">
        <w:rPr>
          <w:color w:val="808080" w:themeColor="background1" w:themeShade="80"/>
        </w:rPr>
        <w:t xml:space="preserve"> sequestration, the person who received the property of the debtor must show that immediately after making the disposition the debtors assets exceeded their liabilities. </w:t>
      </w:r>
      <w:r w:rsidR="002F63A1">
        <w:rPr>
          <w:color w:val="808080" w:themeColor="background1" w:themeShade="80"/>
        </w:rPr>
        <w:t>If it can be proved that after the disposition the liabilities of the debtor did exceed his assets, but not by the full amount of the disposition, the difference between the shortfall shall be recoverable from the beneficiary and payable to the estate.</w:t>
      </w:r>
    </w:p>
    <w:p w14:paraId="43433B4D" w14:textId="77777777" w:rsidR="002F63A1" w:rsidRDefault="002F63A1" w:rsidP="00CC2E46">
      <w:pPr>
        <w:rPr>
          <w:color w:val="808080" w:themeColor="background1" w:themeShade="80"/>
        </w:rPr>
      </w:pPr>
    </w:p>
    <w:p w14:paraId="480F8425" w14:textId="509384ED" w:rsidR="00CC2E46" w:rsidRPr="00CC2E46" w:rsidRDefault="002F63A1" w:rsidP="00CC2E46">
      <w:pPr>
        <w:rPr>
          <w:color w:val="808080" w:themeColor="background1" w:themeShade="80"/>
        </w:rPr>
      </w:pPr>
      <w:r>
        <w:rPr>
          <w:color w:val="808080" w:themeColor="background1" w:themeShade="80"/>
        </w:rPr>
        <w:t>The immovable property falls into the first category of discussed above. In order for the trustee to void the disposition the trustee would have to show that immediately after make the donation to Mr. Y, Mr. X’s estate became insolvent. Only in this instance would the trustee be able to void the disposition made to Mr. Y in the case of the immovable property. It is important to note that the burden of proof vests with the</w:t>
      </w:r>
      <w:r w:rsidR="00F747A2">
        <w:rPr>
          <w:color w:val="808080" w:themeColor="background1" w:themeShade="80"/>
        </w:rPr>
        <w:t xml:space="preserve"> trustee in this instance, and because they allege, they must prove that immediately after the disposition Mr. X’s estate became insolvent, and only then would the immovable property fall into Mr. X’s state. The Range Rover however is a different matter and falls into the second class of dispositions discussed above. In order for the Range Rover to be excluded from Mr. X’s estate, Mr. Y would have to prove that immediately after making the disposition Mr. X’s assets exceeded his liabilities. In this instance it is Mr. Y who must prove that Mr. X’s estate was in fact factually solvent and not the trustee who must prove. </w:t>
      </w:r>
      <w:r w:rsidR="00B65B08">
        <w:rPr>
          <w:color w:val="808080" w:themeColor="background1" w:themeShade="80"/>
        </w:rPr>
        <w:t xml:space="preserve">However, of equal consequence as the Insolvency Act is the Matrimonial Property Act in the above scenario. If Mr. X and Mr. Y did not conclude an antenuptial contract, they are in fact married in community of property, and automatically by operation of law the assets of both parties belong to </w:t>
      </w:r>
      <w:r w:rsidR="00C508B9">
        <w:rPr>
          <w:color w:val="808080" w:themeColor="background1" w:themeShade="80"/>
        </w:rPr>
        <w:t xml:space="preserve">and form part of </w:t>
      </w:r>
      <w:r w:rsidR="00B65B08">
        <w:rPr>
          <w:color w:val="808080" w:themeColor="background1" w:themeShade="80"/>
        </w:rPr>
        <w:t xml:space="preserve">the joint estate and </w:t>
      </w:r>
      <w:r w:rsidR="00C508B9">
        <w:rPr>
          <w:color w:val="808080" w:themeColor="background1" w:themeShade="80"/>
        </w:rPr>
        <w:t>consequently when Mr. X is sequestrated, the joint estate will also be sequestrated and the assets will nonetheless form part of the joint insolvent estate</w:t>
      </w:r>
      <w:r w:rsidR="00F747A2">
        <w:rPr>
          <w:color w:val="808080" w:themeColor="background1" w:themeShade="80"/>
        </w:rPr>
        <w:t xml:space="preserve"> </w:t>
      </w:r>
      <w:r w:rsidR="00CC2E46" w:rsidRPr="00CC2E46">
        <w:rPr>
          <w:color w:val="808080" w:themeColor="background1" w:themeShade="80"/>
        </w:rPr>
        <w: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5A465F43" w:rsidR="00CC2E46" w:rsidRPr="00CC2E46" w:rsidRDefault="00CC2E46" w:rsidP="00CC2E46">
      <w:pPr>
        <w:rPr>
          <w:color w:val="808080" w:themeColor="background1" w:themeShade="80"/>
        </w:rPr>
      </w:pPr>
      <w:r w:rsidRPr="00CC2E46">
        <w:rPr>
          <w:color w:val="808080" w:themeColor="background1" w:themeShade="80"/>
        </w:rPr>
        <w:t>[</w:t>
      </w:r>
      <w:r w:rsidR="00C508B9">
        <w:rPr>
          <w:color w:val="808080" w:themeColor="background1" w:themeShade="80"/>
        </w:rPr>
        <w:t xml:space="preserve">Mr. Y will be regarded as being a spouse for the purposes of the Insolvency Act, as a result of the enactment of the Civil Unions Act, all </w:t>
      </w:r>
      <w:r w:rsidR="00986B37">
        <w:rPr>
          <w:color w:val="808080" w:themeColor="background1" w:themeShade="80"/>
        </w:rPr>
        <w:t>marriages in terms of that act bear the same consequences as marriages in terms of the Civil Marriages Act and consequently the Matrimonial Property Act applies to them equally – this however speaks to their marital regime. In terms of the Insolvency Act the terms spouse includes spouses married in terms of the Civil Unions Act</w:t>
      </w:r>
      <w:r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w:t>
      </w:r>
      <w:r w:rsidRPr="00A322BC">
        <w:rPr>
          <w:rFonts w:cs="Times New Roman"/>
          <w:lang w:eastAsia="en-GB"/>
        </w:rPr>
        <w:lastRenderedPageBreak/>
        <w:t xml:space="preserve">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132B738D" w:rsidR="00CC2E46" w:rsidRPr="00CC2E46" w:rsidRDefault="00CC2E46" w:rsidP="00CC2E46">
      <w:pPr>
        <w:rPr>
          <w:color w:val="808080" w:themeColor="background1" w:themeShade="80"/>
        </w:rPr>
      </w:pPr>
      <w:r w:rsidRPr="00CC2E46">
        <w:rPr>
          <w:color w:val="808080" w:themeColor="background1" w:themeShade="80"/>
        </w:rPr>
        <w:t>[</w:t>
      </w:r>
      <w:r w:rsidR="00BD6561">
        <w:rPr>
          <w:color w:val="808080" w:themeColor="background1" w:themeShade="80"/>
        </w:rPr>
        <w:t xml:space="preserve">When Generators Africa (Pty) Ltd was placed under liquidation, Thabo’s employment was suspended from the date of the order and not from the date of the actual application. </w:t>
      </w:r>
      <w:r w:rsidR="0063014C">
        <w:rPr>
          <w:color w:val="808080" w:themeColor="background1" w:themeShade="80"/>
        </w:rPr>
        <w:t xml:space="preserve">During this period, whilst the contract is suspected Thabo will not be expected to render services to his employer and in such reciprocal fashion Thabo will not be entitled to any renumeration or benefits in terms of the suspended employment contract, but they will be entitled to unemployment benefits. </w:t>
      </w:r>
      <w:r w:rsidR="00BD6561">
        <w:rPr>
          <w:color w:val="808080" w:themeColor="background1" w:themeShade="80"/>
        </w:rPr>
        <w:t>Thabo will become a concurrent creditor, being an employee, and shall have a claim against his employer’s insolvent estate</w:t>
      </w:r>
      <w:r w:rsidR="0063014C">
        <w:rPr>
          <w:color w:val="808080" w:themeColor="background1" w:themeShade="80"/>
        </w:rPr>
        <w:t xml:space="preserve"> for a claim of breach of contract.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6047D432" w14:textId="357FDB32" w:rsidR="00DE2AA8" w:rsidRDefault="00CC2E46" w:rsidP="00CC2E46">
      <w:pPr>
        <w:rPr>
          <w:color w:val="808080" w:themeColor="background1" w:themeShade="80"/>
        </w:rPr>
      </w:pPr>
      <w:r w:rsidRPr="00CC2E46">
        <w:rPr>
          <w:color w:val="808080" w:themeColor="background1" w:themeShade="80"/>
        </w:rPr>
        <w:t>[</w:t>
      </w:r>
      <w:r w:rsidR="00DE2AA8">
        <w:rPr>
          <w:color w:val="808080" w:themeColor="background1" w:themeShade="80"/>
        </w:rPr>
        <w:t xml:space="preserve">Thabo will have a </w:t>
      </w:r>
      <w:r w:rsidR="008C7465">
        <w:rPr>
          <w:color w:val="808080" w:themeColor="background1" w:themeShade="80"/>
        </w:rPr>
        <w:t>preferential claim</w:t>
      </w:r>
      <w:r w:rsidR="00DE2AA8">
        <w:rPr>
          <w:color w:val="808080" w:themeColor="background1" w:themeShade="80"/>
        </w:rPr>
        <w:t xml:space="preserve"> in respect of the following claims against his employer:</w:t>
      </w:r>
    </w:p>
    <w:p w14:paraId="41F76935" w14:textId="77777777" w:rsidR="00DE2AA8" w:rsidRDefault="00DE2AA8" w:rsidP="00CC2E46">
      <w:pPr>
        <w:rPr>
          <w:color w:val="808080" w:themeColor="background1" w:themeShade="80"/>
        </w:rPr>
      </w:pPr>
    </w:p>
    <w:p w14:paraId="3A18138E" w14:textId="77777777" w:rsidR="00DE2AA8" w:rsidRDefault="00DE2AA8" w:rsidP="00DE2AA8">
      <w:pPr>
        <w:pStyle w:val="ListParagraph"/>
        <w:numPr>
          <w:ilvl w:val="0"/>
          <w:numId w:val="32"/>
        </w:numPr>
        <w:rPr>
          <w:color w:val="808080" w:themeColor="background1" w:themeShade="80"/>
        </w:rPr>
      </w:pPr>
      <w:r w:rsidRPr="00DE2AA8">
        <w:rPr>
          <w:color w:val="808080" w:themeColor="background1" w:themeShade="80"/>
        </w:rPr>
        <w:t>R12 000.00 against the estate, this being for unpaid wages, this amount cannot exceed his 3 month’s salary and should have accrued to him before the date of sequestration</w:t>
      </w:r>
      <w:r>
        <w:rPr>
          <w:color w:val="808080" w:themeColor="background1" w:themeShade="80"/>
        </w:rPr>
        <w:t>;</w:t>
      </w:r>
    </w:p>
    <w:p w14:paraId="550CAB32" w14:textId="77777777" w:rsidR="00DE2AA8" w:rsidRDefault="00DE2AA8" w:rsidP="00DE2AA8">
      <w:pPr>
        <w:pStyle w:val="ListParagraph"/>
        <w:numPr>
          <w:ilvl w:val="0"/>
          <w:numId w:val="32"/>
        </w:numPr>
        <w:rPr>
          <w:color w:val="808080" w:themeColor="background1" w:themeShade="80"/>
        </w:rPr>
      </w:pPr>
      <w:r>
        <w:rPr>
          <w:color w:val="808080" w:themeColor="background1" w:themeShade="80"/>
        </w:rPr>
        <w:t xml:space="preserve">R3 500.00 in respect of the leave due to him, which accrued to him in the previous year. </w:t>
      </w:r>
      <w:r w:rsidRPr="00DE2AA8">
        <w:rPr>
          <w:color w:val="808080" w:themeColor="background1" w:themeShade="80"/>
        </w:rPr>
        <w:t xml:space="preserve"> </w:t>
      </w:r>
    </w:p>
    <w:p w14:paraId="03ED9A21" w14:textId="5BEF66BE" w:rsidR="00CC2E46" w:rsidRPr="00DE2AA8" w:rsidRDefault="00DE2AA8" w:rsidP="00DE2AA8">
      <w:pPr>
        <w:rPr>
          <w:color w:val="808080" w:themeColor="background1" w:themeShade="80"/>
        </w:rPr>
      </w:pPr>
      <w:r>
        <w:rPr>
          <w:color w:val="808080" w:themeColor="background1" w:themeShade="80"/>
        </w:rPr>
        <w:t>And the amount of R18 000.00</w:t>
      </w:r>
      <w:r w:rsidR="00AF13BD">
        <w:rPr>
          <w:color w:val="808080" w:themeColor="background1" w:themeShade="80"/>
        </w:rPr>
        <w:t>, being the remainder of</w:t>
      </w:r>
      <w:r>
        <w:rPr>
          <w:color w:val="808080" w:themeColor="background1" w:themeShade="80"/>
        </w:rPr>
        <w:t xml:space="preserve"> his unpaid salaries</w:t>
      </w:r>
      <w:r w:rsidR="00AF13BD">
        <w:rPr>
          <w:color w:val="808080" w:themeColor="background1" w:themeShade="80"/>
        </w:rPr>
        <w:t>, shall be a concurrent claim which Thabo shall have against his employer.</w:t>
      </w:r>
      <w:r w:rsidR="00CC2E46" w:rsidRPr="00DE2AA8">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1C422046" w:rsidR="00CC2E46" w:rsidRPr="00CC2E46" w:rsidRDefault="00CC2E46" w:rsidP="00CC2E46">
      <w:pPr>
        <w:rPr>
          <w:color w:val="808080" w:themeColor="background1" w:themeShade="80"/>
        </w:rPr>
      </w:pPr>
      <w:r w:rsidRPr="00CC2E46">
        <w:rPr>
          <w:color w:val="808080" w:themeColor="background1" w:themeShade="80"/>
        </w:rPr>
        <w:t>[</w:t>
      </w:r>
      <w:r w:rsidR="00AF13BD">
        <w:rPr>
          <w:color w:val="808080" w:themeColor="background1" w:themeShade="80"/>
        </w:rPr>
        <w:t>A voidable preference is an act by the insolvent which resulted in one creditor being preferred or receiving full payment before the other creditors</w:t>
      </w:r>
      <w:r w:rsidR="00F4680D">
        <w:rPr>
          <w:color w:val="808080" w:themeColor="background1" w:themeShade="80"/>
        </w:rPr>
        <w:t xml:space="preserve"> before the sequestration of the debtor. In order to succeed with his claim, the trust would have to prove that the preference was made in the 6 months immediately before the debtors sequestration;  that the effect of the preference was to prefer one creditor before all the others – to show this the trustee has to establish that as a result the creditors </w:t>
      </w:r>
      <w:r w:rsidR="00F4680D">
        <w:rPr>
          <w:color w:val="808080" w:themeColor="background1" w:themeShade="80"/>
        </w:rPr>
        <w:lastRenderedPageBreak/>
        <w:t xml:space="preserve">were not all treated the same during the distribution of assets; and that immediately after the payment the debtor became factually insolvent, in that his liabilities exceeded his assets. </w:t>
      </w:r>
      <w:r w:rsidR="00B6453C">
        <w:rPr>
          <w:color w:val="808080" w:themeColor="background1" w:themeShade="80"/>
        </w:rPr>
        <w:t xml:space="preserve">It is more likely than not that the trustee would succeed in proving the 3 requirements mentioned above and would succeed in having the disposition set aside as a voidable preference. </w:t>
      </w:r>
      <w:r w:rsidR="008C7465">
        <w:rPr>
          <w:color w:val="808080" w:themeColor="background1" w:themeShade="80"/>
        </w:rPr>
        <w:t>That said</w:t>
      </w:r>
      <w:r w:rsidR="00B6453C">
        <w:rPr>
          <w:color w:val="808080" w:themeColor="background1" w:themeShade="80"/>
        </w:rPr>
        <w:t xml:space="preserve">, Joe would raise a Defence being that the disposition/payment was made to him in the ordinary course of business, and further that the payment did not have the effect of preferring him above other creditors as he already had a secured claim which had been perfected and secured against movable property when the payment was made to him. </w:t>
      </w:r>
      <w:r w:rsidR="008C7465">
        <w:rPr>
          <w:color w:val="808080" w:themeColor="background1" w:themeShade="80"/>
        </w:rPr>
        <w:t>However, this Defence would not succeed</w:t>
      </w:r>
      <w:r w:rsidRPr="00CC2E46">
        <w:rPr>
          <w:color w:val="808080" w:themeColor="background1" w:themeShade="80"/>
        </w:rPr>
        <w:t>]</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6C91" w14:textId="77777777" w:rsidR="0086218D" w:rsidRDefault="0086218D" w:rsidP="001016B0">
      <w:r>
        <w:separator/>
      </w:r>
    </w:p>
  </w:endnote>
  <w:endnote w:type="continuationSeparator" w:id="0">
    <w:p w14:paraId="2BDC7536" w14:textId="77777777" w:rsidR="0086218D" w:rsidRDefault="0086218D"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59DCCE40" w:rsidR="001A20D0" w:rsidRDefault="006A5B72" w:rsidP="006A5B72">
    <w:pPr>
      <w:pStyle w:val="Footer"/>
      <w:ind w:right="360"/>
    </w:pPr>
    <w:r w:rsidRPr="006A5B72">
      <w:t>202122-693.Paper1Formative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F963" w14:textId="77777777" w:rsidR="0086218D" w:rsidRDefault="0086218D" w:rsidP="001016B0">
      <w:r>
        <w:separator/>
      </w:r>
    </w:p>
  </w:footnote>
  <w:footnote w:type="continuationSeparator" w:id="0">
    <w:p w14:paraId="4453549A" w14:textId="77777777" w:rsidR="0086218D" w:rsidRDefault="0086218D"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96937EA"/>
    <w:multiLevelType w:val="hybridMultilevel"/>
    <w:tmpl w:val="AA24977A"/>
    <w:lvl w:ilvl="0" w:tplc="803023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17779797">
    <w:abstractNumId w:val="8"/>
  </w:num>
  <w:num w:numId="2" w16cid:durableId="1912688732">
    <w:abstractNumId w:val="29"/>
  </w:num>
  <w:num w:numId="3" w16cid:durableId="1582829008">
    <w:abstractNumId w:val="26"/>
  </w:num>
  <w:num w:numId="4" w16cid:durableId="271669864">
    <w:abstractNumId w:val="10"/>
  </w:num>
  <w:num w:numId="5" w16cid:durableId="584415006">
    <w:abstractNumId w:val="18"/>
  </w:num>
  <w:num w:numId="6" w16cid:durableId="304512499">
    <w:abstractNumId w:val="19"/>
  </w:num>
  <w:num w:numId="7" w16cid:durableId="274219593">
    <w:abstractNumId w:val="14"/>
  </w:num>
  <w:num w:numId="8" w16cid:durableId="1399980355">
    <w:abstractNumId w:val="2"/>
  </w:num>
  <w:num w:numId="9" w16cid:durableId="1642807533">
    <w:abstractNumId w:val="23"/>
  </w:num>
  <w:num w:numId="10" w16cid:durableId="1565025185">
    <w:abstractNumId w:val="13"/>
  </w:num>
  <w:num w:numId="11" w16cid:durableId="1577280618">
    <w:abstractNumId w:val="1"/>
  </w:num>
  <w:num w:numId="12" w16cid:durableId="445004558">
    <w:abstractNumId w:val="9"/>
  </w:num>
  <w:num w:numId="13" w16cid:durableId="356850107">
    <w:abstractNumId w:val="11"/>
  </w:num>
  <w:num w:numId="14" w16cid:durableId="1248729204">
    <w:abstractNumId w:val="7"/>
  </w:num>
  <w:num w:numId="15" w16cid:durableId="1521629838">
    <w:abstractNumId w:val="27"/>
  </w:num>
  <w:num w:numId="16" w16cid:durableId="526716526">
    <w:abstractNumId w:val="24"/>
  </w:num>
  <w:num w:numId="17" w16cid:durableId="1931742666">
    <w:abstractNumId w:val="25"/>
  </w:num>
  <w:num w:numId="18" w16cid:durableId="1176069872">
    <w:abstractNumId w:val="21"/>
  </w:num>
  <w:num w:numId="19" w16cid:durableId="1956591046">
    <w:abstractNumId w:val="16"/>
  </w:num>
  <w:num w:numId="20" w16cid:durableId="1788893667">
    <w:abstractNumId w:val="31"/>
  </w:num>
  <w:num w:numId="21" w16cid:durableId="505100124">
    <w:abstractNumId w:val="30"/>
  </w:num>
  <w:num w:numId="22" w16cid:durableId="1409116600">
    <w:abstractNumId w:val="20"/>
  </w:num>
  <w:num w:numId="23" w16cid:durableId="773983453">
    <w:abstractNumId w:val="5"/>
  </w:num>
  <w:num w:numId="24" w16cid:durableId="1626816997">
    <w:abstractNumId w:val="17"/>
  </w:num>
  <w:num w:numId="25" w16cid:durableId="959262599">
    <w:abstractNumId w:val="15"/>
  </w:num>
  <w:num w:numId="26" w16cid:durableId="502626814">
    <w:abstractNumId w:val="22"/>
  </w:num>
  <w:num w:numId="27" w16cid:durableId="474219020">
    <w:abstractNumId w:val="4"/>
  </w:num>
  <w:num w:numId="28" w16cid:durableId="1277636735">
    <w:abstractNumId w:val="3"/>
  </w:num>
  <w:num w:numId="29" w16cid:durableId="123891218">
    <w:abstractNumId w:val="6"/>
  </w:num>
  <w:num w:numId="30" w16cid:durableId="563636735">
    <w:abstractNumId w:val="28"/>
  </w:num>
  <w:num w:numId="31" w16cid:durableId="354772853">
    <w:abstractNumId w:val="0"/>
  </w:num>
  <w:num w:numId="32" w16cid:durableId="8362668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22B0"/>
    <w:rsid w:val="00033D18"/>
    <w:rsid w:val="00034FC0"/>
    <w:rsid w:val="000451AA"/>
    <w:rsid w:val="00045503"/>
    <w:rsid w:val="000554CA"/>
    <w:rsid w:val="000672ED"/>
    <w:rsid w:val="00071EFD"/>
    <w:rsid w:val="00073862"/>
    <w:rsid w:val="00073AD0"/>
    <w:rsid w:val="000943C5"/>
    <w:rsid w:val="000D340C"/>
    <w:rsid w:val="000D5B7A"/>
    <w:rsid w:val="000D729D"/>
    <w:rsid w:val="000F1349"/>
    <w:rsid w:val="000F7E2C"/>
    <w:rsid w:val="001016B0"/>
    <w:rsid w:val="001165C7"/>
    <w:rsid w:val="00117579"/>
    <w:rsid w:val="00120495"/>
    <w:rsid w:val="001336C3"/>
    <w:rsid w:val="001544B8"/>
    <w:rsid w:val="00184351"/>
    <w:rsid w:val="00194D76"/>
    <w:rsid w:val="001A1043"/>
    <w:rsid w:val="001A20D0"/>
    <w:rsid w:val="001A370C"/>
    <w:rsid w:val="001B4CC3"/>
    <w:rsid w:val="001D2F9B"/>
    <w:rsid w:val="001E72C8"/>
    <w:rsid w:val="001F65C0"/>
    <w:rsid w:val="00211EE8"/>
    <w:rsid w:val="00213DA5"/>
    <w:rsid w:val="00216818"/>
    <w:rsid w:val="0021789D"/>
    <w:rsid w:val="00221041"/>
    <w:rsid w:val="00234313"/>
    <w:rsid w:val="00244935"/>
    <w:rsid w:val="00257792"/>
    <w:rsid w:val="00270263"/>
    <w:rsid w:val="0027308F"/>
    <w:rsid w:val="00283584"/>
    <w:rsid w:val="002A454F"/>
    <w:rsid w:val="002B7150"/>
    <w:rsid w:val="002C1C6F"/>
    <w:rsid w:val="002F2E23"/>
    <w:rsid w:val="002F49CF"/>
    <w:rsid w:val="002F63A1"/>
    <w:rsid w:val="00300368"/>
    <w:rsid w:val="00303C2F"/>
    <w:rsid w:val="00337E93"/>
    <w:rsid w:val="00342DDB"/>
    <w:rsid w:val="00343065"/>
    <w:rsid w:val="00345A22"/>
    <w:rsid w:val="003460E8"/>
    <w:rsid w:val="00347074"/>
    <w:rsid w:val="00362356"/>
    <w:rsid w:val="00373930"/>
    <w:rsid w:val="003821BB"/>
    <w:rsid w:val="003B06BB"/>
    <w:rsid w:val="003B4199"/>
    <w:rsid w:val="003B4A44"/>
    <w:rsid w:val="003B7E1B"/>
    <w:rsid w:val="003C5D82"/>
    <w:rsid w:val="003D15EA"/>
    <w:rsid w:val="003D28D6"/>
    <w:rsid w:val="003D6871"/>
    <w:rsid w:val="003D779F"/>
    <w:rsid w:val="004031E2"/>
    <w:rsid w:val="004165ED"/>
    <w:rsid w:val="00416B97"/>
    <w:rsid w:val="004523CD"/>
    <w:rsid w:val="00454E81"/>
    <w:rsid w:val="00470B76"/>
    <w:rsid w:val="00472927"/>
    <w:rsid w:val="00483C38"/>
    <w:rsid w:val="00497863"/>
    <w:rsid w:val="004B491D"/>
    <w:rsid w:val="004C206D"/>
    <w:rsid w:val="004C6612"/>
    <w:rsid w:val="004C7945"/>
    <w:rsid w:val="004E2B4F"/>
    <w:rsid w:val="00504A64"/>
    <w:rsid w:val="005221A6"/>
    <w:rsid w:val="005241D7"/>
    <w:rsid w:val="00542B4C"/>
    <w:rsid w:val="00562DC2"/>
    <w:rsid w:val="00563F78"/>
    <w:rsid w:val="00574240"/>
    <w:rsid w:val="005C0FF6"/>
    <w:rsid w:val="005E42AF"/>
    <w:rsid w:val="005E45BD"/>
    <w:rsid w:val="005E592C"/>
    <w:rsid w:val="005F3F13"/>
    <w:rsid w:val="005F4749"/>
    <w:rsid w:val="006027A2"/>
    <w:rsid w:val="00604564"/>
    <w:rsid w:val="0061232C"/>
    <w:rsid w:val="0063014C"/>
    <w:rsid w:val="0063027B"/>
    <w:rsid w:val="0063766F"/>
    <w:rsid w:val="00643725"/>
    <w:rsid w:val="00647006"/>
    <w:rsid w:val="006528AB"/>
    <w:rsid w:val="00656862"/>
    <w:rsid w:val="0066147F"/>
    <w:rsid w:val="006659FD"/>
    <w:rsid w:val="00675B5B"/>
    <w:rsid w:val="006773FC"/>
    <w:rsid w:val="0068617E"/>
    <w:rsid w:val="00687B97"/>
    <w:rsid w:val="0069113C"/>
    <w:rsid w:val="0069468A"/>
    <w:rsid w:val="006A5B72"/>
    <w:rsid w:val="006B4C64"/>
    <w:rsid w:val="006D0D97"/>
    <w:rsid w:val="006D34F1"/>
    <w:rsid w:val="006E218D"/>
    <w:rsid w:val="006E3289"/>
    <w:rsid w:val="006E3E96"/>
    <w:rsid w:val="006E481A"/>
    <w:rsid w:val="006F7EC1"/>
    <w:rsid w:val="007120A0"/>
    <w:rsid w:val="0071535D"/>
    <w:rsid w:val="00715982"/>
    <w:rsid w:val="00733777"/>
    <w:rsid w:val="00755F63"/>
    <w:rsid w:val="0077169C"/>
    <w:rsid w:val="00772EF9"/>
    <w:rsid w:val="007747E8"/>
    <w:rsid w:val="0078082D"/>
    <w:rsid w:val="007836DB"/>
    <w:rsid w:val="007A1000"/>
    <w:rsid w:val="007B1B03"/>
    <w:rsid w:val="007B607D"/>
    <w:rsid w:val="007B6DD3"/>
    <w:rsid w:val="007F02EC"/>
    <w:rsid w:val="007F6E32"/>
    <w:rsid w:val="00804FC8"/>
    <w:rsid w:val="0081003D"/>
    <w:rsid w:val="00812BFB"/>
    <w:rsid w:val="00822A4C"/>
    <w:rsid w:val="0086218D"/>
    <w:rsid w:val="008735A4"/>
    <w:rsid w:val="00896A1D"/>
    <w:rsid w:val="008A1E6D"/>
    <w:rsid w:val="008A20AC"/>
    <w:rsid w:val="008B18AE"/>
    <w:rsid w:val="008B2794"/>
    <w:rsid w:val="008C52C5"/>
    <w:rsid w:val="008C5DCB"/>
    <w:rsid w:val="008C7465"/>
    <w:rsid w:val="008D7189"/>
    <w:rsid w:val="008E6B76"/>
    <w:rsid w:val="008F0B7C"/>
    <w:rsid w:val="008F4BC6"/>
    <w:rsid w:val="008F7517"/>
    <w:rsid w:val="00903B0F"/>
    <w:rsid w:val="009143EA"/>
    <w:rsid w:val="00917205"/>
    <w:rsid w:val="0092725A"/>
    <w:rsid w:val="00930A74"/>
    <w:rsid w:val="00954CBE"/>
    <w:rsid w:val="00957A2E"/>
    <w:rsid w:val="00960617"/>
    <w:rsid w:val="009700FE"/>
    <w:rsid w:val="009803AC"/>
    <w:rsid w:val="00983944"/>
    <w:rsid w:val="00986B37"/>
    <w:rsid w:val="009A4CEF"/>
    <w:rsid w:val="009B0913"/>
    <w:rsid w:val="009B5740"/>
    <w:rsid w:val="009B7D40"/>
    <w:rsid w:val="009C7BB4"/>
    <w:rsid w:val="009D0718"/>
    <w:rsid w:val="009D27B4"/>
    <w:rsid w:val="009D664C"/>
    <w:rsid w:val="009E2AEB"/>
    <w:rsid w:val="009E31FB"/>
    <w:rsid w:val="009E549B"/>
    <w:rsid w:val="00A0473E"/>
    <w:rsid w:val="00A06708"/>
    <w:rsid w:val="00A322BC"/>
    <w:rsid w:val="00A379F5"/>
    <w:rsid w:val="00A46438"/>
    <w:rsid w:val="00A514C8"/>
    <w:rsid w:val="00A52660"/>
    <w:rsid w:val="00A53A45"/>
    <w:rsid w:val="00A55B7D"/>
    <w:rsid w:val="00A70406"/>
    <w:rsid w:val="00A71C38"/>
    <w:rsid w:val="00A76D48"/>
    <w:rsid w:val="00A81BF9"/>
    <w:rsid w:val="00A82E83"/>
    <w:rsid w:val="00A90D21"/>
    <w:rsid w:val="00A91174"/>
    <w:rsid w:val="00A9217C"/>
    <w:rsid w:val="00A95393"/>
    <w:rsid w:val="00AA7114"/>
    <w:rsid w:val="00AC37E2"/>
    <w:rsid w:val="00AC3A2B"/>
    <w:rsid w:val="00AC7337"/>
    <w:rsid w:val="00AE0ADA"/>
    <w:rsid w:val="00AE19F9"/>
    <w:rsid w:val="00AF13BD"/>
    <w:rsid w:val="00AF146A"/>
    <w:rsid w:val="00B121FF"/>
    <w:rsid w:val="00B17707"/>
    <w:rsid w:val="00B17917"/>
    <w:rsid w:val="00B20098"/>
    <w:rsid w:val="00B21D99"/>
    <w:rsid w:val="00B22155"/>
    <w:rsid w:val="00B22A54"/>
    <w:rsid w:val="00B3456B"/>
    <w:rsid w:val="00B40A75"/>
    <w:rsid w:val="00B62FFC"/>
    <w:rsid w:val="00B6453C"/>
    <w:rsid w:val="00B65B08"/>
    <w:rsid w:val="00B74A79"/>
    <w:rsid w:val="00B847C4"/>
    <w:rsid w:val="00B91E5F"/>
    <w:rsid w:val="00BA24B1"/>
    <w:rsid w:val="00BA363C"/>
    <w:rsid w:val="00BA451C"/>
    <w:rsid w:val="00BB1EBB"/>
    <w:rsid w:val="00BB6A59"/>
    <w:rsid w:val="00BC18CC"/>
    <w:rsid w:val="00BC4936"/>
    <w:rsid w:val="00BD2DF8"/>
    <w:rsid w:val="00BD6561"/>
    <w:rsid w:val="00BE35A9"/>
    <w:rsid w:val="00BE73D2"/>
    <w:rsid w:val="00BF243A"/>
    <w:rsid w:val="00C15652"/>
    <w:rsid w:val="00C447A1"/>
    <w:rsid w:val="00C508B9"/>
    <w:rsid w:val="00C73233"/>
    <w:rsid w:val="00C77709"/>
    <w:rsid w:val="00C84F3F"/>
    <w:rsid w:val="00CC2E46"/>
    <w:rsid w:val="00CC626A"/>
    <w:rsid w:val="00CD618E"/>
    <w:rsid w:val="00CF24EA"/>
    <w:rsid w:val="00CF3421"/>
    <w:rsid w:val="00CF6645"/>
    <w:rsid w:val="00D11440"/>
    <w:rsid w:val="00D47E91"/>
    <w:rsid w:val="00D62745"/>
    <w:rsid w:val="00D7312A"/>
    <w:rsid w:val="00D73BB0"/>
    <w:rsid w:val="00D82D88"/>
    <w:rsid w:val="00D85DAC"/>
    <w:rsid w:val="00DB58C0"/>
    <w:rsid w:val="00DC20CF"/>
    <w:rsid w:val="00DD4190"/>
    <w:rsid w:val="00DE2AA8"/>
    <w:rsid w:val="00DE6FDB"/>
    <w:rsid w:val="00E03AD1"/>
    <w:rsid w:val="00E12660"/>
    <w:rsid w:val="00E36270"/>
    <w:rsid w:val="00E40A16"/>
    <w:rsid w:val="00E5559A"/>
    <w:rsid w:val="00E56F95"/>
    <w:rsid w:val="00E64F45"/>
    <w:rsid w:val="00E755CA"/>
    <w:rsid w:val="00E756DF"/>
    <w:rsid w:val="00E7781C"/>
    <w:rsid w:val="00E83556"/>
    <w:rsid w:val="00E9329D"/>
    <w:rsid w:val="00E9506C"/>
    <w:rsid w:val="00EA2B57"/>
    <w:rsid w:val="00EA6193"/>
    <w:rsid w:val="00EB6910"/>
    <w:rsid w:val="00EB6DA5"/>
    <w:rsid w:val="00ED192E"/>
    <w:rsid w:val="00EE25E1"/>
    <w:rsid w:val="00EF285F"/>
    <w:rsid w:val="00EF5AB0"/>
    <w:rsid w:val="00F01D9B"/>
    <w:rsid w:val="00F11319"/>
    <w:rsid w:val="00F11598"/>
    <w:rsid w:val="00F254AF"/>
    <w:rsid w:val="00F4680D"/>
    <w:rsid w:val="00F575C5"/>
    <w:rsid w:val="00F62365"/>
    <w:rsid w:val="00F6582B"/>
    <w:rsid w:val="00F747A2"/>
    <w:rsid w:val="00FA596D"/>
    <w:rsid w:val="00FA602E"/>
    <w:rsid w:val="00FC074E"/>
    <w:rsid w:val="00FC41FD"/>
    <w:rsid w:val="00FC5217"/>
    <w:rsid w:val="00FC694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17</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Mihlali Labase</cp:lastModifiedBy>
  <cp:revision>9</cp:revision>
  <cp:lastPrinted>2022-09-29T12:20:00Z</cp:lastPrinted>
  <dcterms:created xsi:type="dcterms:W3CDTF">2022-10-06T11:56:00Z</dcterms:created>
  <dcterms:modified xsi:type="dcterms:W3CDTF">2022-10-07T04:16:00Z</dcterms:modified>
</cp:coreProperties>
</file>