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enabsatz"/>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C1D45" w:rsidRDefault="00B736DF" w:rsidP="009E1027">
      <w:pPr>
        <w:pStyle w:val="Listenabsatz"/>
        <w:numPr>
          <w:ilvl w:val="0"/>
          <w:numId w:val="12"/>
        </w:numPr>
        <w:ind w:left="426"/>
        <w:jc w:val="both"/>
        <w:rPr>
          <w:rFonts w:ascii="Avenir Next" w:hAnsi="Avenir Next" w:cs="Arial"/>
          <w:sz w:val="22"/>
          <w:szCs w:val="22"/>
          <w:highlight w:val="yellow"/>
          <w:lang w:val="en-GB"/>
        </w:rPr>
      </w:pPr>
      <w:r w:rsidRPr="00EC1D4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enabsatz"/>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enabsatz"/>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enabsatz"/>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enabsatz"/>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7F0902" w:rsidRDefault="00161F1B" w:rsidP="009E1027">
      <w:pPr>
        <w:pStyle w:val="Listenabsatz"/>
        <w:numPr>
          <w:ilvl w:val="0"/>
          <w:numId w:val="13"/>
        </w:numPr>
        <w:ind w:left="426"/>
        <w:jc w:val="both"/>
        <w:rPr>
          <w:rFonts w:ascii="Avenir Next" w:hAnsi="Avenir Next" w:cs="Arial"/>
          <w:sz w:val="22"/>
          <w:szCs w:val="22"/>
          <w:highlight w:val="yellow"/>
          <w:lang w:val="en-GB"/>
        </w:rPr>
      </w:pPr>
      <w:r w:rsidRPr="007F0902">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enabsatz"/>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enabsatz"/>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enabsatz"/>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E5F4F" w:rsidRDefault="009E2E27" w:rsidP="008031A7">
      <w:pPr>
        <w:pStyle w:val="Listenabsatz"/>
        <w:numPr>
          <w:ilvl w:val="0"/>
          <w:numId w:val="14"/>
        </w:numPr>
        <w:ind w:left="426"/>
        <w:jc w:val="both"/>
        <w:rPr>
          <w:rFonts w:ascii="Avenir Next" w:hAnsi="Avenir Next" w:cs="Arial"/>
          <w:sz w:val="22"/>
          <w:szCs w:val="22"/>
          <w:highlight w:val="yellow"/>
          <w:lang w:val="en-GB"/>
        </w:rPr>
      </w:pPr>
      <w:r w:rsidRPr="00FE5F4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enabsatz"/>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enabsatz"/>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enabsatz"/>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74947" w:rsidRDefault="009E2E27" w:rsidP="008031A7">
      <w:pPr>
        <w:pStyle w:val="Listenabsatz"/>
        <w:numPr>
          <w:ilvl w:val="0"/>
          <w:numId w:val="15"/>
        </w:numPr>
        <w:ind w:left="426"/>
        <w:jc w:val="both"/>
        <w:rPr>
          <w:rFonts w:ascii="Avenir Next" w:hAnsi="Avenir Next" w:cs="Arial"/>
          <w:sz w:val="22"/>
          <w:szCs w:val="22"/>
          <w:highlight w:val="yellow"/>
          <w:lang w:val="en-GB"/>
        </w:rPr>
      </w:pPr>
      <w:r w:rsidRPr="0007494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enabsatz"/>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B3CFC" w:rsidRDefault="00A235B7" w:rsidP="006D01C2">
      <w:pPr>
        <w:pStyle w:val="Listenabsatz"/>
        <w:numPr>
          <w:ilvl w:val="0"/>
          <w:numId w:val="16"/>
        </w:numPr>
        <w:ind w:left="426"/>
        <w:jc w:val="both"/>
        <w:rPr>
          <w:rFonts w:ascii="Avenir Next" w:hAnsi="Avenir Next" w:cs="Arial"/>
          <w:sz w:val="22"/>
          <w:szCs w:val="22"/>
          <w:highlight w:val="yellow"/>
          <w:lang w:val="en-GB"/>
        </w:rPr>
      </w:pPr>
      <w:r w:rsidRPr="000B3CFC">
        <w:rPr>
          <w:rFonts w:ascii="Avenir Next" w:hAnsi="Avenir Next" w:cs="Arial"/>
          <w:sz w:val="22"/>
          <w:szCs w:val="22"/>
          <w:highlight w:val="yellow"/>
          <w:lang w:val="en-GB"/>
        </w:rPr>
        <w:t>The statement</w:t>
      </w:r>
      <w:r w:rsidR="0037465A" w:rsidRPr="000B3CF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enabsatz"/>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enabsatz"/>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enabsatz"/>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24F3143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enabsatz"/>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7E133A" w:rsidRDefault="00687A1D" w:rsidP="006D01C2">
      <w:pPr>
        <w:pStyle w:val="Listenabsatz"/>
        <w:numPr>
          <w:ilvl w:val="0"/>
          <w:numId w:val="17"/>
        </w:numPr>
        <w:ind w:left="426"/>
        <w:jc w:val="both"/>
        <w:rPr>
          <w:rFonts w:ascii="Avenir Next" w:eastAsiaTheme="minorHAnsi" w:hAnsi="Avenir Next" w:cs="Arial"/>
          <w:sz w:val="22"/>
          <w:szCs w:val="22"/>
          <w:lang w:val="en-GB"/>
        </w:rPr>
      </w:pPr>
      <w:r w:rsidRPr="007E133A">
        <w:rPr>
          <w:rFonts w:ascii="Avenir Next" w:eastAsiaTheme="minorHAnsi" w:hAnsi="Avenir Next" w:cs="Arial"/>
          <w:sz w:val="22"/>
          <w:szCs w:val="22"/>
          <w:lang w:val="en-GB"/>
        </w:rPr>
        <w:t>UNCITRAL Legislative Guide on Insolvency Law</w:t>
      </w:r>
      <w:r w:rsidR="00991428" w:rsidRPr="007E133A">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7E133A" w:rsidRDefault="00687A1D" w:rsidP="006D01C2">
      <w:pPr>
        <w:pStyle w:val="Listenabsatz"/>
        <w:numPr>
          <w:ilvl w:val="0"/>
          <w:numId w:val="17"/>
        </w:numPr>
        <w:ind w:left="426"/>
        <w:jc w:val="both"/>
        <w:rPr>
          <w:rFonts w:ascii="Avenir Next" w:eastAsiaTheme="minorHAnsi" w:hAnsi="Avenir Next" w:cs="Arial"/>
          <w:sz w:val="22"/>
          <w:szCs w:val="22"/>
          <w:lang w:val="en-GB"/>
        </w:rPr>
      </w:pPr>
      <w:r w:rsidRPr="007E133A">
        <w:rPr>
          <w:rFonts w:ascii="Avenir Next" w:eastAsiaTheme="minorHAnsi" w:hAnsi="Avenir Next" w:cs="Arial"/>
          <w:sz w:val="22"/>
          <w:szCs w:val="22"/>
          <w:lang w:val="en-GB"/>
        </w:rPr>
        <w:t>World Bank Principles for Effective Insolvency and Creditor Rights Systems</w:t>
      </w:r>
      <w:r w:rsidR="00991428" w:rsidRPr="007E133A">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7E133A" w:rsidRDefault="00CB2CBB" w:rsidP="006D01C2">
      <w:pPr>
        <w:pStyle w:val="Listenabsatz"/>
        <w:numPr>
          <w:ilvl w:val="0"/>
          <w:numId w:val="17"/>
        </w:numPr>
        <w:ind w:left="426"/>
        <w:jc w:val="both"/>
        <w:rPr>
          <w:rFonts w:ascii="Avenir Next" w:eastAsiaTheme="minorHAnsi" w:hAnsi="Avenir Next" w:cs="Arial"/>
          <w:sz w:val="22"/>
          <w:szCs w:val="22"/>
          <w:highlight w:val="yellow"/>
          <w:lang w:val="en-GB"/>
        </w:rPr>
      </w:pPr>
      <w:r w:rsidRPr="007E133A">
        <w:rPr>
          <w:rFonts w:ascii="Avenir Next" w:eastAsiaTheme="minorHAnsi" w:hAnsi="Avenir Next" w:cs="Arial"/>
          <w:sz w:val="22"/>
          <w:szCs w:val="22"/>
          <w:highlight w:val="yellow"/>
          <w:lang w:val="en-GB"/>
        </w:rPr>
        <w:t>Private International Law</w:t>
      </w:r>
      <w:r w:rsidR="00991428" w:rsidRPr="007E133A">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44730B" w:rsidRDefault="005A0CCA" w:rsidP="006D01C2">
      <w:pPr>
        <w:pStyle w:val="Listenabsatz"/>
        <w:numPr>
          <w:ilvl w:val="0"/>
          <w:numId w:val="18"/>
        </w:numPr>
        <w:ind w:left="426"/>
        <w:jc w:val="both"/>
        <w:rPr>
          <w:rFonts w:ascii="Avenir Next" w:hAnsi="Avenir Next" w:cs="Arial"/>
          <w:sz w:val="22"/>
          <w:szCs w:val="22"/>
          <w:lang w:val="en-GB"/>
        </w:rPr>
      </w:pPr>
      <w:r w:rsidRPr="0044730B">
        <w:rPr>
          <w:rFonts w:ascii="Avenir Next" w:hAnsi="Avenir Next" w:cs="Arial"/>
          <w:sz w:val="22"/>
          <w:szCs w:val="22"/>
          <w:lang w:val="en-GB"/>
        </w:rPr>
        <w:t>ALI</w:t>
      </w:r>
      <w:r w:rsidR="003E0B16" w:rsidRPr="0044730B">
        <w:rPr>
          <w:rFonts w:ascii="Avenir Next" w:hAnsi="Avenir Next" w:cs="Arial"/>
          <w:sz w:val="22"/>
          <w:szCs w:val="22"/>
          <w:lang w:val="en-GB"/>
        </w:rPr>
        <w:t xml:space="preserve"> </w:t>
      </w:r>
      <w:r w:rsidRPr="0044730B">
        <w:rPr>
          <w:rFonts w:ascii="Avenir Next" w:hAnsi="Avenir Next" w:cs="Arial"/>
          <w:sz w:val="22"/>
          <w:szCs w:val="22"/>
          <w:lang w:val="en-GB"/>
        </w:rPr>
        <w:t>/</w:t>
      </w:r>
      <w:r w:rsidR="003E0B16" w:rsidRPr="0044730B">
        <w:rPr>
          <w:rFonts w:ascii="Avenir Next" w:hAnsi="Avenir Next" w:cs="Arial"/>
          <w:sz w:val="22"/>
          <w:szCs w:val="22"/>
          <w:lang w:val="en-GB"/>
        </w:rPr>
        <w:t xml:space="preserve"> </w:t>
      </w:r>
      <w:r w:rsidRPr="0044730B">
        <w:rPr>
          <w:rFonts w:ascii="Avenir Next" w:hAnsi="Avenir Next" w:cs="Arial"/>
          <w:sz w:val="22"/>
          <w:szCs w:val="22"/>
          <w:lang w:val="en-GB"/>
        </w:rPr>
        <w:t>III Global Guidelines Applicable to Court-to-Court Communication in Cross-Border Cases (2012).</w:t>
      </w:r>
      <w:r w:rsidR="004D1A5A" w:rsidRPr="0044730B">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44730B" w:rsidRDefault="005A0CCA" w:rsidP="006D01C2">
      <w:pPr>
        <w:pStyle w:val="Listenabsatz"/>
        <w:numPr>
          <w:ilvl w:val="0"/>
          <w:numId w:val="18"/>
        </w:numPr>
        <w:ind w:left="426"/>
        <w:jc w:val="both"/>
        <w:rPr>
          <w:rFonts w:ascii="Avenir Next" w:hAnsi="Avenir Next" w:cs="Arial"/>
          <w:sz w:val="22"/>
          <w:szCs w:val="22"/>
          <w:shd w:val="clear" w:color="auto" w:fill="FFFFFF"/>
          <w:lang w:val="en-GB"/>
        </w:rPr>
      </w:pPr>
      <w:r w:rsidRPr="0044730B">
        <w:rPr>
          <w:rFonts w:ascii="Avenir Next" w:hAnsi="Avenir Next" w:cs="Arial"/>
          <w:sz w:val="22"/>
          <w:szCs w:val="22"/>
          <w:shd w:val="clear" w:color="auto" w:fill="FFFFFF"/>
          <w:lang w:val="en-GB"/>
        </w:rPr>
        <w:t>EU Cross-Border Insolvency Court-to-Court Communications Guidelines (201</w:t>
      </w:r>
      <w:r w:rsidR="00FE2A86" w:rsidRPr="0044730B">
        <w:rPr>
          <w:rFonts w:ascii="Avenir Next" w:hAnsi="Avenir Next" w:cs="Arial"/>
          <w:sz w:val="22"/>
          <w:szCs w:val="22"/>
          <w:shd w:val="clear" w:color="auto" w:fill="FFFFFF"/>
          <w:lang w:val="en-GB"/>
        </w:rPr>
        <w:t>4</w:t>
      </w:r>
      <w:r w:rsidRPr="0044730B">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50FCB" w:rsidRDefault="004D1A5A" w:rsidP="006D01C2">
      <w:pPr>
        <w:pStyle w:val="Listenabsatz"/>
        <w:numPr>
          <w:ilvl w:val="0"/>
          <w:numId w:val="18"/>
        </w:numPr>
        <w:ind w:left="426"/>
        <w:jc w:val="both"/>
        <w:rPr>
          <w:rFonts w:ascii="Avenir Next" w:hAnsi="Avenir Next" w:cs="Arial"/>
          <w:sz w:val="22"/>
          <w:szCs w:val="22"/>
          <w:highlight w:val="yellow"/>
          <w:lang w:val="en-GB"/>
        </w:rPr>
      </w:pPr>
      <w:r w:rsidRPr="00C50FCB">
        <w:rPr>
          <w:rFonts w:ascii="Avenir Next" w:hAnsi="Avenir Next" w:cs="Arial"/>
          <w:sz w:val="22"/>
          <w:szCs w:val="22"/>
          <w:highlight w:val="yellow"/>
          <w:lang w:val="en-GB"/>
        </w:rPr>
        <w:t>UNCITRAL Model Law on Cross-border Insolvency (1997)</w:t>
      </w:r>
      <w:r w:rsidR="00912C79" w:rsidRPr="00C50FCB">
        <w:rPr>
          <w:rFonts w:ascii="Avenir Next" w:hAnsi="Avenir Next" w:cs="Arial"/>
          <w:sz w:val="22"/>
          <w:szCs w:val="22"/>
          <w:highlight w:val="yellow"/>
          <w:lang w:val="en-GB"/>
        </w:rPr>
        <w:t>.</w:t>
      </w:r>
      <w:r w:rsidRPr="00C50FCB">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44730B" w:rsidRDefault="005A0CCA" w:rsidP="006D01C2">
      <w:pPr>
        <w:pStyle w:val="Listenabsatz"/>
        <w:numPr>
          <w:ilvl w:val="0"/>
          <w:numId w:val="18"/>
        </w:numPr>
        <w:ind w:left="426"/>
        <w:jc w:val="both"/>
        <w:rPr>
          <w:rFonts w:ascii="Avenir Next" w:eastAsiaTheme="minorHAnsi" w:hAnsi="Avenir Next" w:cs="Arial"/>
          <w:sz w:val="22"/>
          <w:szCs w:val="22"/>
          <w:lang w:val="en-GB"/>
        </w:rPr>
      </w:pPr>
      <w:r w:rsidRPr="0044730B">
        <w:rPr>
          <w:rFonts w:ascii="Avenir Next" w:eastAsiaTheme="minorHAnsi" w:hAnsi="Avenir Next" w:cs="Arial"/>
          <w:sz w:val="22"/>
          <w:szCs w:val="22"/>
          <w:lang w:val="en-GB"/>
        </w:rPr>
        <w:t>JIN Guidelines for Communication and Cooperation between Courts in Cross-Border Insolvency Matters (2016)</w:t>
      </w:r>
      <w:r w:rsidR="00991428" w:rsidRPr="0044730B">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enabsatz"/>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enabsatz"/>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enabsatz"/>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121B3" w:rsidRDefault="001A7E9A" w:rsidP="006D01C2">
      <w:pPr>
        <w:pStyle w:val="Listenabsatz"/>
        <w:numPr>
          <w:ilvl w:val="0"/>
          <w:numId w:val="19"/>
        </w:numPr>
        <w:ind w:left="426"/>
        <w:jc w:val="both"/>
        <w:rPr>
          <w:rFonts w:ascii="Avenir Next" w:eastAsiaTheme="minorHAnsi" w:hAnsi="Avenir Next" w:cs="Arial"/>
          <w:sz w:val="22"/>
          <w:szCs w:val="22"/>
          <w:highlight w:val="yellow"/>
          <w:lang w:val="en-GB"/>
        </w:rPr>
      </w:pPr>
      <w:r w:rsidRPr="000121B3">
        <w:rPr>
          <w:rFonts w:ascii="Avenir Next" w:hAnsi="Avenir Next" w:cs="Arial"/>
          <w:sz w:val="22"/>
          <w:szCs w:val="22"/>
          <w:highlight w:val="yellow"/>
          <w:lang w:val="en-GB"/>
        </w:rPr>
        <w:t>Havana Convention on Private International Law (1928)</w:t>
      </w:r>
      <w:r w:rsidRPr="000121B3">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F3627E" w:rsidRDefault="0082483F" w:rsidP="006D01C2">
      <w:pPr>
        <w:pStyle w:val="Listenabsatz"/>
        <w:numPr>
          <w:ilvl w:val="0"/>
          <w:numId w:val="20"/>
        </w:numPr>
        <w:ind w:left="426"/>
        <w:jc w:val="both"/>
        <w:rPr>
          <w:rFonts w:ascii="Avenir Next" w:hAnsi="Avenir Next" w:cs="Arial"/>
          <w:sz w:val="22"/>
          <w:szCs w:val="22"/>
          <w:highlight w:val="yellow"/>
          <w:lang w:val="en-GB"/>
        </w:rPr>
      </w:pPr>
      <w:r w:rsidRPr="00F3627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4FC8118F" w:rsidR="0082483F" w:rsidRDefault="0082483F" w:rsidP="006D01C2">
      <w:pPr>
        <w:pStyle w:val="Listenabsatz"/>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1515F7B2" w14:textId="77777777" w:rsidR="004E1111" w:rsidRPr="004E1111" w:rsidRDefault="004E1111" w:rsidP="004E1111">
      <w:pPr>
        <w:pStyle w:val="Listenabsatz"/>
        <w:rPr>
          <w:rFonts w:ascii="Avenir Next" w:hAnsi="Avenir Next" w:cs="Arial"/>
          <w:sz w:val="22"/>
          <w:szCs w:val="22"/>
          <w:lang w:val="en-GB"/>
        </w:rPr>
      </w:pPr>
    </w:p>
    <w:p w14:paraId="67B60932" w14:textId="695E08E3" w:rsidR="0082483F" w:rsidRPr="00827D56" w:rsidRDefault="0082483F" w:rsidP="006D01C2">
      <w:pPr>
        <w:pStyle w:val="Listenabsatz"/>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enabsatz"/>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enabsatz"/>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enabsatz"/>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3627E" w:rsidRDefault="00ED0BC4" w:rsidP="00286AE6">
      <w:pPr>
        <w:pStyle w:val="Listenabsatz"/>
        <w:numPr>
          <w:ilvl w:val="0"/>
          <w:numId w:val="21"/>
        </w:numPr>
        <w:ind w:left="426"/>
        <w:jc w:val="both"/>
        <w:rPr>
          <w:rFonts w:ascii="Avenir Next" w:eastAsiaTheme="minorHAnsi" w:hAnsi="Avenir Next" w:cs="Arial"/>
          <w:sz w:val="22"/>
          <w:szCs w:val="22"/>
          <w:highlight w:val="yellow"/>
          <w:lang w:val="en-GB"/>
        </w:rPr>
      </w:pPr>
      <w:r w:rsidRPr="00F3627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enabsatz"/>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E2FE7FD" w:rsidR="009B07AD" w:rsidRPr="00F4665E" w:rsidRDefault="00B470A3" w:rsidP="00B470A3">
      <w:pPr>
        <w:ind w:hanging="11"/>
        <w:jc w:val="both"/>
        <w:rPr>
          <w:rFonts w:ascii="Avenir Next" w:hAnsi="Avenir Next" w:cs="Arial"/>
          <w:i/>
          <w:iCs/>
          <w:sz w:val="22"/>
          <w:szCs w:val="22"/>
          <w:lang w:val="en-GB"/>
        </w:rPr>
      </w:pPr>
      <w:r w:rsidRPr="00F4665E">
        <w:rPr>
          <w:rFonts w:ascii="Avenir Next" w:hAnsi="Avenir Next" w:cs="Arial"/>
          <w:i/>
          <w:iCs/>
          <w:sz w:val="22"/>
          <w:szCs w:val="22"/>
          <w:lang w:val="en-GB"/>
        </w:rPr>
        <w:t>The term "international insolvency law" is to be understood as the totality of regulations, conventions and international agreements that can be used for the handling of insolvency matters that go beyond national borders. There is no international law regulating cross-border insolvency matters. However, numerous associations and agreements between countries help to create common starting points for the uniform handling of insolvency cases through communication and cooperation between courts or parties involved in the insolvency.</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3A4FA8A6" w:rsidR="009B07AD" w:rsidRDefault="009B07AD" w:rsidP="00C053F7">
      <w:pPr>
        <w:ind w:left="720" w:hanging="720"/>
        <w:jc w:val="both"/>
        <w:rPr>
          <w:rFonts w:ascii="Avenir Next" w:hAnsi="Avenir Next" w:cs="Arial"/>
          <w:sz w:val="22"/>
          <w:szCs w:val="22"/>
          <w:lang w:val="en-GB"/>
        </w:rPr>
      </w:pPr>
    </w:p>
    <w:p w14:paraId="79961E83" w14:textId="6D3E60ED" w:rsidR="00D17FDC" w:rsidRPr="00F4665E" w:rsidRDefault="008A27D9" w:rsidP="008A27D9">
      <w:pPr>
        <w:jc w:val="both"/>
        <w:rPr>
          <w:rFonts w:ascii="Avenir Next" w:hAnsi="Avenir Next" w:cs="Arial"/>
          <w:i/>
          <w:iCs/>
          <w:sz w:val="22"/>
          <w:szCs w:val="22"/>
          <w:lang w:val="en-GB"/>
        </w:rPr>
      </w:pPr>
      <w:bookmarkStart w:id="0" w:name="_Hlk115283252"/>
      <w:r w:rsidRPr="00F4665E">
        <w:rPr>
          <w:rFonts w:ascii="Avenir Next" w:hAnsi="Avenir Next" w:cs="Arial"/>
          <w:i/>
          <w:iCs/>
          <w:sz w:val="22"/>
          <w:szCs w:val="22"/>
          <w:lang w:val="en-GB"/>
        </w:rPr>
        <w:t>The concepts of universa</w:t>
      </w:r>
      <w:r w:rsidR="00376E41" w:rsidRPr="00F4665E">
        <w:rPr>
          <w:rFonts w:ascii="Avenir Next" w:hAnsi="Avenir Next" w:cs="Arial"/>
          <w:i/>
          <w:iCs/>
          <w:sz w:val="22"/>
          <w:szCs w:val="22"/>
          <w:lang w:val="en-GB"/>
        </w:rPr>
        <w:t>lism</w:t>
      </w:r>
      <w:r w:rsidRPr="00F4665E">
        <w:rPr>
          <w:rFonts w:ascii="Avenir Next" w:hAnsi="Avenir Next" w:cs="Arial"/>
          <w:i/>
          <w:iCs/>
          <w:sz w:val="22"/>
          <w:szCs w:val="22"/>
          <w:lang w:val="en-GB"/>
        </w:rPr>
        <w:t xml:space="preserve"> and territoriali</w:t>
      </w:r>
      <w:r w:rsidR="00376E41" w:rsidRPr="00F4665E">
        <w:rPr>
          <w:rFonts w:ascii="Avenir Next" w:hAnsi="Avenir Next" w:cs="Arial"/>
          <w:i/>
          <w:iCs/>
          <w:sz w:val="22"/>
          <w:szCs w:val="22"/>
          <w:lang w:val="en-GB"/>
        </w:rPr>
        <w:t>sm</w:t>
      </w:r>
      <w:r w:rsidRPr="00F4665E">
        <w:rPr>
          <w:rFonts w:ascii="Avenir Next" w:hAnsi="Avenir Next" w:cs="Arial"/>
          <w:i/>
          <w:iCs/>
          <w:sz w:val="22"/>
          <w:szCs w:val="22"/>
          <w:lang w:val="en-GB"/>
        </w:rPr>
        <w:t xml:space="preserve"> represent diametrically opposed theories that offer solutions to cross-border insolvency issues. According to the principle of universalism, the application of the insolvency law of only one of the countries involved always applies in cross-border insolvency cases. This country can be determined, for example, according to the centre of its main interests (COMI). The insolvency law of one country is thus used outside its own territory. </w:t>
      </w:r>
      <w:r w:rsidR="00376E41" w:rsidRPr="00F4665E">
        <w:rPr>
          <w:rFonts w:ascii="Avenir Next" w:hAnsi="Avenir Next" w:cs="Arial"/>
          <w:i/>
          <w:iCs/>
          <w:sz w:val="22"/>
          <w:szCs w:val="22"/>
          <w:lang w:val="en-GB"/>
        </w:rPr>
        <w:t xml:space="preserve">In contrast, the principle of territorialism provides that the insolvency law of a country always applies only within its </w:t>
      </w:r>
      <w:r w:rsidR="00376E41" w:rsidRPr="00F4665E">
        <w:rPr>
          <w:rFonts w:ascii="Avenir Next" w:hAnsi="Avenir Next" w:cs="Arial"/>
          <w:i/>
          <w:iCs/>
          <w:sz w:val="22"/>
          <w:szCs w:val="22"/>
          <w:lang w:val="en-GB"/>
        </w:rPr>
        <w:lastRenderedPageBreak/>
        <w:t>borders. Consequently, if a cross-border insolvency situation exists, this regularly results in the opening of several insolvency proceedings in different countries.</w:t>
      </w:r>
    </w:p>
    <w:bookmarkEnd w:id="0"/>
    <w:p w14:paraId="0E79EB0F" w14:textId="77777777" w:rsidR="008A27D9" w:rsidRPr="00827D56" w:rsidRDefault="008A27D9"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62E511CE" w:rsidR="0045683E" w:rsidRPr="00F4665E" w:rsidRDefault="00212604" w:rsidP="00C053F7">
      <w:pPr>
        <w:jc w:val="both"/>
        <w:rPr>
          <w:rFonts w:ascii="Avenir Next" w:hAnsi="Avenir Next" w:cs="Arial"/>
          <w:i/>
          <w:iCs/>
          <w:sz w:val="22"/>
          <w:szCs w:val="22"/>
          <w:lang w:val="en-GB"/>
        </w:rPr>
      </w:pPr>
      <w:r w:rsidRPr="00F4665E">
        <w:rPr>
          <w:rFonts w:ascii="Avenir Next" w:hAnsi="Avenir Next" w:cs="Arial"/>
          <w:i/>
          <w:iCs/>
          <w:sz w:val="22"/>
          <w:szCs w:val="22"/>
          <w:lang w:val="en-GB"/>
        </w:rPr>
        <w:t>In the Middle East, there are currently no uniform rules for an international insolvency law. However, Bahrain, Kuwait, Oman, Qatar, Saudi Arabia and the United Arab Emirates, which together form the Gulf Cooperation Council, have been cooperating with the World Bank on cross-border insolvency issues for over 40 years.</w:t>
      </w:r>
    </w:p>
    <w:p w14:paraId="08E8EB39" w14:textId="6A94A5F2" w:rsidR="00212604" w:rsidRPr="00F4665E" w:rsidRDefault="00212604" w:rsidP="00C053F7">
      <w:pPr>
        <w:jc w:val="both"/>
        <w:rPr>
          <w:rFonts w:ascii="Avenir Next" w:hAnsi="Avenir Next" w:cs="Arial"/>
          <w:i/>
          <w:iCs/>
          <w:sz w:val="22"/>
          <w:szCs w:val="22"/>
          <w:lang w:val="en-GB"/>
        </w:rPr>
      </w:pPr>
    </w:p>
    <w:p w14:paraId="63AF369D" w14:textId="22DF2055" w:rsidR="00212604" w:rsidRPr="00F4665E" w:rsidRDefault="00212604" w:rsidP="00C053F7">
      <w:pPr>
        <w:jc w:val="both"/>
        <w:rPr>
          <w:rFonts w:ascii="Avenir Next" w:hAnsi="Avenir Next" w:cs="Arial"/>
          <w:i/>
          <w:iCs/>
          <w:sz w:val="22"/>
          <w:szCs w:val="22"/>
          <w:lang w:val="en-GB"/>
        </w:rPr>
      </w:pPr>
      <w:r w:rsidRPr="00F4665E">
        <w:rPr>
          <w:rFonts w:ascii="Avenir Next" w:hAnsi="Avenir Next" w:cs="Arial"/>
          <w:i/>
          <w:iCs/>
          <w:sz w:val="22"/>
          <w:szCs w:val="22"/>
          <w:lang w:val="en-GB"/>
        </w:rPr>
        <w:t xml:space="preserve">In 2009, the World Bank, together with the </w:t>
      </w:r>
      <w:r w:rsidR="00B470A3" w:rsidRPr="00F4665E">
        <w:rPr>
          <w:rFonts w:ascii="Avenir Next" w:hAnsi="Avenir Next" w:cs="Arial"/>
          <w:i/>
          <w:iCs/>
          <w:sz w:val="22"/>
          <w:szCs w:val="22"/>
          <w:lang w:val="en-GB"/>
        </w:rPr>
        <w:t>Hawkamah</w:t>
      </w:r>
      <w:r w:rsidRPr="00F4665E">
        <w:rPr>
          <w:rFonts w:ascii="Avenir Next" w:hAnsi="Avenir Next" w:cs="Arial"/>
          <w:i/>
          <w:iCs/>
          <w:sz w:val="22"/>
          <w:szCs w:val="22"/>
          <w:lang w:val="en-GB"/>
        </w:rPr>
        <w:t xml:space="preserve"> Institute for Corporate Governance and the OECD and INSOL International, published the first comparative study of insolvency systems in the Middle East and North Africa (MENA). This focused on the principles already published by the World Bank.</w:t>
      </w:r>
    </w:p>
    <w:p w14:paraId="614C9B43" w14:textId="52ED4D54" w:rsidR="00212604" w:rsidRPr="00F4665E" w:rsidRDefault="00212604" w:rsidP="00C053F7">
      <w:pPr>
        <w:jc w:val="both"/>
        <w:rPr>
          <w:rFonts w:ascii="Avenir Next" w:hAnsi="Avenir Next" w:cs="Arial"/>
          <w:i/>
          <w:iCs/>
          <w:sz w:val="22"/>
          <w:szCs w:val="22"/>
          <w:lang w:val="en-GB"/>
        </w:rPr>
      </w:pPr>
    </w:p>
    <w:p w14:paraId="74BC703F" w14:textId="403B68EF" w:rsidR="00212604" w:rsidRPr="00F4665E" w:rsidRDefault="00AB6826" w:rsidP="00C053F7">
      <w:pPr>
        <w:jc w:val="both"/>
        <w:rPr>
          <w:rFonts w:ascii="Avenir Next" w:hAnsi="Avenir Next" w:cs="Arial"/>
          <w:i/>
          <w:iCs/>
          <w:sz w:val="22"/>
          <w:szCs w:val="22"/>
          <w:lang w:val="en-GB"/>
        </w:rPr>
      </w:pPr>
      <w:r w:rsidRPr="00F4665E">
        <w:rPr>
          <w:rFonts w:ascii="Avenir Next" w:hAnsi="Avenir Next" w:cs="Arial"/>
          <w:i/>
          <w:iCs/>
          <w:sz w:val="22"/>
          <w:szCs w:val="22"/>
          <w:lang w:val="en-GB"/>
        </w:rPr>
        <w:t>The United Arab Emirates, Saudi Arabia and Dubai have each reformed their national insolvency laws in the years since 2016. Bahrain adopted the Model Law on Cross-Border Insolvency in 2018 and Dubai the International Financial Centre in 2019.</w:t>
      </w:r>
    </w:p>
    <w:p w14:paraId="383B5930" w14:textId="77777777" w:rsidR="00C550C8" w:rsidRPr="00827D56" w:rsidRDefault="00C550C8" w:rsidP="00C053F7">
      <w:pPr>
        <w:jc w:val="both"/>
        <w:rPr>
          <w:rFonts w:ascii="Avenir Next" w:hAnsi="Avenir Next" w:cs="Arial"/>
          <w:sz w:val="22"/>
          <w:szCs w:val="22"/>
          <w:lang w:val="en-GB"/>
        </w:rPr>
      </w:pPr>
    </w:p>
    <w:p w14:paraId="641AE788" w14:textId="77777777" w:rsidR="00AB6826" w:rsidRDefault="00AB6826" w:rsidP="00AB6826">
      <w:pPr>
        <w:rPr>
          <w:rFonts w:ascii="Avenir Next" w:hAnsi="Avenir Next" w:cs="Arial"/>
          <w:b/>
          <w:sz w:val="22"/>
          <w:szCs w:val="22"/>
          <w:lang w:val="en-GB"/>
        </w:rPr>
      </w:pPr>
    </w:p>
    <w:p w14:paraId="170A9E71" w14:textId="09A3986B" w:rsidR="00962045" w:rsidRPr="00827D56" w:rsidRDefault="00DF75F8" w:rsidP="00AB6826">
      <w:pP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312FD501" w:rsidR="00544127" w:rsidRPr="00F4665E" w:rsidRDefault="00433205" w:rsidP="00433205">
      <w:pPr>
        <w:jc w:val="both"/>
        <w:rPr>
          <w:rFonts w:ascii="Avenir Next" w:hAnsi="Avenir Next" w:cs="Arial"/>
          <w:i/>
          <w:iCs/>
          <w:sz w:val="22"/>
          <w:szCs w:val="22"/>
          <w:lang w:val="en-GB"/>
        </w:rPr>
      </w:pPr>
      <w:r w:rsidRPr="00F4665E">
        <w:rPr>
          <w:rFonts w:ascii="Avenir Next" w:hAnsi="Avenir Next" w:cs="Arial"/>
          <w:i/>
          <w:iCs/>
          <w:sz w:val="22"/>
          <w:szCs w:val="22"/>
          <w:lang w:val="en-GB"/>
        </w:rPr>
        <w:t>Basically, regardless of which insolvency code from which country is considered, insolvency law is divided into two main subject areas. One is the insolvency of private individuals and the other is the insolvency of companies. In a direct comparison of these two insolvency debtors concerned, on the one hand there are concordant regulations, but on the other hand there are equally significant differences. The decisive factor here is that "dissolution" of the debtor after the conclusion of insolvency proceedings is already not possible in the case of natural persons. In the insolvency of these, the focus is therefore on the discharge of the debtor, which results in a new start for the debtor upon conclusion of the insolvency proceedings. Such rehabilitation is not possible in the case of companies, so that they are regularly liquidated. In the case of companies, the possibility of reorganization or restructuring is increasingly being sought as a means of preventing liquidation.</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0335CB9E" w:rsidR="00DF75F8" w:rsidRDefault="00DF75F8" w:rsidP="00C053F7">
      <w:pPr>
        <w:jc w:val="both"/>
        <w:rPr>
          <w:rFonts w:ascii="Avenir Next" w:hAnsi="Avenir Next" w:cs="Arial"/>
          <w:sz w:val="22"/>
          <w:szCs w:val="22"/>
          <w:lang w:val="en-GB"/>
        </w:rPr>
      </w:pPr>
    </w:p>
    <w:p w14:paraId="41D1116A" w14:textId="4AC69434" w:rsidR="002248A4" w:rsidRPr="00F4665E" w:rsidRDefault="002248A4" w:rsidP="00C053F7">
      <w:pPr>
        <w:jc w:val="both"/>
        <w:rPr>
          <w:rFonts w:ascii="Avenir Next" w:hAnsi="Avenir Next" w:cs="Arial"/>
          <w:i/>
          <w:iCs/>
          <w:sz w:val="22"/>
          <w:szCs w:val="22"/>
          <w:lang w:val="en-GB"/>
        </w:rPr>
      </w:pPr>
      <w:r w:rsidRPr="00F4665E">
        <w:rPr>
          <w:rFonts w:ascii="Avenir Next" w:hAnsi="Avenir Next" w:cs="Arial"/>
          <w:i/>
          <w:iCs/>
          <w:sz w:val="22"/>
          <w:szCs w:val="22"/>
          <w:lang w:val="en-GB"/>
        </w:rPr>
        <w:t xml:space="preserve">If an insolvency case arises which crosses national borders into the territory of another state, it must regularly be dealt with the fact that the insolvency law of most states ends at their national borders. This can result in a situation that leads to different insolvency proceedings. In this case, insolvency laws with different characteristics may clash. For example, one of the countries involved may have an insolvency code that is particularly creditor-friendly, while the other country may have an insolvency </w:t>
      </w:r>
      <w:r w:rsidRPr="00F4665E">
        <w:rPr>
          <w:rFonts w:ascii="Avenir Next" w:hAnsi="Avenir Next" w:cs="Arial"/>
          <w:i/>
          <w:iCs/>
          <w:sz w:val="22"/>
          <w:szCs w:val="22"/>
          <w:lang w:val="en-GB"/>
        </w:rPr>
        <w:lastRenderedPageBreak/>
        <w:t>code that is particularly debtor-friendly. This can lead to a race among creditors in one country, while in the other country the debtor concerned is deprived of any prospects. The so-called "forum shopping" can occur, according to which parties in the proceedings choose the country that is more favourable for them.</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33EDE650" w:rsidR="00DF75F8" w:rsidRDefault="00DF75F8" w:rsidP="00C053F7">
      <w:pPr>
        <w:jc w:val="both"/>
        <w:rPr>
          <w:rFonts w:ascii="Avenir Next" w:hAnsi="Avenir Next" w:cs="Arial"/>
          <w:sz w:val="22"/>
          <w:szCs w:val="22"/>
          <w:lang w:val="en-GB"/>
        </w:rPr>
      </w:pPr>
    </w:p>
    <w:p w14:paraId="48A95312" w14:textId="62781A59" w:rsidR="00525804" w:rsidRPr="00F4665E" w:rsidRDefault="00525804" w:rsidP="00C053F7">
      <w:pPr>
        <w:jc w:val="both"/>
        <w:rPr>
          <w:rFonts w:ascii="Avenir Next" w:hAnsi="Avenir Next" w:cs="Arial"/>
          <w:i/>
          <w:iCs/>
          <w:sz w:val="22"/>
          <w:szCs w:val="22"/>
          <w:lang w:val="en-GB"/>
        </w:rPr>
      </w:pPr>
      <w:r w:rsidRPr="00F4665E">
        <w:rPr>
          <w:rFonts w:ascii="Avenir Next" w:hAnsi="Avenir Next" w:cs="Arial"/>
          <w:i/>
          <w:iCs/>
          <w:sz w:val="22"/>
          <w:szCs w:val="22"/>
          <w:lang w:val="en-GB"/>
        </w:rPr>
        <w:t>Multilateral approaches to harmonizing the insolvency laws of different states have existed, through treaties and conventions between states, since the 13th and 14th centuries. Through these approaches, attempts are made to regulate international insolvencies either through so-called " hard law" or to influence them through "soft law". within the European union, a significant success was achieved in this context through the enactment of the European Insolvency Regulation (EIR), which has also influenced multilateral developments in international insolvency law beyond this. The EIR is so-called hard law. Even more influential were measures of so-called "soft law", which advanced international directives or guidelines for the establishment of harmonization of common insolvency regimes. One example is the UNCITRAL Legislative Guide on Insolvency Law 2004, while the World Bank's Principles for Effective Insolvency and Creditor/Debtor Regimes of 2005 were also influential. The ALI NAFTA Guidelines Applicable to Court-to-Court Communications in Cross-Border Cases (2000) should also be mentioned.</w:t>
      </w:r>
    </w:p>
    <w:p w14:paraId="3497BF8B" w14:textId="3C9C10F6" w:rsidR="00886988" w:rsidRDefault="00886988" w:rsidP="00C053F7">
      <w:pPr>
        <w:jc w:val="both"/>
        <w:rPr>
          <w:rFonts w:ascii="Avenir Next" w:hAnsi="Avenir Next" w:cs="Arial"/>
          <w:sz w:val="22"/>
          <w:szCs w:val="22"/>
          <w:lang w:val="en-GB"/>
        </w:rPr>
      </w:pPr>
    </w:p>
    <w:p w14:paraId="1B20CB49" w14:textId="20FF5A73" w:rsidR="00525804" w:rsidRPr="00F4665E" w:rsidRDefault="00886988" w:rsidP="00525804">
      <w:pPr>
        <w:jc w:val="both"/>
        <w:rPr>
          <w:rFonts w:ascii="Avenir Next" w:hAnsi="Avenir Next" w:cs="Arial"/>
          <w:i/>
          <w:iCs/>
          <w:color w:val="7B7B7B" w:themeColor="accent3" w:themeShade="BF"/>
          <w:sz w:val="22"/>
          <w:szCs w:val="22"/>
          <w:lang w:val="en-GB"/>
        </w:rPr>
      </w:pPr>
      <w:r w:rsidRPr="00F4665E">
        <w:rPr>
          <w:rFonts w:ascii="Avenir Next" w:hAnsi="Avenir Next" w:cs="Arial"/>
          <w:i/>
          <w:iCs/>
          <w:sz w:val="22"/>
          <w:szCs w:val="22"/>
          <w:lang w:val="en-GB"/>
        </w:rPr>
        <w:t>In my opinion, the aforementioned regulations or directives and guidelines contribute quite significantly to a favourable development of the harmonization of national insolvency law systems. Against the backdrop of the international nature of business, which has also become prevalent in the economy as a result of digitalization alone, there is an urgent need for concepts that create common structures for resolving insolvency issues. Since many countries look to national legislation, guidelines such as those issued by UNCITRAL or the World Bank can support harmonization efforts. This is especially true as long as they have binding effect when referenced.</w:t>
      </w:r>
    </w:p>
    <w:p w14:paraId="105BFC62" w14:textId="77777777" w:rsidR="00525804" w:rsidRPr="00827D56" w:rsidRDefault="00525804" w:rsidP="00525804">
      <w:pPr>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63FB18A7"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Nadir Pty Ltd (Nadir) is a company registered in Utopia.</w:t>
      </w:r>
      <w:r w:rsidR="00B47766">
        <w:rPr>
          <w:rFonts w:ascii="Avenir Next" w:hAnsi="Avenir Next" w:cs="Arial"/>
          <w:sz w:val="22"/>
          <w:szCs w:val="22"/>
          <w:lang w:val="en-GB"/>
        </w:rPr>
        <w:t xml:space="preserve"> </w:t>
      </w:r>
      <w:r w:rsidRPr="00827D56">
        <w:rPr>
          <w:rFonts w:ascii="Avenir Next" w:hAnsi="Avenir Next" w:cs="Arial"/>
          <w:sz w:val="22"/>
          <w:szCs w:val="22"/>
          <w:lang w:val="en-GB"/>
        </w:rPr>
        <w:t xml:space="preserve">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01EA2C20"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37C26073" w14:textId="77777777" w:rsidR="00AB6826" w:rsidRDefault="00AB6826" w:rsidP="00C053F7">
      <w:pPr>
        <w:jc w:val="both"/>
        <w:rPr>
          <w:rFonts w:ascii="Avenir Next Demi Bold" w:hAnsi="Avenir Next Demi Bold" w:cs="Arial"/>
          <w:b/>
          <w:bCs/>
          <w:sz w:val="22"/>
          <w:szCs w:val="22"/>
          <w:lang w:val="en-GB"/>
        </w:rPr>
      </w:pPr>
      <w:bookmarkStart w:id="1" w:name="_Hlk17745211"/>
    </w:p>
    <w:p w14:paraId="3EEBCF39" w14:textId="7731421E"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3BD501D0" w14:textId="3D43801E" w:rsidR="00827D56" w:rsidRDefault="00827D56" w:rsidP="00C053F7">
      <w:pPr>
        <w:jc w:val="both"/>
        <w:rPr>
          <w:rFonts w:ascii="Avenir Next" w:hAnsi="Avenir Next" w:cs="Arial"/>
          <w:color w:val="7B7B7B" w:themeColor="accent3" w:themeShade="BF"/>
          <w:sz w:val="22"/>
          <w:szCs w:val="22"/>
          <w:lang w:val="en-GB"/>
        </w:rPr>
      </w:pPr>
    </w:p>
    <w:p w14:paraId="6196C70D" w14:textId="6049F3B5" w:rsidR="00E62FF3" w:rsidRPr="00E62FF3" w:rsidRDefault="00E62FF3" w:rsidP="00C053F7">
      <w:pPr>
        <w:jc w:val="both"/>
        <w:rPr>
          <w:rFonts w:ascii="Avenir Next" w:hAnsi="Avenir Next" w:cs="Arial"/>
          <w:i/>
          <w:iCs/>
          <w:sz w:val="22"/>
          <w:szCs w:val="22"/>
          <w:lang w:val="en-GB"/>
        </w:rPr>
      </w:pPr>
      <w:r w:rsidRPr="00E62FF3">
        <w:rPr>
          <w:rFonts w:ascii="Avenir Next" w:hAnsi="Avenir Next" w:cs="Arial"/>
          <w:i/>
          <w:iCs/>
          <w:sz w:val="22"/>
          <w:szCs w:val="22"/>
          <w:lang w:val="en-GB"/>
        </w:rPr>
        <w:t>First of all, it should be borne in mind that the UNCITRAL Model Law on Cross-border Insolvency is in principle only a guideline which countries can use as a reference when drafting their own national insolvency regulations. As Utopia has adopted the UNICITRAL model in its entirety, the authority of the liquidator from Erewhon to act is also determined by the principles of this model. One of the most important principles of this model law is the cooperation and coordination of cross-border insolvency proceedings. Insofar as the liquidator in Erewhon wishes to obtain a discontinuance of the action of Apex against Nadir, this is essentially aimed at ensuring that assets of Nadir do not already reach Apex on the basis of the action. The efforts of the liquidator must be aimed at achieving an equal distribution of the proceeds from liquidation to all creditors. On the basis of the application of the UNCITRAL model, it should be possible to establish contact with the court hearing the action against Nadir and initially obtain an interruption of the proceedings. In the next step, the liquidator should attempt to reach an agreement with Apex that will result in at least a partial amount of Apex's claim as the amount to be paid to Apex by way of a specific liquidation.</w:t>
      </w:r>
      <w:r w:rsidR="00506738">
        <w:rPr>
          <w:rFonts w:ascii="Avenir Next" w:hAnsi="Avenir Next" w:cs="Arial"/>
          <w:i/>
          <w:iCs/>
          <w:sz w:val="22"/>
          <w:szCs w:val="22"/>
          <w:lang w:val="en-GB"/>
        </w:rPr>
        <w:t xml:space="preserve"> </w:t>
      </w:r>
      <w:r w:rsidR="00506738" w:rsidRPr="00506738">
        <w:rPr>
          <w:rFonts w:ascii="Avenir Next" w:hAnsi="Avenir Next" w:cs="Arial"/>
          <w:i/>
          <w:iCs/>
          <w:sz w:val="22"/>
          <w:szCs w:val="22"/>
          <w:lang w:val="en-GB"/>
        </w:rPr>
        <w:t>With an existing cooperation with the court in Utopia and a basis for discussion with Apex, it should be possible for the liquidator, with reference to the principles of the UNCITRAL model, to achieve cross-border coordination of the liquidation and, including Apex, to make it possible for all creditors to participate in the proceeds liquidation. With Apex involved from the beginning, this further procedure is not expected to be negative.</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enabsatz"/>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enabsatz"/>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1B5E2F08" w14:textId="6DC58FCC" w:rsidR="002D3473"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042EBC89" w14:textId="77777777" w:rsidR="00591565" w:rsidRPr="00591565" w:rsidRDefault="00591565" w:rsidP="00591565">
      <w:pPr>
        <w:autoSpaceDE w:val="0"/>
        <w:autoSpaceDN w:val="0"/>
        <w:adjustRightInd w:val="0"/>
        <w:spacing w:line="276" w:lineRule="auto"/>
        <w:jc w:val="both"/>
        <w:rPr>
          <w:rFonts w:ascii="Avenir Next" w:hAnsi="Avenir Next" w:cs="Arial"/>
          <w:i/>
          <w:iCs/>
          <w:sz w:val="22"/>
          <w:szCs w:val="22"/>
          <w:lang w:val="en-GB"/>
        </w:rPr>
      </w:pPr>
      <w:r w:rsidRPr="00591565">
        <w:rPr>
          <w:rFonts w:ascii="Avenir Next" w:hAnsi="Avenir Next" w:cs="Arial"/>
          <w:i/>
          <w:iCs/>
          <w:sz w:val="22"/>
          <w:szCs w:val="22"/>
          <w:lang w:val="en-GB"/>
        </w:rPr>
        <w:t>Re a):</w:t>
      </w:r>
    </w:p>
    <w:p w14:paraId="10038633" w14:textId="77777777" w:rsidR="00591565" w:rsidRPr="00591565" w:rsidRDefault="00591565" w:rsidP="00591565">
      <w:pPr>
        <w:autoSpaceDE w:val="0"/>
        <w:autoSpaceDN w:val="0"/>
        <w:adjustRightInd w:val="0"/>
        <w:spacing w:line="276" w:lineRule="auto"/>
        <w:jc w:val="both"/>
        <w:rPr>
          <w:rFonts w:ascii="Avenir Next" w:hAnsi="Avenir Next" w:cs="Arial"/>
          <w:i/>
          <w:iCs/>
          <w:sz w:val="22"/>
          <w:szCs w:val="22"/>
          <w:lang w:val="en-GB"/>
        </w:rPr>
      </w:pPr>
    </w:p>
    <w:p w14:paraId="26A8B512" w14:textId="1A00A71B" w:rsidR="00591565" w:rsidRDefault="00591565" w:rsidP="00591565">
      <w:pPr>
        <w:autoSpaceDE w:val="0"/>
        <w:autoSpaceDN w:val="0"/>
        <w:adjustRightInd w:val="0"/>
        <w:spacing w:line="276" w:lineRule="auto"/>
        <w:jc w:val="both"/>
        <w:rPr>
          <w:rFonts w:ascii="Avenir Next" w:hAnsi="Avenir Next" w:cs="Arial"/>
          <w:i/>
          <w:iCs/>
          <w:sz w:val="22"/>
          <w:szCs w:val="22"/>
          <w:lang w:val="en-GB"/>
        </w:rPr>
      </w:pPr>
      <w:r w:rsidRPr="00591565">
        <w:rPr>
          <w:rFonts w:ascii="Avenir Next" w:hAnsi="Avenir Next" w:cs="Arial"/>
          <w:i/>
          <w:iCs/>
          <w:sz w:val="22"/>
          <w:szCs w:val="22"/>
          <w:lang w:val="en-GB"/>
        </w:rPr>
        <w:t>If Apex, for its part, has applied for the winding up of Nadir, the first step should be to quickly seek talks with Apex in order to persuade Apex to withdraw its application on the basis of an agreement. It must be made clear in good time that a winding-up has already been initiated and that a simplification as well as harmonization of the procedure will be achieved if a liquidator pursues the winding-up.</w:t>
      </w:r>
    </w:p>
    <w:p w14:paraId="26178376" w14:textId="77777777" w:rsidR="000050FF" w:rsidRDefault="000050FF" w:rsidP="00591565">
      <w:pPr>
        <w:autoSpaceDE w:val="0"/>
        <w:autoSpaceDN w:val="0"/>
        <w:adjustRightInd w:val="0"/>
        <w:spacing w:line="276" w:lineRule="auto"/>
        <w:jc w:val="both"/>
        <w:rPr>
          <w:rFonts w:ascii="Avenir Next" w:hAnsi="Avenir Next" w:cs="Arial"/>
          <w:i/>
          <w:iCs/>
          <w:sz w:val="22"/>
          <w:szCs w:val="22"/>
          <w:lang w:val="en-GB"/>
        </w:rPr>
      </w:pPr>
    </w:p>
    <w:p w14:paraId="41AA2325" w14:textId="77777777" w:rsidR="000050FF" w:rsidRPr="000050FF" w:rsidRDefault="000050FF" w:rsidP="000050FF">
      <w:pPr>
        <w:autoSpaceDE w:val="0"/>
        <w:autoSpaceDN w:val="0"/>
        <w:adjustRightInd w:val="0"/>
        <w:spacing w:line="276" w:lineRule="auto"/>
        <w:jc w:val="both"/>
        <w:rPr>
          <w:rFonts w:ascii="Avenir Next" w:hAnsi="Avenir Next" w:cs="Arial"/>
          <w:i/>
          <w:iCs/>
          <w:sz w:val="22"/>
          <w:szCs w:val="22"/>
          <w:lang w:val="en-GB"/>
        </w:rPr>
      </w:pPr>
      <w:r w:rsidRPr="000050FF">
        <w:rPr>
          <w:rFonts w:ascii="Avenir Next" w:hAnsi="Avenir Next" w:cs="Arial"/>
          <w:i/>
          <w:iCs/>
          <w:sz w:val="22"/>
          <w:szCs w:val="22"/>
          <w:lang w:val="en-GB"/>
        </w:rPr>
        <w:t>Re b):</w:t>
      </w:r>
    </w:p>
    <w:p w14:paraId="37131444" w14:textId="77777777" w:rsidR="000050FF" w:rsidRPr="000050FF" w:rsidRDefault="000050FF" w:rsidP="000050FF">
      <w:pPr>
        <w:autoSpaceDE w:val="0"/>
        <w:autoSpaceDN w:val="0"/>
        <w:adjustRightInd w:val="0"/>
        <w:spacing w:line="276" w:lineRule="auto"/>
        <w:jc w:val="both"/>
        <w:rPr>
          <w:rFonts w:ascii="Avenir Next" w:hAnsi="Avenir Next" w:cs="Arial"/>
          <w:i/>
          <w:iCs/>
          <w:sz w:val="22"/>
          <w:szCs w:val="22"/>
          <w:lang w:val="en-GB"/>
        </w:rPr>
      </w:pPr>
    </w:p>
    <w:p w14:paraId="6E2C7DE0" w14:textId="71FD35AA" w:rsidR="00591565" w:rsidRDefault="000050FF" w:rsidP="000050FF">
      <w:pPr>
        <w:autoSpaceDE w:val="0"/>
        <w:autoSpaceDN w:val="0"/>
        <w:adjustRightInd w:val="0"/>
        <w:spacing w:line="276" w:lineRule="auto"/>
        <w:jc w:val="both"/>
        <w:rPr>
          <w:rFonts w:ascii="Avenir Next" w:hAnsi="Avenir Next" w:cs="Arial"/>
          <w:i/>
          <w:iCs/>
          <w:sz w:val="22"/>
          <w:szCs w:val="22"/>
          <w:lang w:val="en-GB"/>
        </w:rPr>
      </w:pPr>
      <w:r w:rsidRPr="000050FF">
        <w:rPr>
          <w:rFonts w:ascii="Avenir Next" w:hAnsi="Avenir Next" w:cs="Arial"/>
          <w:i/>
          <w:iCs/>
          <w:sz w:val="22"/>
          <w:szCs w:val="22"/>
          <w:lang w:val="en-GB"/>
        </w:rPr>
        <w:t xml:space="preserve">If a liquidation of Nadir has also been initiated in Utopia due to the application of Apex, the discussion with the liquidator in Utopia should also be sought. Since the UNCITRAL model strives for a standardization and harmonization of liquidation procedures, a basis should be found as soon as possible, according to which a uniform liquidation procedure can be carried out over the assets of the </w:t>
      </w:r>
      <w:r w:rsidRPr="000050FF">
        <w:rPr>
          <w:rFonts w:ascii="Avenir Next" w:hAnsi="Avenir Next" w:cs="Arial"/>
          <w:i/>
          <w:iCs/>
          <w:sz w:val="22"/>
          <w:szCs w:val="22"/>
          <w:lang w:val="en-GB"/>
        </w:rPr>
        <w:lastRenderedPageBreak/>
        <w:t>Nadir. With reference to the modified universalism, it should be worked out where the main procedure of liquidation should be conducted. Since it can be assumed that the main proceedings will be conducted where the company has its headquarters, the liquidator in Utopia should also essentially take care of the liquidation. The own role in this case can be that by support from the perspective of the events and assets of the company in Erewhon.</w:t>
      </w:r>
    </w:p>
    <w:p w14:paraId="7E46EE7A" w14:textId="77777777" w:rsidR="00591565" w:rsidRPr="00591565" w:rsidRDefault="00591565" w:rsidP="00591565">
      <w:pPr>
        <w:autoSpaceDE w:val="0"/>
        <w:autoSpaceDN w:val="0"/>
        <w:adjustRightInd w:val="0"/>
        <w:spacing w:line="276" w:lineRule="auto"/>
        <w:jc w:val="both"/>
        <w:rPr>
          <w:rFonts w:ascii="Avenir Next" w:hAnsi="Avenir Next" w:cs="Arial"/>
          <w:i/>
          <w:iCs/>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95E035C" w:rsidR="002D0021"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36B3C25B" w14:textId="2933E00C" w:rsidR="00AF2CA2" w:rsidRDefault="00AF2CA2" w:rsidP="00C053F7">
      <w:pPr>
        <w:jc w:val="both"/>
        <w:rPr>
          <w:rFonts w:ascii="Avenir Next" w:hAnsi="Avenir Next" w:cs="Arial"/>
          <w:sz w:val="22"/>
          <w:szCs w:val="22"/>
          <w:lang w:val="en-GB"/>
        </w:rPr>
      </w:pPr>
    </w:p>
    <w:p w14:paraId="451F6F60" w14:textId="5B9D6958" w:rsidR="00AF2CA2" w:rsidRDefault="00AF2CA2" w:rsidP="00C053F7">
      <w:pPr>
        <w:jc w:val="both"/>
        <w:rPr>
          <w:rFonts w:ascii="Avenir Next" w:hAnsi="Avenir Next" w:cs="Arial"/>
          <w:i/>
          <w:iCs/>
          <w:sz w:val="22"/>
          <w:szCs w:val="22"/>
        </w:rPr>
      </w:pPr>
      <w:r w:rsidRPr="00AF2CA2">
        <w:rPr>
          <w:rFonts w:ascii="Avenir Next" w:hAnsi="Avenir Next" w:cs="Arial"/>
          <w:i/>
          <w:iCs/>
          <w:sz w:val="22"/>
          <w:szCs w:val="22"/>
        </w:rPr>
        <w:t>The company is incorporated in the United Kingdom.</w:t>
      </w:r>
    </w:p>
    <w:p w14:paraId="40DF3673" w14:textId="4E38BFAE" w:rsidR="00AF2CA2" w:rsidRDefault="00AF2CA2" w:rsidP="00C053F7">
      <w:pPr>
        <w:jc w:val="both"/>
        <w:rPr>
          <w:rFonts w:ascii="Avenir Next" w:hAnsi="Avenir Next" w:cs="Arial"/>
          <w:i/>
          <w:iCs/>
          <w:sz w:val="22"/>
          <w:szCs w:val="22"/>
        </w:rPr>
      </w:pPr>
    </w:p>
    <w:p w14:paraId="721E513F" w14:textId="429844DA" w:rsidR="00AF2CA2" w:rsidRDefault="00650B47" w:rsidP="00C053F7">
      <w:pPr>
        <w:jc w:val="both"/>
        <w:rPr>
          <w:rFonts w:ascii="Avenir Next" w:hAnsi="Avenir Next" w:cs="Arial"/>
          <w:i/>
          <w:iCs/>
          <w:sz w:val="22"/>
          <w:szCs w:val="22"/>
        </w:rPr>
      </w:pPr>
      <w:r w:rsidRPr="00650B47">
        <w:rPr>
          <w:rFonts w:ascii="Avenir Next" w:hAnsi="Avenir Next" w:cs="Arial"/>
          <w:i/>
          <w:iCs/>
          <w:sz w:val="22"/>
          <w:szCs w:val="22"/>
        </w:rPr>
        <w:t>On the four important insolvency law issues related to the cross-border insolvency situation:</w:t>
      </w:r>
    </w:p>
    <w:p w14:paraId="66962421" w14:textId="28F4E406" w:rsidR="00650B47" w:rsidRDefault="00650B47" w:rsidP="00C053F7">
      <w:pPr>
        <w:jc w:val="both"/>
        <w:rPr>
          <w:rFonts w:ascii="Avenir Next" w:hAnsi="Avenir Next" w:cs="Arial"/>
          <w:i/>
          <w:iCs/>
          <w:sz w:val="22"/>
          <w:szCs w:val="22"/>
        </w:rPr>
      </w:pPr>
    </w:p>
    <w:p w14:paraId="55DC9272" w14:textId="0BB3F6A0" w:rsidR="00650B47" w:rsidRDefault="00650B47" w:rsidP="00C053F7">
      <w:pPr>
        <w:jc w:val="both"/>
        <w:rPr>
          <w:rFonts w:ascii="Avenir Next" w:hAnsi="Avenir Next" w:cs="Arial"/>
          <w:i/>
          <w:iCs/>
          <w:sz w:val="22"/>
          <w:szCs w:val="22"/>
        </w:rPr>
      </w:pPr>
      <w:r w:rsidRPr="0023606B">
        <w:rPr>
          <w:rFonts w:ascii="Avenir Next" w:hAnsi="Avenir Next" w:cs="Arial"/>
          <w:i/>
          <w:iCs/>
          <w:sz w:val="22"/>
          <w:szCs w:val="22"/>
        </w:rPr>
        <w:t xml:space="preserve">1. </w:t>
      </w:r>
      <w:r w:rsidR="0023606B" w:rsidRPr="0023606B">
        <w:rPr>
          <w:rFonts w:ascii="Avenir Next" w:hAnsi="Avenir Next" w:cs="Arial"/>
          <w:i/>
          <w:iCs/>
          <w:sz w:val="22"/>
          <w:szCs w:val="22"/>
        </w:rPr>
        <w:t>In which other countries was the company active and have insolvency proceedings already been opened against the assets of this company there?</w:t>
      </w:r>
      <w:r w:rsidR="0023606B">
        <w:rPr>
          <w:rFonts w:ascii="Avenir Next" w:hAnsi="Avenir Next" w:cs="Arial"/>
          <w:i/>
          <w:iCs/>
          <w:sz w:val="22"/>
          <w:szCs w:val="22"/>
        </w:rPr>
        <w:t xml:space="preserve"> </w:t>
      </w:r>
      <w:r w:rsidR="0023606B" w:rsidRPr="0023606B">
        <w:rPr>
          <w:rFonts w:ascii="Avenir Next" w:hAnsi="Avenir Next" w:cs="Arial"/>
          <w:i/>
          <w:iCs/>
          <w:sz w:val="22"/>
          <w:szCs w:val="22"/>
        </w:rPr>
        <w:t>Are there ongoing legal disputes in the respective states?</w:t>
      </w:r>
    </w:p>
    <w:p w14:paraId="0E5E1F82" w14:textId="4BEB6D82" w:rsidR="0023606B" w:rsidRDefault="0023606B" w:rsidP="00C053F7">
      <w:pPr>
        <w:jc w:val="both"/>
        <w:rPr>
          <w:rFonts w:ascii="Avenir Next" w:hAnsi="Avenir Next" w:cs="Arial"/>
          <w:i/>
          <w:iCs/>
          <w:sz w:val="22"/>
          <w:szCs w:val="22"/>
        </w:rPr>
      </w:pPr>
    </w:p>
    <w:p w14:paraId="21D4DF4F" w14:textId="774C0FEF" w:rsidR="0023606B" w:rsidRDefault="005832CE" w:rsidP="00C053F7">
      <w:pPr>
        <w:jc w:val="both"/>
        <w:rPr>
          <w:rFonts w:ascii="Avenir Next" w:hAnsi="Avenir Next" w:cs="Arial"/>
          <w:i/>
          <w:iCs/>
          <w:sz w:val="22"/>
          <w:szCs w:val="22"/>
        </w:rPr>
      </w:pPr>
      <w:r w:rsidRPr="005832CE">
        <w:rPr>
          <w:rFonts w:ascii="Avenir Next" w:hAnsi="Avenir Next" w:cs="Arial"/>
          <w:i/>
          <w:iCs/>
          <w:sz w:val="22"/>
          <w:szCs w:val="22"/>
        </w:rPr>
        <w:t>This first question is more concerned with clarifying the existing facts. The situation is different if insolvency proceedings have been opened in one country and the question arises whether or how to deal with assets or services of this company in other countries. However, if efforts have already been made in another country to take legal measures to deal with insolvency or if insolvency proceedings have already been opened, the cooperation must be approached differently.</w:t>
      </w:r>
      <w:r>
        <w:rPr>
          <w:rFonts w:ascii="Avenir Next" w:hAnsi="Avenir Next" w:cs="Arial"/>
          <w:i/>
          <w:iCs/>
          <w:sz w:val="22"/>
          <w:szCs w:val="22"/>
        </w:rPr>
        <w:t xml:space="preserve"> </w:t>
      </w:r>
    </w:p>
    <w:p w14:paraId="3C0C43E1" w14:textId="3D94D28D" w:rsidR="006E33B2" w:rsidRDefault="006E33B2" w:rsidP="00C053F7">
      <w:pPr>
        <w:jc w:val="both"/>
        <w:rPr>
          <w:rFonts w:ascii="Avenir Next" w:hAnsi="Avenir Next" w:cs="Arial"/>
          <w:i/>
          <w:iCs/>
          <w:sz w:val="22"/>
          <w:szCs w:val="22"/>
        </w:rPr>
      </w:pPr>
    </w:p>
    <w:p w14:paraId="115E2D76" w14:textId="5662F3BC" w:rsidR="006E33B2" w:rsidRDefault="006E33B2" w:rsidP="00C053F7">
      <w:pPr>
        <w:jc w:val="both"/>
        <w:rPr>
          <w:rFonts w:ascii="Avenir Next" w:hAnsi="Avenir Next" w:cs="Arial"/>
          <w:i/>
          <w:iCs/>
          <w:sz w:val="22"/>
          <w:szCs w:val="22"/>
        </w:rPr>
      </w:pPr>
      <w:r w:rsidRPr="006E33B2">
        <w:rPr>
          <w:rFonts w:ascii="Avenir Next" w:hAnsi="Avenir Next" w:cs="Arial"/>
          <w:i/>
          <w:iCs/>
          <w:sz w:val="22"/>
          <w:szCs w:val="22"/>
        </w:rPr>
        <w:t>The United Kingdom has uniform insolvency legislation in the form of the Insolvency Act 1986.</w:t>
      </w:r>
      <w:r>
        <w:rPr>
          <w:rFonts w:ascii="Avenir Next" w:hAnsi="Avenir Next" w:cs="Arial"/>
          <w:i/>
          <w:iCs/>
          <w:sz w:val="22"/>
          <w:szCs w:val="22"/>
        </w:rPr>
        <w:t xml:space="preserve"> </w:t>
      </w:r>
      <w:r w:rsidRPr="006E33B2">
        <w:rPr>
          <w:rFonts w:ascii="Avenir Next" w:hAnsi="Avenir Next" w:cs="Arial"/>
          <w:i/>
          <w:iCs/>
          <w:sz w:val="22"/>
          <w:szCs w:val="22"/>
        </w:rPr>
        <w:t>The United Kingdom has uniform insolvency legislation in the form of the Insolvency Act 1986. England and Wales have fully adopted the UNICITRAL model on cross-border insolvency. Section 456 of the Insolvency Act 1986 only applies to relevant countries and common law principles also continue to apply.</w:t>
      </w:r>
    </w:p>
    <w:p w14:paraId="2D2D4977" w14:textId="3D682FB9" w:rsidR="006E33B2" w:rsidRDefault="006E33B2" w:rsidP="00C053F7">
      <w:pPr>
        <w:jc w:val="both"/>
        <w:rPr>
          <w:rFonts w:ascii="Avenir Next" w:hAnsi="Avenir Next" w:cs="Arial"/>
          <w:i/>
          <w:iCs/>
          <w:sz w:val="22"/>
          <w:szCs w:val="22"/>
        </w:rPr>
      </w:pPr>
    </w:p>
    <w:p w14:paraId="3AADC07B" w14:textId="0D544C1A" w:rsidR="0023606B" w:rsidRDefault="006E33B2" w:rsidP="00C053F7">
      <w:pPr>
        <w:jc w:val="both"/>
        <w:rPr>
          <w:rFonts w:ascii="Avenir Next" w:hAnsi="Avenir Next" w:cs="Arial"/>
          <w:i/>
          <w:iCs/>
          <w:sz w:val="22"/>
          <w:szCs w:val="22"/>
        </w:rPr>
      </w:pPr>
      <w:r w:rsidRPr="006E33B2">
        <w:rPr>
          <w:rFonts w:ascii="Avenir Next" w:hAnsi="Avenir Next" w:cs="Arial"/>
          <w:i/>
          <w:iCs/>
          <w:sz w:val="22"/>
          <w:szCs w:val="22"/>
        </w:rPr>
        <w:t>In this context, it may be important whether the country in question is one of the "relevant" countries or a country that is also part of the common law. It is also important whether it is a country that has also adopted the UNCITRAL model.</w:t>
      </w:r>
    </w:p>
    <w:p w14:paraId="75F848D9" w14:textId="77777777" w:rsidR="006E33B2" w:rsidRDefault="006E33B2" w:rsidP="00C053F7">
      <w:pPr>
        <w:jc w:val="both"/>
        <w:rPr>
          <w:rFonts w:ascii="Avenir Next" w:hAnsi="Avenir Next" w:cs="Arial"/>
          <w:i/>
          <w:iCs/>
          <w:sz w:val="22"/>
          <w:szCs w:val="22"/>
        </w:rPr>
      </w:pPr>
    </w:p>
    <w:p w14:paraId="34EF1C1E" w14:textId="7E878D52" w:rsidR="0023606B" w:rsidRDefault="0023606B" w:rsidP="00C053F7">
      <w:pPr>
        <w:jc w:val="both"/>
        <w:rPr>
          <w:rFonts w:ascii="Avenir Next" w:hAnsi="Avenir Next" w:cs="Arial"/>
          <w:i/>
          <w:iCs/>
          <w:sz w:val="22"/>
          <w:szCs w:val="22"/>
        </w:rPr>
      </w:pPr>
      <w:r>
        <w:rPr>
          <w:rFonts w:ascii="Avenir Next" w:hAnsi="Avenir Next" w:cs="Arial"/>
          <w:i/>
          <w:iCs/>
          <w:sz w:val="22"/>
          <w:szCs w:val="22"/>
        </w:rPr>
        <w:t xml:space="preserve">2. </w:t>
      </w:r>
      <w:r w:rsidRPr="0023606B">
        <w:rPr>
          <w:rFonts w:ascii="Avenir Next" w:hAnsi="Avenir Next" w:cs="Arial"/>
          <w:i/>
          <w:iCs/>
          <w:sz w:val="22"/>
          <w:szCs w:val="22"/>
        </w:rPr>
        <w:t>What type of insolvency law applies in these countries? Is the insolvency code more creditor-friendly or debtor-friendly? Does the respective insolvency code tend more towards reorganization or liquidation?</w:t>
      </w:r>
    </w:p>
    <w:p w14:paraId="314588C3" w14:textId="539C71FC" w:rsidR="0023606B" w:rsidRDefault="0023606B" w:rsidP="00C053F7">
      <w:pPr>
        <w:jc w:val="both"/>
        <w:rPr>
          <w:rFonts w:ascii="Avenir Next" w:hAnsi="Avenir Next" w:cs="Arial"/>
          <w:i/>
          <w:iCs/>
          <w:sz w:val="22"/>
          <w:szCs w:val="22"/>
        </w:rPr>
      </w:pPr>
    </w:p>
    <w:p w14:paraId="33CDC5E3" w14:textId="1A4BE39F" w:rsidR="0023606B" w:rsidRDefault="00F322D3" w:rsidP="00C053F7">
      <w:pPr>
        <w:jc w:val="both"/>
        <w:rPr>
          <w:rFonts w:ascii="Avenir Next" w:hAnsi="Avenir Next" w:cs="Arial"/>
          <w:i/>
          <w:iCs/>
          <w:sz w:val="22"/>
          <w:szCs w:val="22"/>
        </w:rPr>
      </w:pPr>
      <w:r w:rsidRPr="00F322D3">
        <w:rPr>
          <w:rFonts w:ascii="Avenir Next" w:hAnsi="Avenir Next" w:cs="Arial"/>
          <w:i/>
          <w:iCs/>
          <w:sz w:val="22"/>
          <w:szCs w:val="22"/>
        </w:rPr>
        <w:lastRenderedPageBreak/>
        <w:t>This question is essentially to clarify which legal systems my context of a cross-border insolvency is confronted with. Depending on the orientation of the system, the proceedings can proceed harmoniously from the outset or end in conflict, for example if a creditor-friendly insolvency system is operated in one country but a debtor-friendly insolvency system in the other. The way in which the procedures are structured in the different countries also plays a key role in finding points of contact that enable the procedure to be handled cooperatively.</w:t>
      </w:r>
    </w:p>
    <w:p w14:paraId="6C6814A3" w14:textId="6FECB529" w:rsidR="00F322D3" w:rsidRDefault="00F322D3" w:rsidP="00C053F7">
      <w:pPr>
        <w:jc w:val="both"/>
        <w:rPr>
          <w:rFonts w:ascii="Avenir Next" w:hAnsi="Avenir Next" w:cs="Arial"/>
          <w:i/>
          <w:iCs/>
          <w:sz w:val="22"/>
          <w:szCs w:val="22"/>
        </w:rPr>
      </w:pPr>
    </w:p>
    <w:p w14:paraId="4478D13A" w14:textId="09348F7F" w:rsidR="0023606B" w:rsidRDefault="006F7BA8" w:rsidP="00C053F7">
      <w:pPr>
        <w:jc w:val="both"/>
        <w:rPr>
          <w:rFonts w:ascii="Avenir Next" w:hAnsi="Avenir Next" w:cs="Arial"/>
          <w:i/>
          <w:iCs/>
          <w:sz w:val="22"/>
          <w:szCs w:val="22"/>
        </w:rPr>
      </w:pPr>
      <w:r w:rsidRPr="006F7BA8">
        <w:rPr>
          <w:rFonts w:ascii="Avenir Next" w:hAnsi="Avenir Next" w:cs="Arial"/>
          <w:i/>
          <w:iCs/>
          <w:sz w:val="22"/>
          <w:szCs w:val="22"/>
        </w:rPr>
        <w:t>First of all, English insolvency law is based on uniform legislation and not on general law. Any provisions and regulations on the course of insolvency proceedings can consequently be derived from the Insolvency Act 1986. In English insolvency law, a differentiation is made between consumer insolvency and that of companies. As a source of common law, there are numerous similarities and regulations that apply in all the countries that also belong to the common law. In addition, England and Wales has adapted the UNCITRAL model, which provides significant support in the regulation of cross-border insolvency matters.</w:t>
      </w:r>
    </w:p>
    <w:p w14:paraId="4071A014" w14:textId="50514071" w:rsidR="006F7BA8" w:rsidRDefault="006F7BA8" w:rsidP="00C053F7">
      <w:pPr>
        <w:jc w:val="both"/>
        <w:rPr>
          <w:rFonts w:ascii="Avenir Next" w:hAnsi="Avenir Next" w:cs="Arial"/>
          <w:i/>
          <w:iCs/>
          <w:sz w:val="22"/>
          <w:szCs w:val="22"/>
        </w:rPr>
      </w:pPr>
    </w:p>
    <w:p w14:paraId="1EC2E62E" w14:textId="3DF9DA6E" w:rsidR="007E34AE" w:rsidRDefault="007E34AE" w:rsidP="00C053F7">
      <w:pPr>
        <w:jc w:val="both"/>
        <w:rPr>
          <w:rFonts w:ascii="Avenir Next" w:hAnsi="Avenir Next" w:cs="Arial"/>
          <w:i/>
          <w:iCs/>
          <w:sz w:val="22"/>
          <w:szCs w:val="22"/>
        </w:rPr>
      </w:pPr>
      <w:r w:rsidRPr="007E34AE">
        <w:rPr>
          <w:rFonts w:ascii="Avenir Next" w:hAnsi="Avenir Next" w:cs="Arial"/>
          <w:i/>
          <w:iCs/>
          <w:sz w:val="22"/>
          <w:szCs w:val="22"/>
        </w:rPr>
        <w:t>English insolvency law is more debtor-friendly and therefore tends to favor debt restructuring and reorganization.</w:t>
      </w:r>
    </w:p>
    <w:p w14:paraId="353D9656" w14:textId="77777777" w:rsidR="007E34AE" w:rsidRDefault="007E34AE" w:rsidP="00C053F7">
      <w:pPr>
        <w:jc w:val="both"/>
        <w:rPr>
          <w:rFonts w:ascii="Avenir Next" w:hAnsi="Avenir Next" w:cs="Arial"/>
          <w:i/>
          <w:iCs/>
          <w:sz w:val="22"/>
          <w:szCs w:val="22"/>
        </w:rPr>
      </w:pPr>
    </w:p>
    <w:p w14:paraId="7589461E" w14:textId="782D5A2C" w:rsidR="0023606B" w:rsidRDefault="0023606B" w:rsidP="00C053F7">
      <w:pPr>
        <w:jc w:val="both"/>
        <w:rPr>
          <w:rFonts w:ascii="Avenir Next" w:hAnsi="Avenir Next" w:cs="Arial"/>
          <w:i/>
          <w:iCs/>
          <w:sz w:val="22"/>
          <w:szCs w:val="22"/>
        </w:rPr>
      </w:pPr>
      <w:r>
        <w:rPr>
          <w:rFonts w:ascii="Avenir Next" w:hAnsi="Avenir Next" w:cs="Arial"/>
          <w:i/>
          <w:iCs/>
          <w:sz w:val="22"/>
          <w:szCs w:val="22"/>
        </w:rPr>
        <w:t xml:space="preserve">3. </w:t>
      </w:r>
      <w:r w:rsidRPr="0023606B">
        <w:rPr>
          <w:rFonts w:ascii="Avenir Next" w:hAnsi="Avenir Next" w:cs="Arial"/>
          <w:i/>
          <w:iCs/>
          <w:sz w:val="22"/>
          <w:szCs w:val="22"/>
        </w:rPr>
        <w:t>Do the countries concerned individually participate in international agreements or have they adopted certain international guidelines to harmonize cross-border solvency issues?</w:t>
      </w:r>
    </w:p>
    <w:p w14:paraId="7EE93979" w14:textId="544EE1F3" w:rsidR="0023606B" w:rsidRDefault="0023606B" w:rsidP="00C053F7">
      <w:pPr>
        <w:jc w:val="both"/>
        <w:rPr>
          <w:rFonts w:ascii="Avenir Next" w:hAnsi="Avenir Next" w:cs="Arial"/>
          <w:i/>
          <w:iCs/>
          <w:sz w:val="22"/>
          <w:szCs w:val="22"/>
        </w:rPr>
      </w:pPr>
    </w:p>
    <w:p w14:paraId="713EFF04" w14:textId="363103A6" w:rsidR="0023606B" w:rsidRDefault="007E34AE" w:rsidP="00C053F7">
      <w:pPr>
        <w:jc w:val="both"/>
        <w:rPr>
          <w:rFonts w:ascii="Avenir Next" w:hAnsi="Avenir Next" w:cs="Arial"/>
          <w:i/>
          <w:iCs/>
          <w:sz w:val="22"/>
          <w:szCs w:val="22"/>
        </w:rPr>
      </w:pPr>
      <w:r w:rsidRPr="007E34AE">
        <w:rPr>
          <w:rFonts w:ascii="Avenir Next" w:hAnsi="Avenir Next" w:cs="Arial"/>
          <w:i/>
          <w:iCs/>
          <w:sz w:val="22"/>
          <w:szCs w:val="22"/>
        </w:rPr>
        <w:t>This question is mainly aimed at finding a platform through which a cross-border insolvency can be resolved in a cooperative manner. This platform can essentially consist of the fact that international insolvency law provisions already exist uniformly or that the states involved have adopted international agreements or guidelines into their system.</w:t>
      </w:r>
    </w:p>
    <w:p w14:paraId="1165C59C" w14:textId="085A9E08" w:rsidR="007E34AE" w:rsidRDefault="007E34AE" w:rsidP="00C053F7">
      <w:pPr>
        <w:jc w:val="both"/>
        <w:rPr>
          <w:rFonts w:ascii="Avenir Next" w:hAnsi="Avenir Next" w:cs="Arial"/>
          <w:i/>
          <w:iCs/>
          <w:sz w:val="22"/>
          <w:szCs w:val="22"/>
        </w:rPr>
      </w:pPr>
    </w:p>
    <w:p w14:paraId="176D60C4" w14:textId="3CD780AB" w:rsidR="007E34AE" w:rsidRPr="0023606B" w:rsidRDefault="007E34AE" w:rsidP="00C053F7">
      <w:pPr>
        <w:jc w:val="both"/>
        <w:rPr>
          <w:rFonts w:ascii="Avenir Next" w:hAnsi="Avenir Next" w:cs="Arial"/>
          <w:i/>
          <w:iCs/>
          <w:sz w:val="22"/>
          <w:szCs w:val="22"/>
        </w:rPr>
      </w:pPr>
      <w:r w:rsidRPr="007E34AE">
        <w:rPr>
          <w:rFonts w:ascii="Avenir Next" w:hAnsi="Avenir Next" w:cs="Arial"/>
          <w:i/>
          <w:iCs/>
          <w:sz w:val="22"/>
          <w:szCs w:val="22"/>
        </w:rPr>
        <w:t>England and Wales have adopted the UNCITRAL model in their legal system, so that cross-border insolvency cases can be handled harmoniously, especially if the other countries involved also adhere to the UNCITRAL model.</w:t>
      </w:r>
    </w:p>
    <w:p w14:paraId="49CA1A56" w14:textId="77777777" w:rsidR="00AF2CA2" w:rsidRPr="0023606B" w:rsidRDefault="00AF2CA2" w:rsidP="00C053F7">
      <w:pPr>
        <w:jc w:val="both"/>
        <w:rPr>
          <w:rFonts w:ascii="Avenir Next" w:hAnsi="Avenir Next" w:cs="Arial"/>
          <w:i/>
          <w:iCs/>
          <w:sz w:val="22"/>
          <w:szCs w:val="22"/>
        </w:rPr>
      </w:pPr>
    </w:p>
    <w:p w14:paraId="35D8F287" w14:textId="57AE098A" w:rsidR="0077498C" w:rsidRPr="0023606B" w:rsidRDefault="0077498C" w:rsidP="00C053F7">
      <w:pPr>
        <w:jc w:val="both"/>
        <w:rPr>
          <w:rFonts w:ascii="Avenir Next" w:hAnsi="Avenir Next" w:cs="Arial"/>
          <w:color w:val="7B7B7B" w:themeColor="accent3" w:themeShade="BF"/>
          <w:sz w:val="22"/>
          <w:szCs w:val="22"/>
        </w:rPr>
      </w:pPr>
    </w:p>
    <w:p w14:paraId="4AB0E5D9" w14:textId="6155EDBB" w:rsidR="00AF2CA2" w:rsidRPr="0023606B" w:rsidRDefault="00AF2CA2" w:rsidP="00C053F7">
      <w:pPr>
        <w:jc w:val="both"/>
        <w:rPr>
          <w:rFonts w:ascii="Avenir Next" w:hAnsi="Avenir Next" w:cs="Arial"/>
          <w:color w:val="7B7B7B" w:themeColor="accent3" w:themeShade="BF"/>
          <w:sz w:val="22"/>
          <w:szCs w:val="22"/>
        </w:rPr>
      </w:pPr>
    </w:p>
    <w:p w14:paraId="348DD30D" w14:textId="3FE66207" w:rsidR="00396B8E" w:rsidRPr="0023606B" w:rsidRDefault="00396B8E" w:rsidP="00C053F7">
      <w:pPr>
        <w:jc w:val="both"/>
        <w:rPr>
          <w:rFonts w:ascii="Avenir Next" w:hAnsi="Avenir Next" w:cs="Arial"/>
          <w:color w:val="7B7B7B" w:themeColor="accent3" w:themeShade="BF"/>
          <w:sz w:val="22"/>
          <w:szCs w:val="22"/>
        </w:rPr>
      </w:pPr>
    </w:p>
    <w:p w14:paraId="044B8B40" w14:textId="77777777" w:rsidR="00396B8E" w:rsidRPr="0023606B" w:rsidRDefault="00396B8E" w:rsidP="00C053F7">
      <w:pPr>
        <w:jc w:val="both"/>
        <w:rPr>
          <w:rFonts w:ascii="Avenir Next" w:hAnsi="Avenir Next" w:cs="Arial"/>
          <w:color w:val="000000" w:themeColor="text1"/>
          <w:sz w:val="22"/>
          <w:szCs w:val="22"/>
        </w:rPr>
      </w:pPr>
    </w:p>
    <w:p w14:paraId="722C1D98" w14:textId="5C4FE546" w:rsidR="009B0723" w:rsidRPr="0023606B" w:rsidRDefault="00C606C3" w:rsidP="00955AF1">
      <w:pPr>
        <w:jc w:val="center"/>
        <w:rPr>
          <w:rFonts w:ascii="Avenir Next Demi Bold" w:hAnsi="Avenir Next Demi Bold" w:cs="Arial"/>
          <w:b/>
          <w:bCs/>
          <w:sz w:val="22"/>
          <w:szCs w:val="22"/>
          <w:lang w:val="de-DE"/>
        </w:rPr>
      </w:pPr>
      <w:r w:rsidRPr="0023606B">
        <w:rPr>
          <w:rFonts w:ascii="Avenir Next Demi Bold" w:hAnsi="Avenir Next Demi Bold" w:cs="Arial"/>
          <w:b/>
          <w:bCs/>
          <w:sz w:val="22"/>
          <w:szCs w:val="22"/>
          <w:lang w:val="de-DE"/>
        </w:rPr>
        <w:t>*</w:t>
      </w:r>
      <w:r w:rsidR="001E25B9" w:rsidRPr="0023606B">
        <w:rPr>
          <w:rFonts w:ascii="Avenir Next Demi Bold" w:hAnsi="Avenir Next Demi Bold" w:cs="Arial"/>
          <w:b/>
          <w:bCs/>
          <w:sz w:val="22"/>
          <w:szCs w:val="22"/>
          <w:lang w:val="de-DE"/>
        </w:rPr>
        <w:t xml:space="preserve"> </w:t>
      </w:r>
      <w:r w:rsidR="0077498C" w:rsidRPr="0023606B">
        <w:rPr>
          <w:rFonts w:ascii="Avenir Next Demi Bold" w:hAnsi="Avenir Next Demi Bold" w:cs="Arial"/>
          <w:b/>
          <w:bCs/>
          <w:sz w:val="22"/>
          <w:szCs w:val="22"/>
          <w:lang w:val="de-DE"/>
        </w:rPr>
        <w:t>End of Assessment</w:t>
      </w:r>
      <w:r w:rsidR="001E25B9" w:rsidRPr="0023606B">
        <w:rPr>
          <w:rFonts w:ascii="Avenir Next Demi Bold" w:hAnsi="Avenir Next Demi Bold" w:cs="Arial"/>
          <w:b/>
          <w:bCs/>
          <w:sz w:val="22"/>
          <w:szCs w:val="22"/>
          <w:lang w:val="de-DE"/>
        </w:rPr>
        <w:t xml:space="preserve"> </w:t>
      </w:r>
      <w:r w:rsidRPr="0023606B">
        <w:rPr>
          <w:rFonts w:ascii="Avenir Next Demi Bold" w:hAnsi="Avenir Next Demi Bold" w:cs="Arial"/>
          <w:b/>
          <w:bCs/>
          <w:sz w:val="22"/>
          <w:szCs w:val="22"/>
          <w:lang w:val="de-DE"/>
        </w:rPr>
        <w:t>*</w:t>
      </w:r>
    </w:p>
    <w:sectPr w:rsidR="009B0723" w:rsidRPr="0023606B"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F606" w14:textId="77777777" w:rsidR="001361F4" w:rsidRDefault="001361F4" w:rsidP="00241B44">
      <w:r>
        <w:separator/>
      </w:r>
    </w:p>
  </w:endnote>
  <w:endnote w:type="continuationSeparator" w:id="0">
    <w:p w14:paraId="016AB082" w14:textId="77777777" w:rsidR="001361F4" w:rsidRDefault="001361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0AAD6B61" w14:textId="77777777" w:rsidR="00E450A4" w:rsidRPr="00FC7B47" w:rsidRDefault="00E450A4" w:rsidP="00AD6A7D">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39FD1B0B" w14:textId="06B7A9A3" w:rsidR="00E450A4" w:rsidRPr="00FC7B47" w:rsidRDefault="00445CE6" w:rsidP="00FC7B47">
    <w:pPr>
      <w:pStyle w:val="Fuzeile"/>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cs="Arial"/>
        <w:sz w:val="22"/>
        <w:szCs w:val="22"/>
      </w:rPr>
      <w:id w:val="850997806"/>
      <w:docPartObj>
        <w:docPartGallery w:val="Page Numbers (Bottom of Page)"/>
        <w:docPartUnique/>
      </w:docPartObj>
    </w:sdtPr>
    <w:sdtEndPr>
      <w:rPr>
        <w:rStyle w:val="Seitenzahl"/>
        <w:rFonts w:cstheme="minorBidi"/>
      </w:rPr>
    </w:sdtEndPr>
    <w:sdtContent>
      <w:p w14:paraId="280F1EF8" w14:textId="5FF93316" w:rsidR="00AD6A7D" w:rsidRPr="009634F4" w:rsidRDefault="00AD6A7D" w:rsidP="007B1575">
        <w:pPr>
          <w:pStyle w:val="Fuzeile"/>
          <w:framePr w:wrap="none" w:vAnchor="text" w:hAnchor="margin" w:xAlign="right" w:y="1"/>
          <w:rPr>
            <w:rStyle w:val="Seitenzahl"/>
            <w:rFonts w:ascii="Avenir Next" w:hAnsi="Avenir Next"/>
            <w:sz w:val="22"/>
            <w:szCs w:val="22"/>
          </w:rPr>
        </w:pPr>
        <w:r w:rsidRPr="009634F4">
          <w:rPr>
            <w:rStyle w:val="Seitenzahl"/>
            <w:rFonts w:ascii="Avenir Next" w:hAnsi="Avenir Next" w:cs="Arial"/>
            <w:sz w:val="22"/>
            <w:szCs w:val="22"/>
          </w:rPr>
          <w:t xml:space="preserve">Page </w:t>
        </w:r>
        <w:r w:rsidRPr="009634F4">
          <w:rPr>
            <w:rStyle w:val="Seitenzahl"/>
            <w:rFonts w:ascii="Avenir Next" w:hAnsi="Avenir Next" w:cs="Arial"/>
            <w:sz w:val="22"/>
            <w:szCs w:val="22"/>
          </w:rPr>
          <w:fldChar w:fldCharType="begin"/>
        </w:r>
        <w:r w:rsidRPr="009634F4">
          <w:rPr>
            <w:rStyle w:val="Seitenzahl"/>
            <w:rFonts w:ascii="Avenir Next" w:hAnsi="Avenir Next" w:cs="Arial"/>
            <w:sz w:val="22"/>
            <w:szCs w:val="22"/>
          </w:rPr>
          <w:instrText xml:space="preserve"> PAGE </w:instrText>
        </w:r>
        <w:r w:rsidRPr="009634F4">
          <w:rPr>
            <w:rStyle w:val="Seitenzahl"/>
            <w:rFonts w:ascii="Avenir Next" w:hAnsi="Avenir Next" w:cs="Arial"/>
            <w:sz w:val="22"/>
            <w:szCs w:val="22"/>
          </w:rPr>
          <w:fldChar w:fldCharType="separate"/>
        </w:r>
        <w:r w:rsidRPr="009634F4">
          <w:rPr>
            <w:rStyle w:val="Seitenzahl"/>
            <w:rFonts w:ascii="Avenir Next" w:hAnsi="Avenir Next" w:cs="Arial"/>
            <w:noProof/>
            <w:sz w:val="22"/>
            <w:szCs w:val="22"/>
          </w:rPr>
          <w:t>1</w:t>
        </w:r>
        <w:r w:rsidRPr="009634F4">
          <w:rPr>
            <w:rStyle w:val="Seitenzahl"/>
            <w:rFonts w:ascii="Avenir Next" w:hAnsi="Avenir Next" w:cs="Arial"/>
            <w:sz w:val="22"/>
            <w:szCs w:val="22"/>
          </w:rPr>
          <w:fldChar w:fldCharType="end"/>
        </w:r>
      </w:p>
    </w:sdtContent>
  </w:sdt>
  <w:p w14:paraId="120BA9A5" w14:textId="46FDB982" w:rsidR="00AD6A7D" w:rsidRPr="009634F4" w:rsidRDefault="00140970" w:rsidP="00AD6A7D">
    <w:pPr>
      <w:pStyle w:val="Fuzeile"/>
      <w:ind w:right="360"/>
      <w:rPr>
        <w:rFonts w:ascii="Avenir Next" w:hAnsi="Avenir Next" w:cs="Arial"/>
        <w:sz w:val="22"/>
        <w:szCs w:val="22"/>
      </w:rPr>
    </w:pPr>
    <w:r>
      <w:rPr>
        <w:rFonts w:ascii="Avenir Next" w:hAnsi="Avenir Next" w:cs="Arial"/>
        <w:sz w:val="22"/>
        <w:szCs w:val="22"/>
      </w:rPr>
      <w:t>202223-984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B3BF" w14:textId="77777777" w:rsidR="001361F4" w:rsidRDefault="001361F4" w:rsidP="00241B44">
      <w:r>
        <w:separator/>
      </w:r>
    </w:p>
  </w:footnote>
  <w:footnote w:type="continuationSeparator" w:id="0">
    <w:p w14:paraId="7B25BA17" w14:textId="77777777" w:rsidR="001361F4" w:rsidRDefault="001361F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91950996">
    <w:abstractNumId w:val="17"/>
  </w:num>
  <w:num w:numId="2" w16cid:durableId="1542479967">
    <w:abstractNumId w:val="19"/>
  </w:num>
  <w:num w:numId="3" w16cid:durableId="2017078226">
    <w:abstractNumId w:val="5"/>
  </w:num>
  <w:num w:numId="4" w16cid:durableId="174392233">
    <w:abstractNumId w:val="2"/>
  </w:num>
  <w:num w:numId="5" w16cid:durableId="1139031333">
    <w:abstractNumId w:val="8"/>
  </w:num>
  <w:num w:numId="6" w16cid:durableId="663704114">
    <w:abstractNumId w:val="14"/>
  </w:num>
  <w:num w:numId="7" w16cid:durableId="1914659861">
    <w:abstractNumId w:val="20"/>
  </w:num>
  <w:num w:numId="8" w16cid:durableId="1634021508">
    <w:abstractNumId w:val="13"/>
  </w:num>
  <w:num w:numId="9" w16cid:durableId="1616668855">
    <w:abstractNumId w:val="4"/>
  </w:num>
  <w:num w:numId="10" w16cid:durableId="880049046">
    <w:abstractNumId w:val="7"/>
  </w:num>
  <w:num w:numId="11" w16cid:durableId="610630137">
    <w:abstractNumId w:val="6"/>
  </w:num>
  <w:num w:numId="12" w16cid:durableId="1460999171">
    <w:abstractNumId w:val="3"/>
  </w:num>
  <w:num w:numId="13" w16cid:durableId="1416434225">
    <w:abstractNumId w:val="11"/>
  </w:num>
  <w:num w:numId="14" w16cid:durableId="121774495">
    <w:abstractNumId w:val="0"/>
  </w:num>
  <w:num w:numId="15" w16cid:durableId="1375305632">
    <w:abstractNumId w:val="1"/>
  </w:num>
  <w:num w:numId="16" w16cid:durableId="914976969">
    <w:abstractNumId w:val="12"/>
  </w:num>
  <w:num w:numId="17" w16cid:durableId="1414353744">
    <w:abstractNumId w:val="10"/>
  </w:num>
  <w:num w:numId="18" w16cid:durableId="1910311723">
    <w:abstractNumId w:val="18"/>
  </w:num>
  <w:num w:numId="19" w16cid:durableId="1167403954">
    <w:abstractNumId w:val="15"/>
  </w:num>
  <w:num w:numId="20" w16cid:durableId="1423532871">
    <w:abstractNumId w:val="21"/>
  </w:num>
  <w:num w:numId="21" w16cid:durableId="942228320">
    <w:abstractNumId w:val="16"/>
  </w:num>
  <w:num w:numId="22" w16cid:durableId="176090820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01209C-F743-41E1-B56D-B4DF7CDC26C6}"/>
    <w:docVar w:name="dgnword-eventsink" w:val="385024816"/>
  </w:docVars>
  <w:rsids>
    <w:rsidRoot w:val="00045088"/>
    <w:rsid w:val="000050FF"/>
    <w:rsid w:val="00010BA0"/>
    <w:rsid w:val="000121B3"/>
    <w:rsid w:val="000250C7"/>
    <w:rsid w:val="00026624"/>
    <w:rsid w:val="00037621"/>
    <w:rsid w:val="00044D46"/>
    <w:rsid w:val="00045088"/>
    <w:rsid w:val="00045904"/>
    <w:rsid w:val="00055893"/>
    <w:rsid w:val="00065166"/>
    <w:rsid w:val="00074947"/>
    <w:rsid w:val="00082609"/>
    <w:rsid w:val="000851CC"/>
    <w:rsid w:val="00090988"/>
    <w:rsid w:val="00093BE8"/>
    <w:rsid w:val="000A68ED"/>
    <w:rsid w:val="000B3CFC"/>
    <w:rsid w:val="000B5FF1"/>
    <w:rsid w:val="000B609F"/>
    <w:rsid w:val="000D55A8"/>
    <w:rsid w:val="000E329C"/>
    <w:rsid w:val="000E4841"/>
    <w:rsid w:val="000E7A1B"/>
    <w:rsid w:val="000F1677"/>
    <w:rsid w:val="000F3D6C"/>
    <w:rsid w:val="00101707"/>
    <w:rsid w:val="00110DA3"/>
    <w:rsid w:val="0011473D"/>
    <w:rsid w:val="00115C85"/>
    <w:rsid w:val="00123661"/>
    <w:rsid w:val="00123855"/>
    <w:rsid w:val="00126A4D"/>
    <w:rsid w:val="001361F4"/>
    <w:rsid w:val="00140970"/>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2604"/>
    <w:rsid w:val="002149FF"/>
    <w:rsid w:val="002248A4"/>
    <w:rsid w:val="00225429"/>
    <w:rsid w:val="002271DA"/>
    <w:rsid w:val="0023606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04EEA"/>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7532B"/>
    <w:rsid w:val="00375AE9"/>
    <w:rsid w:val="00376E41"/>
    <w:rsid w:val="00381331"/>
    <w:rsid w:val="00382C98"/>
    <w:rsid w:val="0038533C"/>
    <w:rsid w:val="003948D5"/>
    <w:rsid w:val="00396821"/>
    <w:rsid w:val="00396B8E"/>
    <w:rsid w:val="00397D3A"/>
    <w:rsid w:val="003A051E"/>
    <w:rsid w:val="003A2F8D"/>
    <w:rsid w:val="003B170F"/>
    <w:rsid w:val="003C4471"/>
    <w:rsid w:val="003D0A6D"/>
    <w:rsid w:val="003D2DA8"/>
    <w:rsid w:val="003E0B16"/>
    <w:rsid w:val="003E67D1"/>
    <w:rsid w:val="003F5758"/>
    <w:rsid w:val="00405DC1"/>
    <w:rsid w:val="00411B48"/>
    <w:rsid w:val="00415F1F"/>
    <w:rsid w:val="00417E0D"/>
    <w:rsid w:val="0042108F"/>
    <w:rsid w:val="00421C46"/>
    <w:rsid w:val="00423984"/>
    <w:rsid w:val="00430FED"/>
    <w:rsid w:val="00433205"/>
    <w:rsid w:val="0043427C"/>
    <w:rsid w:val="00434A8C"/>
    <w:rsid w:val="00444284"/>
    <w:rsid w:val="00445CE6"/>
    <w:rsid w:val="0044730B"/>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111"/>
    <w:rsid w:val="004E14A8"/>
    <w:rsid w:val="004F5FDF"/>
    <w:rsid w:val="00506738"/>
    <w:rsid w:val="005177FE"/>
    <w:rsid w:val="0052263B"/>
    <w:rsid w:val="00524728"/>
    <w:rsid w:val="00525804"/>
    <w:rsid w:val="005331CA"/>
    <w:rsid w:val="00535A5F"/>
    <w:rsid w:val="00537970"/>
    <w:rsid w:val="00544127"/>
    <w:rsid w:val="00553EB2"/>
    <w:rsid w:val="00560534"/>
    <w:rsid w:val="0056391B"/>
    <w:rsid w:val="005650E2"/>
    <w:rsid w:val="00567075"/>
    <w:rsid w:val="00575B2D"/>
    <w:rsid w:val="005832CE"/>
    <w:rsid w:val="005833D0"/>
    <w:rsid w:val="005846F3"/>
    <w:rsid w:val="0058622F"/>
    <w:rsid w:val="00591565"/>
    <w:rsid w:val="00592F82"/>
    <w:rsid w:val="005A0CCA"/>
    <w:rsid w:val="005A726D"/>
    <w:rsid w:val="005B67AC"/>
    <w:rsid w:val="005D43E0"/>
    <w:rsid w:val="005D58A3"/>
    <w:rsid w:val="005E1B79"/>
    <w:rsid w:val="005F026D"/>
    <w:rsid w:val="005F2D0B"/>
    <w:rsid w:val="005F4B31"/>
    <w:rsid w:val="005F6250"/>
    <w:rsid w:val="00605EE5"/>
    <w:rsid w:val="00610388"/>
    <w:rsid w:val="00612CA5"/>
    <w:rsid w:val="006153EC"/>
    <w:rsid w:val="00621A17"/>
    <w:rsid w:val="00627CC9"/>
    <w:rsid w:val="00627E7B"/>
    <w:rsid w:val="00630542"/>
    <w:rsid w:val="00632E44"/>
    <w:rsid w:val="00634622"/>
    <w:rsid w:val="00636110"/>
    <w:rsid w:val="00636808"/>
    <w:rsid w:val="00641515"/>
    <w:rsid w:val="00650B47"/>
    <w:rsid w:val="00654C2F"/>
    <w:rsid w:val="00657087"/>
    <w:rsid w:val="00677AEB"/>
    <w:rsid w:val="00687A1D"/>
    <w:rsid w:val="00697EA1"/>
    <w:rsid w:val="006A2646"/>
    <w:rsid w:val="006A6530"/>
    <w:rsid w:val="006B1CA2"/>
    <w:rsid w:val="006B435A"/>
    <w:rsid w:val="006B4C64"/>
    <w:rsid w:val="006B50EE"/>
    <w:rsid w:val="006D01C2"/>
    <w:rsid w:val="006E33B2"/>
    <w:rsid w:val="006E481A"/>
    <w:rsid w:val="006E5298"/>
    <w:rsid w:val="006F734A"/>
    <w:rsid w:val="006F7BA8"/>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95B0E"/>
    <w:rsid w:val="007C1459"/>
    <w:rsid w:val="007C1FCC"/>
    <w:rsid w:val="007C6201"/>
    <w:rsid w:val="007D7C92"/>
    <w:rsid w:val="007E1154"/>
    <w:rsid w:val="007E133A"/>
    <w:rsid w:val="007E34AE"/>
    <w:rsid w:val="007F0902"/>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6988"/>
    <w:rsid w:val="0089145D"/>
    <w:rsid w:val="00892F0B"/>
    <w:rsid w:val="008A27D9"/>
    <w:rsid w:val="008A6CFE"/>
    <w:rsid w:val="008B5333"/>
    <w:rsid w:val="008B6223"/>
    <w:rsid w:val="008C66E0"/>
    <w:rsid w:val="008D62F6"/>
    <w:rsid w:val="008E3339"/>
    <w:rsid w:val="008F20FC"/>
    <w:rsid w:val="008F6301"/>
    <w:rsid w:val="00905A43"/>
    <w:rsid w:val="00912C79"/>
    <w:rsid w:val="00942123"/>
    <w:rsid w:val="0095207B"/>
    <w:rsid w:val="00955AF1"/>
    <w:rsid w:val="00961798"/>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0309"/>
    <w:rsid w:val="00A5117B"/>
    <w:rsid w:val="00A54909"/>
    <w:rsid w:val="00A60074"/>
    <w:rsid w:val="00A6627C"/>
    <w:rsid w:val="00A71019"/>
    <w:rsid w:val="00A81029"/>
    <w:rsid w:val="00A83A2F"/>
    <w:rsid w:val="00A96489"/>
    <w:rsid w:val="00A97725"/>
    <w:rsid w:val="00AB6826"/>
    <w:rsid w:val="00AB685C"/>
    <w:rsid w:val="00AB6C2D"/>
    <w:rsid w:val="00AC3839"/>
    <w:rsid w:val="00AC7082"/>
    <w:rsid w:val="00AD6A7D"/>
    <w:rsid w:val="00AF228E"/>
    <w:rsid w:val="00AF2CA2"/>
    <w:rsid w:val="00B14819"/>
    <w:rsid w:val="00B17AA9"/>
    <w:rsid w:val="00B470A3"/>
    <w:rsid w:val="00B47766"/>
    <w:rsid w:val="00B72AE1"/>
    <w:rsid w:val="00B736DF"/>
    <w:rsid w:val="00B74FBD"/>
    <w:rsid w:val="00B82586"/>
    <w:rsid w:val="00B86DB1"/>
    <w:rsid w:val="00B87869"/>
    <w:rsid w:val="00BB0F2B"/>
    <w:rsid w:val="00BF1C6F"/>
    <w:rsid w:val="00BF50F7"/>
    <w:rsid w:val="00BF6886"/>
    <w:rsid w:val="00C02F29"/>
    <w:rsid w:val="00C053F7"/>
    <w:rsid w:val="00C22A25"/>
    <w:rsid w:val="00C33C6C"/>
    <w:rsid w:val="00C35671"/>
    <w:rsid w:val="00C35B77"/>
    <w:rsid w:val="00C376EB"/>
    <w:rsid w:val="00C46EC1"/>
    <w:rsid w:val="00C50FCB"/>
    <w:rsid w:val="00C526BD"/>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2C8E"/>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2FF3"/>
    <w:rsid w:val="00E6302B"/>
    <w:rsid w:val="00E6452F"/>
    <w:rsid w:val="00E64F45"/>
    <w:rsid w:val="00E6742D"/>
    <w:rsid w:val="00E71CB0"/>
    <w:rsid w:val="00E77C3D"/>
    <w:rsid w:val="00E909F0"/>
    <w:rsid w:val="00E93993"/>
    <w:rsid w:val="00EA0913"/>
    <w:rsid w:val="00EB45AC"/>
    <w:rsid w:val="00EC1D45"/>
    <w:rsid w:val="00EC5410"/>
    <w:rsid w:val="00ED0BC4"/>
    <w:rsid w:val="00EE4971"/>
    <w:rsid w:val="00EE744D"/>
    <w:rsid w:val="00EF090E"/>
    <w:rsid w:val="00F033DA"/>
    <w:rsid w:val="00F27CD8"/>
    <w:rsid w:val="00F30351"/>
    <w:rsid w:val="00F322D3"/>
    <w:rsid w:val="00F3323E"/>
    <w:rsid w:val="00F341F4"/>
    <w:rsid w:val="00F35CCE"/>
    <w:rsid w:val="00F3627E"/>
    <w:rsid w:val="00F44220"/>
    <w:rsid w:val="00F4665E"/>
    <w:rsid w:val="00F5524B"/>
    <w:rsid w:val="00F61DD2"/>
    <w:rsid w:val="00F66AFF"/>
    <w:rsid w:val="00F71433"/>
    <w:rsid w:val="00F97C5B"/>
    <w:rsid w:val="00FA07B2"/>
    <w:rsid w:val="00FA3D50"/>
    <w:rsid w:val="00FA3D5F"/>
    <w:rsid w:val="00FC374A"/>
    <w:rsid w:val="00FC7B47"/>
    <w:rsid w:val="00FD035C"/>
    <w:rsid w:val="00FD1A35"/>
    <w:rsid w:val="00FD36C5"/>
    <w:rsid w:val="00FD6310"/>
    <w:rsid w:val="00FD7C7B"/>
    <w:rsid w:val="00FE1D12"/>
    <w:rsid w:val="00FE2122"/>
    <w:rsid w:val="00FE2A86"/>
    <w:rsid w:val="00FE5F4F"/>
    <w:rsid w:val="00FF0158"/>
    <w:rsid w:val="00FF296F"/>
    <w:rsid w:val="00FF5E23"/>
    <w:rsid w:val="00FF7578"/>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23763</Characters>
  <Application>Microsoft Office Word</Application>
  <DocSecurity>0</DocSecurity>
  <Lines>198</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ATL</cp:lastModifiedBy>
  <cp:revision>52</cp:revision>
  <cp:lastPrinted>2019-09-04T15:45:00Z</cp:lastPrinted>
  <dcterms:created xsi:type="dcterms:W3CDTF">2022-08-31T10:23:00Z</dcterms:created>
  <dcterms:modified xsi:type="dcterms:W3CDTF">2022-10-06T15:23:00Z</dcterms:modified>
</cp:coreProperties>
</file>