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w:t>
      </w:r>
      <w:proofErr w:type="gramStart"/>
      <w:r w:rsidRPr="000E329C">
        <w:rPr>
          <w:rFonts w:ascii="Avenir Next" w:hAnsi="Avenir Next" w:cs="Arial"/>
          <w:sz w:val="22"/>
          <w:szCs w:val="22"/>
          <w:lang w:val="en-GB"/>
        </w:rPr>
        <w:t>a</w:t>
      </w:r>
      <w:proofErr w:type="gramEnd"/>
      <w:r w:rsidRPr="000E329C">
        <w:rPr>
          <w:rFonts w:ascii="Avenir Next" w:hAnsi="Avenir Next" w:cs="Arial"/>
          <w:sz w:val="22"/>
          <w:szCs w:val="22"/>
          <w:lang w:val="en-GB"/>
        </w:rPr>
        <w:t xml:space="preserve">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w:t>
      </w:r>
      <w:proofErr w:type="spellStart"/>
      <w:r w:rsidRPr="000E329C">
        <w:rPr>
          <w:rFonts w:ascii="Avenir Next" w:hAnsi="Avenir Next" w:cs="Arial"/>
          <w:bCs/>
          <w:sz w:val="22"/>
          <w:szCs w:val="22"/>
          <w:lang w:val="en-GB"/>
        </w:rPr>
        <w:t>student</w:t>
      </w:r>
      <w:r w:rsidR="002C1671" w:rsidRPr="000E329C">
        <w:rPr>
          <w:rFonts w:ascii="Avenir Next" w:hAnsi="Avenir Next" w:cs="Arial"/>
          <w:bCs/>
          <w:sz w:val="22"/>
          <w:szCs w:val="22"/>
          <w:lang w:val="en-GB"/>
        </w:rPr>
        <w:t>ID</w:t>
      </w:r>
      <w:proofErr w:type="spellEnd"/>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w:t>
      </w:r>
      <w:proofErr w:type="gramStart"/>
      <w:r w:rsidRPr="00827D56">
        <w:rPr>
          <w:rFonts w:ascii="Avenir Next" w:hAnsi="Avenir Next" w:cs="Arial"/>
          <w:sz w:val="22"/>
          <w:szCs w:val="22"/>
          <w:lang w:val="en-GB"/>
        </w:rPr>
        <w:t>are</w:t>
      </w:r>
      <w:proofErr w:type="gramEnd"/>
      <w:r w:rsidRPr="00827D56">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87133C" w:rsidRDefault="00B736DF" w:rsidP="009E1027">
      <w:pPr>
        <w:pStyle w:val="ListParagraph"/>
        <w:numPr>
          <w:ilvl w:val="0"/>
          <w:numId w:val="13"/>
        </w:numPr>
        <w:ind w:left="426"/>
        <w:jc w:val="both"/>
        <w:rPr>
          <w:rFonts w:ascii="Avenir Next" w:hAnsi="Avenir Next" w:cs="Arial"/>
          <w:sz w:val="22"/>
          <w:szCs w:val="22"/>
          <w:highlight w:val="yellow"/>
          <w:lang w:val="en-GB"/>
        </w:rPr>
      </w:pPr>
      <w:r w:rsidRPr="0087133C">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87133C" w:rsidRDefault="00161F1B" w:rsidP="009E1027">
      <w:pPr>
        <w:pStyle w:val="ListParagraph"/>
        <w:numPr>
          <w:ilvl w:val="0"/>
          <w:numId w:val="14"/>
        </w:numPr>
        <w:ind w:left="426"/>
        <w:jc w:val="both"/>
        <w:rPr>
          <w:rFonts w:ascii="Avenir Next" w:hAnsi="Avenir Next" w:cs="Arial"/>
          <w:sz w:val="22"/>
          <w:szCs w:val="22"/>
          <w:highlight w:val="yellow"/>
          <w:lang w:val="en-GB"/>
        </w:rPr>
      </w:pPr>
      <w:r w:rsidRPr="0087133C">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87133C" w:rsidRDefault="009E2E27" w:rsidP="008031A7">
      <w:pPr>
        <w:pStyle w:val="ListParagraph"/>
        <w:numPr>
          <w:ilvl w:val="0"/>
          <w:numId w:val="15"/>
        </w:numPr>
        <w:ind w:left="426"/>
        <w:jc w:val="both"/>
        <w:rPr>
          <w:rFonts w:ascii="Avenir Next" w:hAnsi="Avenir Next" w:cs="Arial"/>
          <w:sz w:val="22"/>
          <w:szCs w:val="22"/>
          <w:highlight w:val="yellow"/>
          <w:lang w:val="en-GB"/>
        </w:rPr>
      </w:pPr>
      <w:r w:rsidRPr="0087133C">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87133C" w:rsidRDefault="009E2E27" w:rsidP="008031A7">
      <w:pPr>
        <w:pStyle w:val="ListParagraph"/>
        <w:numPr>
          <w:ilvl w:val="0"/>
          <w:numId w:val="16"/>
        </w:numPr>
        <w:ind w:left="426"/>
        <w:jc w:val="both"/>
        <w:rPr>
          <w:rFonts w:ascii="Avenir Next" w:hAnsi="Avenir Next" w:cs="Arial"/>
          <w:sz w:val="22"/>
          <w:szCs w:val="22"/>
          <w:highlight w:val="yellow"/>
          <w:lang w:val="en-GB"/>
        </w:rPr>
      </w:pPr>
      <w:r w:rsidRPr="0087133C">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4062F4" w:rsidRDefault="00A235B7" w:rsidP="006D01C2">
      <w:pPr>
        <w:pStyle w:val="ListParagraph"/>
        <w:numPr>
          <w:ilvl w:val="0"/>
          <w:numId w:val="17"/>
        </w:numPr>
        <w:ind w:left="426"/>
        <w:jc w:val="both"/>
        <w:rPr>
          <w:rFonts w:ascii="Avenir Next" w:hAnsi="Avenir Next" w:cs="Arial"/>
          <w:sz w:val="22"/>
          <w:szCs w:val="22"/>
          <w:highlight w:val="yellow"/>
          <w:lang w:val="en-GB"/>
        </w:rPr>
      </w:pPr>
      <w:r w:rsidRPr="004062F4">
        <w:rPr>
          <w:rFonts w:ascii="Avenir Next" w:hAnsi="Avenir Next" w:cs="Arial"/>
          <w:sz w:val="22"/>
          <w:szCs w:val="22"/>
          <w:highlight w:val="yellow"/>
          <w:lang w:val="en-GB"/>
        </w:rPr>
        <w:t>The statement</w:t>
      </w:r>
      <w:r w:rsidR="0037465A" w:rsidRPr="004062F4">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7"/>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7"/>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7"/>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4062F4" w:rsidRDefault="00CB2CBB" w:rsidP="006D01C2">
      <w:pPr>
        <w:pStyle w:val="ListParagraph"/>
        <w:numPr>
          <w:ilvl w:val="0"/>
          <w:numId w:val="18"/>
        </w:numPr>
        <w:ind w:left="426"/>
        <w:jc w:val="both"/>
        <w:rPr>
          <w:rFonts w:ascii="Avenir Next" w:eastAsiaTheme="minorHAnsi" w:hAnsi="Avenir Next" w:cs="Arial"/>
          <w:sz w:val="22"/>
          <w:szCs w:val="22"/>
          <w:highlight w:val="yellow"/>
          <w:lang w:val="en-GB"/>
        </w:rPr>
      </w:pPr>
      <w:r w:rsidRPr="004062F4">
        <w:rPr>
          <w:rFonts w:ascii="Avenir Next" w:eastAsiaTheme="minorHAnsi" w:hAnsi="Avenir Next" w:cs="Arial"/>
          <w:sz w:val="22"/>
          <w:szCs w:val="22"/>
          <w:highlight w:val="yellow"/>
          <w:lang w:val="en-GB"/>
        </w:rPr>
        <w:t>Public International Law</w:t>
      </w:r>
      <w:r w:rsidR="00991428" w:rsidRPr="004062F4">
        <w:rPr>
          <w:rFonts w:ascii="Avenir Next" w:eastAsiaTheme="minorHAnsi" w:hAnsi="Avenir Next" w:cs="Arial"/>
          <w:sz w:val="22"/>
          <w:szCs w:val="22"/>
          <w:highlight w:val="yellow"/>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9"/>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D323DB" w:rsidRDefault="004D1A5A" w:rsidP="006D01C2">
      <w:pPr>
        <w:pStyle w:val="ListParagraph"/>
        <w:numPr>
          <w:ilvl w:val="0"/>
          <w:numId w:val="19"/>
        </w:numPr>
        <w:ind w:left="426"/>
        <w:jc w:val="both"/>
        <w:rPr>
          <w:rFonts w:ascii="Avenir Next" w:hAnsi="Avenir Next" w:cs="Arial"/>
          <w:sz w:val="22"/>
          <w:szCs w:val="22"/>
          <w:highlight w:val="yellow"/>
          <w:lang w:val="en-GB"/>
        </w:rPr>
      </w:pPr>
      <w:r w:rsidRPr="00D323DB">
        <w:rPr>
          <w:rFonts w:ascii="Avenir Next" w:hAnsi="Avenir Next" w:cs="Arial"/>
          <w:sz w:val="22"/>
          <w:szCs w:val="22"/>
          <w:highlight w:val="yellow"/>
          <w:lang w:val="en-GB"/>
        </w:rPr>
        <w:t>UNCITRAL Model Law on Cross-border Insolvency (1997)</w:t>
      </w:r>
      <w:r w:rsidR="00912C79" w:rsidRPr="00D323DB">
        <w:rPr>
          <w:rFonts w:ascii="Avenir Next" w:hAnsi="Avenir Next" w:cs="Arial"/>
          <w:sz w:val="22"/>
          <w:szCs w:val="22"/>
          <w:highlight w:val="yellow"/>
          <w:lang w:val="en-GB"/>
        </w:rPr>
        <w:t>.</w:t>
      </w:r>
      <w:r w:rsidRPr="00D323DB">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D323DB" w:rsidRDefault="005A0CCA" w:rsidP="006D01C2">
      <w:pPr>
        <w:pStyle w:val="ListParagraph"/>
        <w:numPr>
          <w:ilvl w:val="0"/>
          <w:numId w:val="19"/>
        </w:numPr>
        <w:ind w:left="426"/>
        <w:jc w:val="both"/>
        <w:rPr>
          <w:rFonts w:ascii="Avenir Next" w:eastAsiaTheme="minorHAnsi" w:hAnsi="Avenir Next" w:cs="Arial"/>
          <w:sz w:val="22"/>
          <w:szCs w:val="22"/>
          <w:lang w:val="en-GB"/>
        </w:rPr>
      </w:pPr>
      <w:r w:rsidRPr="00D323DB">
        <w:rPr>
          <w:rFonts w:ascii="Avenir Next" w:eastAsiaTheme="minorHAnsi" w:hAnsi="Avenir Next" w:cs="Arial"/>
          <w:sz w:val="22"/>
          <w:szCs w:val="22"/>
          <w:lang w:val="en-GB"/>
        </w:rPr>
        <w:t>JIN Guidelines for Communication and Cooperation between Courts in Cross-Border Insolvency Matters (2016)</w:t>
      </w:r>
      <w:r w:rsidR="00991428" w:rsidRPr="00D323DB">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D437D9" w:rsidRDefault="001A7E9A" w:rsidP="006D01C2">
      <w:pPr>
        <w:pStyle w:val="ListParagraph"/>
        <w:numPr>
          <w:ilvl w:val="0"/>
          <w:numId w:val="20"/>
        </w:numPr>
        <w:ind w:left="426"/>
        <w:jc w:val="both"/>
        <w:rPr>
          <w:rFonts w:ascii="Avenir Next" w:hAnsi="Avenir Next" w:cs="Arial"/>
          <w:sz w:val="22"/>
          <w:szCs w:val="22"/>
          <w:highlight w:val="yellow"/>
          <w:lang w:val="en-GB"/>
        </w:rPr>
      </w:pPr>
      <w:r w:rsidRPr="00D437D9">
        <w:rPr>
          <w:rFonts w:ascii="Avenir Next" w:hAnsi="Avenir Next" w:cs="Arial"/>
          <w:sz w:val="22"/>
          <w:szCs w:val="22"/>
          <w:highlight w:val="yellow"/>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D437D9" w:rsidRDefault="001A7E9A" w:rsidP="006D01C2">
      <w:pPr>
        <w:pStyle w:val="ListParagraph"/>
        <w:numPr>
          <w:ilvl w:val="0"/>
          <w:numId w:val="20"/>
        </w:numPr>
        <w:ind w:left="426"/>
        <w:jc w:val="both"/>
        <w:rPr>
          <w:rFonts w:ascii="Avenir Next" w:hAnsi="Avenir Next" w:cs="Arial"/>
          <w:sz w:val="22"/>
          <w:szCs w:val="22"/>
          <w:lang w:val="en-GB"/>
        </w:rPr>
      </w:pPr>
      <w:r w:rsidRPr="00D437D9">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27D56" w:rsidRDefault="001A7E9A" w:rsidP="006D01C2">
      <w:pPr>
        <w:pStyle w:val="ListParagraph"/>
        <w:numPr>
          <w:ilvl w:val="0"/>
          <w:numId w:val="20"/>
        </w:numPr>
        <w:ind w:left="426"/>
        <w:jc w:val="both"/>
        <w:rPr>
          <w:rFonts w:ascii="Avenir Next" w:eastAsiaTheme="minorHAnsi" w:hAnsi="Avenir Next" w:cs="Arial"/>
          <w:sz w:val="22"/>
          <w:szCs w:val="22"/>
          <w:lang w:val="en-GB"/>
        </w:rPr>
      </w:pPr>
      <w:r w:rsidRPr="00827D56">
        <w:rPr>
          <w:rFonts w:ascii="Avenir Next" w:hAnsi="Avenir Next" w:cs="Arial"/>
          <w:sz w:val="22"/>
          <w:szCs w:val="22"/>
          <w:lang w:val="en-GB"/>
        </w:rPr>
        <w:t>Havana Convention on Private International Law (1928)</w:t>
      </w:r>
      <w:r w:rsidRPr="00827D56">
        <w:rPr>
          <w:rFonts w:ascii="Avenir Next" w:eastAsiaTheme="minorHAnsi" w:hAnsi="Avenir Next" w:cs="Arial"/>
          <w:sz w:val="22"/>
          <w:szCs w:val="22"/>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D437D9" w:rsidRDefault="0082483F" w:rsidP="006D01C2">
      <w:pPr>
        <w:pStyle w:val="ListParagraph"/>
        <w:numPr>
          <w:ilvl w:val="0"/>
          <w:numId w:val="21"/>
        </w:numPr>
        <w:ind w:left="426"/>
        <w:jc w:val="both"/>
        <w:rPr>
          <w:rFonts w:ascii="Avenir Next" w:hAnsi="Avenir Next" w:cs="Arial"/>
          <w:sz w:val="22"/>
          <w:szCs w:val="22"/>
          <w:highlight w:val="yellow"/>
          <w:lang w:val="en-GB"/>
        </w:rPr>
      </w:pPr>
      <w:r w:rsidRPr="00D437D9">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1"/>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1"/>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1"/>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2"/>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2"/>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226DDDEF" w:rsidP="226DDDEF">
      <w:pPr>
        <w:pStyle w:val="ListParagraph"/>
        <w:numPr>
          <w:ilvl w:val="0"/>
          <w:numId w:val="22"/>
        </w:numPr>
        <w:ind w:left="426"/>
        <w:jc w:val="both"/>
        <w:rPr>
          <w:rFonts w:ascii="Avenir Next" w:eastAsiaTheme="minorEastAsia" w:hAnsi="Avenir Next" w:cs="Arial"/>
          <w:sz w:val="22"/>
          <w:szCs w:val="22"/>
          <w:highlight w:val="yellow"/>
          <w:lang w:val="en-GB"/>
        </w:rPr>
      </w:pPr>
      <w:r w:rsidRPr="226DDDEF">
        <w:rPr>
          <w:rFonts w:ascii="Avenir Next" w:eastAsiaTheme="minorEastAsia"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2"/>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226DDDEF">
      <w:pPr>
        <w:ind w:left="720" w:hanging="720"/>
        <w:jc w:val="both"/>
        <w:rPr>
          <w:rFonts w:ascii="Arial" w:eastAsia="Arial" w:hAnsi="Arial" w:cs="Arial"/>
          <w:sz w:val="22"/>
          <w:szCs w:val="22"/>
          <w:lang w:val="en-GB"/>
        </w:rPr>
      </w:pPr>
    </w:p>
    <w:p w14:paraId="57BCFC30" w14:textId="36C90411" w:rsidR="009B07AD" w:rsidRPr="00827D56" w:rsidRDefault="226DDDEF" w:rsidP="226DDDEF">
      <w:pPr>
        <w:jc w:val="both"/>
        <w:rPr>
          <w:rFonts w:ascii="Arial" w:eastAsia="Arial" w:hAnsi="Arial" w:cs="Arial"/>
          <w:sz w:val="22"/>
          <w:szCs w:val="22"/>
          <w:lang w:val="en-GB"/>
        </w:rPr>
      </w:pPr>
      <w:r w:rsidRPr="226DDDEF">
        <w:rPr>
          <w:rFonts w:ascii="Arial" w:eastAsia="Arial" w:hAnsi="Arial" w:cs="Arial"/>
          <w:sz w:val="22"/>
          <w:szCs w:val="22"/>
          <w:lang w:val="en-GB"/>
        </w:rPr>
        <w:t>International Insolvency law is defined by Fletcher</w:t>
      </w:r>
      <w:r w:rsidR="009B07AD" w:rsidRPr="226DDDEF">
        <w:rPr>
          <w:rFonts w:ascii="Arial" w:eastAsia="Arial" w:hAnsi="Arial" w:cs="Arial"/>
          <w:sz w:val="22"/>
          <w:szCs w:val="22"/>
          <w:lang w:val="en-GB"/>
        </w:rPr>
        <w:footnoteReference w:id="1"/>
      </w:r>
      <w:r w:rsidRPr="226DDDEF">
        <w:rPr>
          <w:rFonts w:ascii="Arial" w:eastAsia="Arial" w:hAnsi="Arial" w:cs="Arial"/>
          <w:sz w:val="22"/>
          <w:szCs w:val="22"/>
          <w:lang w:val="en-GB"/>
        </w:rPr>
        <w:t xml:space="preserve"> as a situation “... in which an insolvency occurs in circumstances which in some way transcend the confines of a single legal system, so that a single set of domestic insolvency law provisions cannot be immediately and exclusively applied without regard to the issues raised by the foreign elements of the case.” </w:t>
      </w:r>
    </w:p>
    <w:p w14:paraId="36F616F8" w14:textId="558B40DB" w:rsidR="226DDDEF" w:rsidRDefault="226DDDEF" w:rsidP="226DDDEF">
      <w:pPr>
        <w:jc w:val="both"/>
        <w:rPr>
          <w:rFonts w:ascii="Arial" w:eastAsia="Arial" w:hAnsi="Arial" w:cs="Arial"/>
          <w:sz w:val="22"/>
          <w:szCs w:val="22"/>
          <w:lang w:val="en-GB"/>
        </w:rPr>
      </w:pPr>
    </w:p>
    <w:p w14:paraId="2C18D006" w14:textId="251B9D69" w:rsidR="226DDDEF" w:rsidRDefault="226DDDEF" w:rsidP="226DDDEF">
      <w:pPr>
        <w:jc w:val="both"/>
        <w:rPr>
          <w:rFonts w:ascii="Arial" w:eastAsia="Arial" w:hAnsi="Arial" w:cs="Arial"/>
          <w:sz w:val="22"/>
          <w:szCs w:val="22"/>
          <w:lang w:val="en-GB"/>
        </w:rPr>
      </w:pPr>
      <w:r w:rsidRPr="226DDDEF">
        <w:rPr>
          <w:rFonts w:ascii="Arial" w:eastAsia="Arial" w:hAnsi="Arial" w:cs="Arial"/>
          <w:sz w:val="22"/>
          <w:szCs w:val="22"/>
          <w:lang w:val="en-GB"/>
        </w:rPr>
        <w:t>Fletcher goes on to state that “...an insolvency practitioner involved in a case with cross-border ramifications must come to terms with the fact that the world resembles a sort of patchwork quilt of jurisdictions whose provisions offer a wide variety of shades and patterns of collaborative potential.”</w:t>
      </w:r>
      <w:r w:rsidRPr="226DDDEF">
        <w:rPr>
          <w:rFonts w:ascii="Arial" w:eastAsia="Arial" w:hAnsi="Arial" w:cs="Arial"/>
          <w:sz w:val="22"/>
          <w:szCs w:val="22"/>
          <w:lang w:val="en-GB"/>
        </w:rPr>
        <w:footnoteReference w:id="2"/>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7254C0BE" w14:textId="3B12FA34" w:rsidR="226DDDEF" w:rsidRDefault="226DDDEF" w:rsidP="226DDDEF">
      <w:pPr>
        <w:spacing w:line="259" w:lineRule="auto"/>
        <w:jc w:val="both"/>
        <w:rPr>
          <w:rFonts w:ascii="Arial" w:eastAsia="Arial" w:hAnsi="Arial" w:cs="Arial"/>
          <w:sz w:val="22"/>
          <w:szCs w:val="22"/>
          <w:lang w:val="en-GB"/>
        </w:rPr>
      </w:pPr>
      <w:r w:rsidRPr="226DDDEF">
        <w:rPr>
          <w:rFonts w:ascii="Arial" w:eastAsia="Arial" w:hAnsi="Arial" w:cs="Arial"/>
          <w:sz w:val="22"/>
          <w:szCs w:val="22"/>
          <w:lang w:val="en-GB"/>
        </w:rPr>
        <w:lastRenderedPageBreak/>
        <w:t xml:space="preserve">Universality and territoriality are different doctrinal perspectives deployed in the pursuit of a solution to the generally accepted issues posed by cross-border insolvency cases. </w:t>
      </w:r>
    </w:p>
    <w:p w14:paraId="52BB7349" w14:textId="20EC9BAA" w:rsidR="226DDDEF" w:rsidRDefault="226DDDEF" w:rsidP="226DDDEF">
      <w:pPr>
        <w:spacing w:line="259" w:lineRule="auto"/>
        <w:jc w:val="both"/>
        <w:rPr>
          <w:rFonts w:ascii="Arial" w:eastAsia="Arial" w:hAnsi="Arial" w:cs="Arial"/>
          <w:sz w:val="22"/>
          <w:szCs w:val="22"/>
          <w:lang w:val="en-GB"/>
        </w:rPr>
      </w:pPr>
    </w:p>
    <w:p w14:paraId="02F9C5D6" w14:textId="652E7E16" w:rsidR="226DDDEF" w:rsidRDefault="226DDDEF" w:rsidP="226DDDEF">
      <w:pPr>
        <w:spacing w:line="259" w:lineRule="auto"/>
        <w:jc w:val="both"/>
        <w:rPr>
          <w:rFonts w:ascii="Arial" w:eastAsia="Arial" w:hAnsi="Arial" w:cs="Arial"/>
          <w:sz w:val="22"/>
          <w:szCs w:val="22"/>
          <w:lang w:val="en-GB"/>
        </w:rPr>
      </w:pPr>
      <w:r w:rsidRPr="226DDDEF">
        <w:rPr>
          <w:rFonts w:ascii="Arial" w:eastAsia="Arial" w:hAnsi="Arial" w:cs="Arial"/>
          <w:sz w:val="22"/>
          <w:szCs w:val="22"/>
          <w:lang w:val="en-GB"/>
        </w:rPr>
        <w:t>Universality is, simply put, the idea that in cross-border insolvency matters one jurisdiction should be designated as the ‘home state’ under which all insolvency actions will take place. Universality does not allow for concurrent or ancillary proceedings and promotes an ideal scenario where an office-holder has access to all assets of a debtor globally and runs a process in which any and all creditors can participate.</w:t>
      </w:r>
    </w:p>
    <w:p w14:paraId="69575FDF" w14:textId="3E88AA95" w:rsidR="226DDDEF" w:rsidRDefault="226DDDEF" w:rsidP="226DDDEF">
      <w:pPr>
        <w:spacing w:line="259" w:lineRule="auto"/>
        <w:jc w:val="both"/>
        <w:rPr>
          <w:rFonts w:ascii="Arial" w:eastAsia="Arial" w:hAnsi="Arial" w:cs="Arial"/>
          <w:sz w:val="22"/>
          <w:szCs w:val="22"/>
          <w:lang w:val="en-GB"/>
        </w:rPr>
      </w:pPr>
    </w:p>
    <w:p w14:paraId="3C19E242" w14:textId="798E6FAC" w:rsidR="226DDDEF" w:rsidRDefault="226DDDEF" w:rsidP="226DDDEF">
      <w:pPr>
        <w:spacing w:line="259" w:lineRule="auto"/>
        <w:jc w:val="both"/>
        <w:rPr>
          <w:rFonts w:ascii="Arial" w:eastAsia="Arial" w:hAnsi="Arial" w:cs="Arial"/>
          <w:sz w:val="22"/>
          <w:szCs w:val="22"/>
          <w:lang w:val="en-GB"/>
        </w:rPr>
      </w:pPr>
      <w:r w:rsidRPr="226DDDEF">
        <w:rPr>
          <w:rFonts w:ascii="Arial" w:eastAsia="Arial" w:hAnsi="Arial" w:cs="Arial"/>
          <w:sz w:val="22"/>
          <w:szCs w:val="22"/>
          <w:lang w:val="en-GB"/>
        </w:rPr>
        <w:t xml:space="preserve">Territoriality on the other hand is the concept that insolvency proceedings should be confined to the assets or issues based in that jurisdiction. The idea does not allow for the extra-territorial effect of insolvency proceedings and therefore paves the way for concurrent proceedings in as many states as the debtor operated or held assets in. </w:t>
      </w:r>
    </w:p>
    <w:p w14:paraId="3E7D4774" w14:textId="41B78BD3" w:rsidR="226DDDEF" w:rsidRDefault="226DDDEF" w:rsidP="226DDDEF">
      <w:pPr>
        <w:spacing w:line="259" w:lineRule="auto"/>
        <w:jc w:val="both"/>
        <w:rPr>
          <w:rFonts w:ascii="Arial" w:eastAsia="Arial" w:hAnsi="Arial" w:cs="Arial"/>
          <w:sz w:val="22"/>
          <w:szCs w:val="22"/>
          <w:lang w:val="en-GB"/>
        </w:rPr>
      </w:pPr>
    </w:p>
    <w:p w14:paraId="6139439C" w14:textId="1C799087" w:rsidR="226DDDEF" w:rsidRDefault="226DDDEF" w:rsidP="226DDDEF">
      <w:pPr>
        <w:spacing w:line="259" w:lineRule="auto"/>
        <w:jc w:val="both"/>
        <w:rPr>
          <w:rFonts w:ascii="Arial" w:eastAsia="Arial" w:hAnsi="Arial" w:cs="Arial"/>
          <w:sz w:val="22"/>
          <w:szCs w:val="22"/>
          <w:lang w:val="en-GB"/>
        </w:rPr>
      </w:pPr>
      <w:r w:rsidRPr="226DDDEF">
        <w:rPr>
          <w:rFonts w:ascii="Arial" w:eastAsia="Arial" w:hAnsi="Arial" w:cs="Arial"/>
          <w:sz w:val="22"/>
          <w:szCs w:val="22"/>
          <w:lang w:val="en-GB"/>
        </w:rPr>
        <w:t xml:space="preserve">Neither concept is wholly without issue. Universality requires firstly, a mechanism to determine the ‘home state’ and secondly, a universal willingness to submit to that jurisdiction once selected. The idea does however appear to align with basic concepts of fairness if used successfully. Territoriality however, acknowledges the reality that many, if not all, jurisdictions will be protective in one way or another about assets or creditor classes they house. This doctrine, if allowed to run to its natural conclusion, paves a way for a scenario where creditors could end up being treated differently in different jurisdictions. The broadly accepted concept of </w:t>
      </w:r>
      <w:proofErr w:type="spellStart"/>
      <w:r w:rsidRPr="226DDDEF">
        <w:rPr>
          <w:rFonts w:ascii="Arial" w:eastAsia="Arial" w:hAnsi="Arial" w:cs="Arial"/>
          <w:sz w:val="22"/>
          <w:szCs w:val="22"/>
          <w:lang w:val="en-GB"/>
        </w:rPr>
        <w:t>pari</w:t>
      </w:r>
      <w:proofErr w:type="spellEnd"/>
      <w:r w:rsidRPr="226DDDEF">
        <w:rPr>
          <w:rFonts w:ascii="Arial" w:eastAsia="Arial" w:hAnsi="Arial" w:cs="Arial"/>
          <w:sz w:val="22"/>
          <w:szCs w:val="22"/>
          <w:lang w:val="en-GB"/>
        </w:rPr>
        <w:t xml:space="preserve"> </w:t>
      </w:r>
      <w:proofErr w:type="spellStart"/>
      <w:r w:rsidRPr="226DDDEF">
        <w:rPr>
          <w:rFonts w:ascii="Arial" w:eastAsia="Arial" w:hAnsi="Arial" w:cs="Arial"/>
          <w:sz w:val="22"/>
          <w:szCs w:val="22"/>
          <w:lang w:val="en-GB"/>
        </w:rPr>
        <w:t>pasu</w:t>
      </w:r>
      <w:proofErr w:type="spellEnd"/>
      <w:r w:rsidRPr="226DDDEF">
        <w:rPr>
          <w:rFonts w:ascii="Arial" w:eastAsia="Arial" w:hAnsi="Arial" w:cs="Arial"/>
          <w:sz w:val="22"/>
          <w:szCs w:val="22"/>
          <w:lang w:val="en-GB"/>
        </w:rPr>
        <w:t xml:space="preserve"> is therefore more difficult to achieve.</w:t>
      </w:r>
    </w:p>
    <w:p w14:paraId="26AC6F2B" w14:textId="17EEC0CF" w:rsidR="226DDDEF" w:rsidRDefault="226DDDEF" w:rsidP="226DDDEF">
      <w:pPr>
        <w:spacing w:line="259" w:lineRule="auto"/>
        <w:jc w:val="both"/>
        <w:rPr>
          <w:rFonts w:ascii="Arial" w:eastAsia="Arial" w:hAnsi="Arial" w:cs="Arial"/>
          <w:sz w:val="22"/>
          <w:szCs w:val="22"/>
          <w:lang w:val="en-GB"/>
        </w:rPr>
      </w:pPr>
    </w:p>
    <w:p w14:paraId="72A6318B" w14:textId="660EBF67" w:rsidR="226DDDEF" w:rsidRDefault="226DDDEF" w:rsidP="226DDDEF">
      <w:pPr>
        <w:spacing w:line="259" w:lineRule="auto"/>
        <w:jc w:val="both"/>
        <w:rPr>
          <w:rFonts w:ascii="Arial" w:eastAsia="Arial" w:hAnsi="Arial" w:cs="Arial"/>
          <w:sz w:val="22"/>
          <w:szCs w:val="22"/>
          <w:lang w:val="en-GB"/>
        </w:rPr>
      </w:pPr>
      <w:r w:rsidRPr="226DDDEF">
        <w:rPr>
          <w:rFonts w:ascii="Arial" w:eastAsia="Arial" w:hAnsi="Arial" w:cs="Arial"/>
          <w:sz w:val="22"/>
          <w:szCs w:val="22"/>
          <w:lang w:val="en-GB"/>
        </w:rPr>
        <w:t xml:space="preserve">As </w:t>
      </w:r>
      <w:proofErr w:type="spellStart"/>
      <w:r w:rsidRPr="226DDDEF">
        <w:rPr>
          <w:rFonts w:ascii="Arial" w:eastAsia="Arial" w:hAnsi="Arial" w:cs="Arial"/>
          <w:sz w:val="22"/>
          <w:szCs w:val="22"/>
          <w:lang w:val="en-GB"/>
        </w:rPr>
        <w:t>Mevorach</w:t>
      </w:r>
      <w:proofErr w:type="spellEnd"/>
      <w:r w:rsidRPr="226DDDEF">
        <w:rPr>
          <w:rFonts w:ascii="Arial" w:eastAsia="Arial" w:hAnsi="Arial" w:cs="Arial"/>
          <w:sz w:val="22"/>
          <w:szCs w:val="22"/>
          <w:lang w:val="en-GB"/>
        </w:rPr>
        <w:footnoteReference w:id="3"/>
      </w:r>
      <w:r w:rsidRPr="226DDDEF">
        <w:rPr>
          <w:rFonts w:ascii="Arial" w:eastAsia="Arial" w:hAnsi="Arial" w:cs="Arial"/>
          <w:sz w:val="22"/>
          <w:szCs w:val="22"/>
          <w:lang w:val="en-GB"/>
        </w:rPr>
        <w:t xml:space="preserve"> states: “The opposing principles of unity/universality and plurality/territoriality in cross-border insolvency have created a historic struggle that has been unusually intense. In the process, territorialism evolved and challenged universalism, pointing to significant issues in the purist model. These problems include: reliance of pure universalism on full convergence of laws or the creation of supranational law, which may not be achievable; its inadequacy for business structures such as some forms of enterprise groups that comprise separate and independently controlled entities; and its disregard of the possible disadvantaged position of creditors where the process takes place in a foreign country. Yet territorialism... by adhering to a solution based on splitting the case between jurisdictions and disregarding foreign stakeholders, cannot provide a regime that promotes the goals of insolvency when insolvency happens across legal systems.”</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0B18E8FE" w14:textId="35BA2FC9" w:rsidR="226DDDEF" w:rsidRPr="002621EC" w:rsidRDefault="226DDDEF" w:rsidP="226DDDEF">
      <w:pPr>
        <w:pStyle w:val="ListParagraph"/>
        <w:numPr>
          <w:ilvl w:val="0"/>
          <w:numId w:val="1"/>
        </w:numPr>
        <w:jc w:val="both"/>
        <w:rPr>
          <w:rFonts w:ascii="Arial" w:hAnsi="Arial" w:cs="Arial"/>
          <w:sz w:val="22"/>
          <w:szCs w:val="22"/>
          <w:lang w:val="en-GB"/>
        </w:rPr>
      </w:pPr>
      <w:r w:rsidRPr="002621EC">
        <w:rPr>
          <w:rFonts w:ascii="Arial" w:hAnsi="Arial" w:cs="Arial"/>
          <w:sz w:val="22"/>
          <w:szCs w:val="22"/>
          <w:lang w:val="en-GB"/>
        </w:rPr>
        <w:t>Bahrain and the Dubai International Finance Centre adopted the Model Law on Cross-Border insolvency in 2018 and 2019 respectively. This furthers the goal of the Model Law to facilitate co-operation and co-ordination of cross-border insolvency cases globally;</w:t>
      </w:r>
    </w:p>
    <w:p w14:paraId="5A5445BB" w14:textId="01FE652D" w:rsidR="226DDDEF" w:rsidRPr="002621EC" w:rsidRDefault="226DDDEF" w:rsidP="226DDDEF">
      <w:pPr>
        <w:pStyle w:val="ListParagraph"/>
        <w:numPr>
          <w:ilvl w:val="0"/>
          <w:numId w:val="1"/>
        </w:numPr>
        <w:jc w:val="both"/>
        <w:rPr>
          <w:rFonts w:ascii="Arial" w:hAnsi="Arial" w:cs="Arial"/>
          <w:sz w:val="22"/>
          <w:szCs w:val="22"/>
          <w:lang w:val="en-GB"/>
        </w:rPr>
      </w:pPr>
      <w:r w:rsidRPr="002621EC">
        <w:rPr>
          <w:rFonts w:ascii="Arial" w:hAnsi="Arial" w:cs="Arial"/>
          <w:sz w:val="22"/>
          <w:szCs w:val="22"/>
          <w:lang w:val="en-GB"/>
        </w:rPr>
        <w:t xml:space="preserve">The first regional parallel review of the insolvency regimes in the Middle East and North Africa was launched in 2009. This is a joint review by INSOL International, the World Bank, the OECD and the </w:t>
      </w:r>
      <w:proofErr w:type="spellStart"/>
      <w:r w:rsidRPr="002621EC">
        <w:rPr>
          <w:rFonts w:ascii="Arial" w:hAnsi="Arial" w:cs="Arial"/>
          <w:sz w:val="22"/>
          <w:szCs w:val="22"/>
          <w:lang w:val="en-GB"/>
        </w:rPr>
        <w:t>Hawkamah</w:t>
      </w:r>
      <w:proofErr w:type="spellEnd"/>
      <w:r w:rsidRPr="002621EC">
        <w:rPr>
          <w:rFonts w:ascii="Arial" w:hAnsi="Arial" w:cs="Arial"/>
          <w:sz w:val="22"/>
          <w:szCs w:val="22"/>
          <w:lang w:val="en-GB"/>
        </w:rPr>
        <w:t xml:space="preserve"> Institute for Corporate Governance; and</w:t>
      </w:r>
    </w:p>
    <w:p w14:paraId="1AC077B8" w14:textId="3BD21DA4" w:rsidR="226DDDEF" w:rsidRPr="002621EC" w:rsidRDefault="226DDDEF" w:rsidP="226DDDEF">
      <w:pPr>
        <w:pStyle w:val="ListParagraph"/>
        <w:numPr>
          <w:ilvl w:val="0"/>
          <w:numId w:val="1"/>
        </w:numPr>
        <w:jc w:val="both"/>
        <w:rPr>
          <w:rFonts w:ascii="Arial" w:hAnsi="Arial" w:cs="Arial"/>
          <w:sz w:val="22"/>
          <w:szCs w:val="22"/>
          <w:lang w:val="en-GB"/>
        </w:rPr>
      </w:pPr>
      <w:r w:rsidRPr="002621EC">
        <w:rPr>
          <w:rFonts w:ascii="Arial" w:hAnsi="Arial" w:cs="Arial"/>
          <w:sz w:val="22"/>
          <w:szCs w:val="22"/>
          <w:lang w:val="en-GB"/>
        </w:rPr>
        <w:lastRenderedPageBreak/>
        <w:t>The UAE introduced insolvency reforms in 2019 which, amongst other changes, introduce the concept of a moratorium or stay on criminal proceedings or enforcement action against a debtor.</w:t>
      </w:r>
      <w:r w:rsidRPr="002621EC">
        <w:rPr>
          <w:rFonts w:ascii="Arial" w:hAnsi="Arial" w:cs="Arial"/>
          <w:sz w:val="22"/>
          <w:szCs w:val="22"/>
          <w:lang w:val="en-GB"/>
        </w:rPr>
        <w:footnoteReference w:id="4"/>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7027C399" w:rsidR="00962045" w:rsidRPr="002621EC" w:rsidRDefault="00DF75F8" w:rsidP="002621EC">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567FA3BB" w14:textId="4087C097" w:rsidR="00544127" w:rsidRPr="002621EC" w:rsidRDefault="756C5691" w:rsidP="756C5691">
      <w:pPr>
        <w:jc w:val="both"/>
        <w:rPr>
          <w:rFonts w:ascii="Arial" w:hAnsi="Arial" w:cs="Arial"/>
          <w:sz w:val="22"/>
          <w:szCs w:val="22"/>
          <w:lang w:val="en-GB"/>
        </w:rPr>
      </w:pPr>
      <w:r w:rsidRPr="002621EC">
        <w:rPr>
          <w:rFonts w:ascii="Arial" w:hAnsi="Arial" w:cs="Arial"/>
          <w:sz w:val="22"/>
          <w:szCs w:val="22"/>
          <w:lang w:val="en-GB"/>
        </w:rPr>
        <w:t>The objectives, and therefore the likely outcomes, for the insolvency of individuals and corporations vary greatly. The point of difference emanates from the concept of rehabilitation or discharge which is only universally available in personal insolvency cases. The notion of discharge was first introduced into the English and Welsh legal system by the Statute of Ann in 1705. Discharge or rehabilitation became more commonly accepted as insolvency law developed and became more humane</w:t>
      </w:r>
      <w:r w:rsidR="002621EC" w:rsidRPr="002621EC">
        <w:rPr>
          <w:rFonts w:ascii="Arial" w:hAnsi="Arial" w:cs="Arial"/>
          <w:sz w:val="22"/>
          <w:szCs w:val="22"/>
          <w:lang w:val="en-GB"/>
        </w:rPr>
        <w:t xml:space="preserve"> over time</w:t>
      </w:r>
      <w:r w:rsidRPr="002621EC">
        <w:rPr>
          <w:rFonts w:ascii="Arial" w:hAnsi="Arial" w:cs="Arial"/>
          <w:sz w:val="22"/>
          <w:szCs w:val="22"/>
          <w:lang w:val="en-GB"/>
        </w:rPr>
        <w:t xml:space="preserve">. For instance it is no longer the case that debtors in personal insolvency cases are criminally punished in France as they were under the 1807 Commercial Code. These developments progressed towards a system for personal insolvency cases that generally seeks to balance the creditors’ rights against the debtor’s needs. As such concepts such as ‘excluded assets’ have been developed to ensure that a debtor is still able to live and work whilst with his or her insolvency case progresses. In most jurisdictions there are also safeguards for their families and dependents protecting them from creditor action against the home or funds needed for basic survival. </w:t>
      </w:r>
    </w:p>
    <w:p w14:paraId="29EBC0A6" w14:textId="703FCF8A" w:rsidR="00544127" w:rsidRPr="002621EC" w:rsidRDefault="00544127" w:rsidP="756C5691">
      <w:pPr>
        <w:jc w:val="both"/>
        <w:rPr>
          <w:rFonts w:ascii="Arial" w:hAnsi="Arial" w:cs="Arial"/>
          <w:sz w:val="22"/>
          <w:szCs w:val="22"/>
          <w:lang w:val="en-GB"/>
        </w:rPr>
      </w:pPr>
    </w:p>
    <w:p w14:paraId="00CB73ED" w14:textId="32F42C02" w:rsidR="00544127" w:rsidRDefault="756C5691" w:rsidP="756C5691">
      <w:pPr>
        <w:jc w:val="both"/>
        <w:rPr>
          <w:rFonts w:ascii="Arial" w:hAnsi="Arial" w:cs="Arial"/>
          <w:sz w:val="22"/>
          <w:szCs w:val="22"/>
          <w:lang w:val="en-GB"/>
        </w:rPr>
      </w:pPr>
      <w:r w:rsidRPr="002621EC">
        <w:rPr>
          <w:rFonts w:ascii="Arial" w:hAnsi="Arial" w:cs="Arial"/>
          <w:sz w:val="22"/>
          <w:szCs w:val="22"/>
          <w:lang w:val="en-GB"/>
        </w:rPr>
        <w:t>In corporate cases rehabilitation is only usually achieved in limited circumstances where companies return to going concern status after successfully navigating through a rescue process. Whilst in recent times corporate rescue has become the focus of many jurisdictions’ insolvency reforms it is not always possible. In such cases the creditors’ rights as a whole will always trump those of the insolvent entity (and its shareholders). Insolvent entities will, once their insolvency process has run its course, be dissolved and cease to exist as a company. This ‘death’ of the insolvent entity is in stark contrast to the concept of discharge that applies to insolvent people.</w:t>
      </w:r>
      <w:r w:rsidR="002621EC" w:rsidRPr="002621EC">
        <w:rPr>
          <w:rFonts w:ascii="Arial" w:hAnsi="Arial" w:cs="Arial"/>
          <w:sz w:val="22"/>
          <w:szCs w:val="22"/>
          <w:lang w:val="en-GB"/>
        </w:rPr>
        <w:t xml:space="preserve"> </w:t>
      </w:r>
    </w:p>
    <w:p w14:paraId="5D849700" w14:textId="77777777" w:rsidR="003C36D6" w:rsidRDefault="003C36D6" w:rsidP="756C5691">
      <w:pPr>
        <w:jc w:val="both"/>
        <w:rPr>
          <w:rFonts w:ascii="Arial" w:hAnsi="Arial" w:cs="Arial"/>
          <w:sz w:val="22"/>
          <w:szCs w:val="22"/>
          <w:lang w:val="en-GB"/>
        </w:rPr>
      </w:pPr>
    </w:p>
    <w:p w14:paraId="42A1BD3B" w14:textId="2AD9AC8E" w:rsidR="003C36D6" w:rsidRPr="002621EC" w:rsidRDefault="003C36D6" w:rsidP="756C5691">
      <w:pPr>
        <w:jc w:val="both"/>
        <w:rPr>
          <w:rFonts w:ascii="Arial" w:hAnsi="Arial" w:cs="Arial"/>
          <w:sz w:val="22"/>
          <w:szCs w:val="22"/>
          <w:lang w:val="en-GB"/>
        </w:rPr>
      </w:pPr>
      <w:r>
        <w:rPr>
          <w:rFonts w:ascii="Arial" w:hAnsi="Arial" w:cs="Arial"/>
          <w:sz w:val="22"/>
          <w:szCs w:val="22"/>
          <w:lang w:val="en-GB"/>
        </w:rPr>
        <w:t>There are however some similarities in the insolvency processes for individuals and corporate entities. These similarities relate to the pursuit of voidable transactions and investigations into the causes of the insolvency.</w:t>
      </w:r>
    </w:p>
    <w:p w14:paraId="59F4508B" w14:textId="511CA82B" w:rsidR="00544127" w:rsidRPr="002621EC" w:rsidRDefault="00544127" w:rsidP="756C5691">
      <w:pPr>
        <w:jc w:val="both"/>
        <w:rPr>
          <w:rFonts w:ascii="Arial" w:hAnsi="Arial" w:cs="Arial"/>
          <w:sz w:val="22"/>
          <w:szCs w:val="22"/>
          <w:lang w:val="en-GB"/>
        </w:rPr>
      </w:pPr>
    </w:p>
    <w:p w14:paraId="4A637290" w14:textId="1690D4E6" w:rsidR="00544127" w:rsidRPr="002621EC" w:rsidRDefault="756C5691" w:rsidP="756C5691">
      <w:pPr>
        <w:jc w:val="both"/>
        <w:rPr>
          <w:rFonts w:ascii="Arial" w:hAnsi="Arial" w:cs="Arial"/>
          <w:sz w:val="22"/>
          <w:szCs w:val="22"/>
          <w:lang w:val="en-GB"/>
        </w:rPr>
      </w:pPr>
      <w:r w:rsidRPr="002621EC">
        <w:rPr>
          <w:rFonts w:ascii="Arial" w:hAnsi="Arial" w:cs="Arial"/>
          <w:sz w:val="22"/>
          <w:szCs w:val="22"/>
          <w:lang w:val="en-GB"/>
        </w:rPr>
        <w:t>For further information see Sealy and Hooley.</w:t>
      </w:r>
      <w:r w:rsidR="00544127" w:rsidRPr="002621EC">
        <w:rPr>
          <w:rFonts w:ascii="Arial" w:hAnsi="Arial" w:cs="Arial"/>
          <w:sz w:val="22"/>
          <w:szCs w:val="22"/>
          <w:lang w:val="en-GB"/>
        </w:rPr>
        <w:footnoteReference w:id="5"/>
      </w:r>
      <w:r w:rsidRPr="002621EC">
        <w:rPr>
          <w:rFonts w:ascii="Arial" w:hAnsi="Arial" w:cs="Arial"/>
          <w:sz w:val="22"/>
          <w:szCs w:val="22"/>
          <w:lang w:val="en-GB"/>
        </w:rPr>
        <w:t xml:space="preserve"> </w:t>
      </w:r>
    </w:p>
    <w:p w14:paraId="03A48506" w14:textId="4C383F23" w:rsidR="756C5691" w:rsidRDefault="756C5691" w:rsidP="756C5691">
      <w:pPr>
        <w:jc w:val="both"/>
        <w:rPr>
          <w:rFonts w:ascii="Avenir Next" w:hAnsi="Avenir Next" w:cs="Arial"/>
          <w:sz w:val="22"/>
          <w:szCs w:val="22"/>
          <w:lang w:val="en-GB"/>
        </w:rPr>
      </w:pPr>
    </w:p>
    <w:p w14:paraId="26602A41" w14:textId="01CCD646" w:rsidR="756C5691" w:rsidRDefault="756C5691" w:rsidP="756C5691">
      <w:pPr>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206CACE0" w14:textId="77777777" w:rsidR="003C36D6" w:rsidRDefault="003C36D6" w:rsidP="00C053F7">
      <w:pPr>
        <w:jc w:val="both"/>
        <w:rPr>
          <w:rFonts w:ascii="Arial" w:hAnsi="Arial" w:cs="Arial"/>
          <w:sz w:val="22"/>
          <w:szCs w:val="22"/>
          <w:lang w:val="en-GB"/>
        </w:rPr>
      </w:pPr>
      <w:r>
        <w:rPr>
          <w:rFonts w:ascii="Arial" w:hAnsi="Arial" w:cs="Arial"/>
          <w:sz w:val="22"/>
          <w:szCs w:val="22"/>
          <w:lang w:val="en-GB"/>
        </w:rPr>
        <w:t>Dealing with insolvency aw in the cross-border context opens an Insolvency Practitioner or a stakeholder to a number of issues that arise from the differences in the systems at play.</w:t>
      </w:r>
    </w:p>
    <w:p w14:paraId="60500B2D" w14:textId="77777777" w:rsidR="003C36D6" w:rsidRDefault="003C36D6" w:rsidP="00C053F7">
      <w:pPr>
        <w:jc w:val="both"/>
        <w:rPr>
          <w:rFonts w:ascii="Arial" w:hAnsi="Arial" w:cs="Arial"/>
          <w:sz w:val="22"/>
          <w:szCs w:val="22"/>
          <w:lang w:val="en-GB"/>
        </w:rPr>
      </w:pPr>
    </w:p>
    <w:p w14:paraId="3DAA6780" w14:textId="28792661" w:rsidR="00962045" w:rsidRDefault="003C36D6" w:rsidP="00C053F7">
      <w:pPr>
        <w:jc w:val="both"/>
        <w:rPr>
          <w:rFonts w:ascii="Arial" w:hAnsi="Arial" w:cs="Arial"/>
          <w:sz w:val="22"/>
          <w:szCs w:val="22"/>
          <w:lang w:val="en-GB"/>
        </w:rPr>
      </w:pPr>
      <w:r>
        <w:rPr>
          <w:rFonts w:ascii="Arial" w:hAnsi="Arial" w:cs="Arial"/>
          <w:sz w:val="22"/>
          <w:szCs w:val="22"/>
          <w:lang w:val="en-GB"/>
        </w:rPr>
        <w:t>For example, a cross-border insolvency case is likely to involve multiple forums which may or may not result in the instigation of concurrent proceedings. Concurrent proceedings can lead to increased costs and effort in administering the estate.</w:t>
      </w:r>
    </w:p>
    <w:p w14:paraId="32DECD5D" w14:textId="77777777" w:rsidR="003C36D6" w:rsidRDefault="003C36D6" w:rsidP="00C053F7">
      <w:pPr>
        <w:jc w:val="both"/>
        <w:rPr>
          <w:rFonts w:ascii="Arial" w:hAnsi="Arial" w:cs="Arial"/>
          <w:sz w:val="22"/>
          <w:szCs w:val="22"/>
          <w:lang w:val="en-GB"/>
        </w:rPr>
      </w:pPr>
    </w:p>
    <w:p w14:paraId="4AC2168D" w14:textId="2B103156" w:rsidR="003C36D6" w:rsidRDefault="003C36D6" w:rsidP="00C053F7">
      <w:pPr>
        <w:jc w:val="both"/>
        <w:rPr>
          <w:rFonts w:ascii="Arial" w:hAnsi="Arial" w:cs="Arial"/>
          <w:sz w:val="22"/>
          <w:szCs w:val="22"/>
          <w:lang w:val="en-GB"/>
        </w:rPr>
      </w:pPr>
      <w:r>
        <w:rPr>
          <w:rFonts w:ascii="Arial" w:hAnsi="Arial" w:cs="Arial"/>
          <w:sz w:val="22"/>
          <w:szCs w:val="22"/>
          <w:lang w:val="en-GB"/>
        </w:rPr>
        <w:t xml:space="preserve">Another issue one might encounter relates to the jurisdictional differences at play. For example, </w:t>
      </w:r>
      <w:r w:rsidR="003C3E20">
        <w:rPr>
          <w:rFonts w:ascii="Arial" w:hAnsi="Arial" w:cs="Arial"/>
          <w:sz w:val="22"/>
          <w:szCs w:val="22"/>
          <w:lang w:val="en-GB"/>
        </w:rPr>
        <w:t>local public policy will be particularly relevant when dealing with issues that directly impact the local economy such as redundancy or termination of employees. France, for example is known to be very strict on labour rights. Whereas in the UK there is a dedicated government body that assists those made redundant by an insolvent entity.</w:t>
      </w:r>
    </w:p>
    <w:p w14:paraId="2E987D6B" w14:textId="77777777" w:rsidR="003C3E20" w:rsidRDefault="003C3E20" w:rsidP="00C053F7">
      <w:pPr>
        <w:jc w:val="both"/>
        <w:rPr>
          <w:rFonts w:ascii="Arial" w:hAnsi="Arial" w:cs="Arial"/>
          <w:sz w:val="22"/>
          <w:szCs w:val="22"/>
          <w:lang w:val="en-GB"/>
        </w:rPr>
      </w:pPr>
    </w:p>
    <w:p w14:paraId="27418450" w14:textId="57E73BBC" w:rsidR="003C3E20" w:rsidRDefault="003C3E20" w:rsidP="00C053F7">
      <w:pPr>
        <w:jc w:val="both"/>
        <w:rPr>
          <w:rFonts w:ascii="Arial" w:hAnsi="Arial" w:cs="Arial"/>
          <w:sz w:val="22"/>
          <w:szCs w:val="22"/>
          <w:lang w:val="en-GB"/>
        </w:rPr>
      </w:pPr>
      <w:r w:rsidRPr="003C3E20">
        <w:rPr>
          <w:rFonts w:ascii="Arial" w:hAnsi="Arial" w:cs="Arial"/>
          <w:sz w:val="22"/>
          <w:szCs w:val="22"/>
          <w:lang w:val="en-GB"/>
        </w:rPr>
        <w:t xml:space="preserve">A further, more general issue that will become apparent is the difference between jurisdictions in their approach to stakeholders. Some jurisdictions are notably ‘pro-debtor’ and encourage the notion of discharge or </w:t>
      </w:r>
      <w:r>
        <w:rPr>
          <w:rFonts w:ascii="Arial" w:hAnsi="Arial" w:cs="Arial"/>
          <w:sz w:val="22"/>
          <w:szCs w:val="22"/>
          <w:lang w:val="en-GB"/>
        </w:rPr>
        <w:t xml:space="preserve">forgiveness of debt (such as the USA). Other jurisdictions are more ‘pro-creditor’ </w:t>
      </w:r>
      <w:r w:rsidR="004151A7">
        <w:rPr>
          <w:rFonts w:ascii="Arial" w:hAnsi="Arial" w:cs="Arial"/>
          <w:sz w:val="22"/>
          <w:szCs w:val="22"/>
          <w:lang w:val="en-GB"/>
        </w:rPr>
        <w:t>where discharge is harder won or a debtor is subject to longer-lasting ramifications of their insolvency.</w:t>
      </w:r>
    </w:p>
    <w:p w14:paraId="6AF86FD5" w14:textId="77777777" w:rsidR="004151A7" w:rsidRDefault="004151A7" w:rsidP="00C053F7">
      <w:pPr>
        <w:jc w:val="both"/>
        <w:rPr>
          <w:rFonts w:ascii="Arial" w:hAnsi="Arial" w:cs="Arial"/>
          <w:sz w:val="22"/>
          <w:szCs w:val="22"/>
          <w:lang w:val="en-GB"/>
        </w:rPr>
      </w:pPr>
    </w:p>
    <w:p w14:paraId="5CEB70CA" w14:textId="015F28A7" w:rsidR="004151A7" w:rsidRDefault="004151A7" w:rsidP="00C053F7">
      <w:pPr>
        <w:jc w:val="both"/>
        <w:rPr>
          <w:rFonts w:ascii="Arial" w:hAnsi="Arial" w:cs="Arial"/>
          <w:sz w:val="22"/>
          <w:szCs w:val="22"/>
          <w:lang w:val="en-GB"/>
        </w:rPr>
      </w:pPr>
      <w:r>
        <w:rPr>
          <w:rFonts w:ascii="Arial" w:hAnsi="Arial" w:cs="Arial"/>
          <w:sz w:val="22"/>
          <w:szCs w:val="22"/>
          <w:lang w:val="en-GB"/>
        </w:rPr>
        <w:t>Another issue that will become apparent is that of each jurisdictions’ ability or willingness to interact with another. Some jurisdictions are well-versed in cross-border insolvency issues and regularly interact with other States’ Courts. The US and UK are a good example of jurisdictions that regularly interact, see Maxwell Communication Corporation plc</w:t>
      </w:r>
      <w:r>
        <w:rPr>
          <w:rStyle w:val="FootnoteReference"/>
          <w:rFonts w:ascii="Arial" w:hAnsi="Arial" w:cs="Arial"/>
          <w:sz w:val="22"/>
          <w:szCs w:val="22"/>
          <w:lang w:val="en-GB"/>
        </w:rPr>
        <w:footnoteReference w:id="6"/>
      </w:r>
      <w:r>
        <w:rPr>
          <w:rFonts w:ascii="Arial" w:hAnsi="Arial" w:cs="Arial"/>
          <w:sz w:val="22"/>
          <w:szCs w:val="22"/>
          <w:lang w:val="en-GB"/>
        </w:rPr>
        <w:t xml:space="preserve">. Other States are less used to international cooperation such as those in the Middle East which do not currently interact regularly at a regional level. These states will </w:t>
      </w:r>
      <w:r w:rsidR="00496355">
        <w:rPr>
          <w:rFonts w:ascii="Arial" w:hAnsi="Arial" w:cs="Arial"/>
          <w:sz w:val="22"/>
          <w:szCs w:val="22"/>
          <w:lang w:val="en-GB"/>
        </w:rPr>
        <w:t>in all likelihood be more challenging to deal with in a cross-border case due to a lack of infrastructure at the Court level to deal with such matters.</w:t>
      </w:r>
    </w:p>
    <w:p w14:paraId="3AA73183" w14:textId="77777777" w:rsidR="00496355" w:rsidRDefault="00496355" w:rsidP="00C053F7">
      <w:pPr>
        <w:jc w:val="both"/>
        <w:rPr>
          <w:rFonts w:ascii="Arial" w:hAnsi="Arial" w:cs="Arial"/>
          <w:sz w:val="22"/>
          <w:szCs w:val="22"/>
          <w:lang w:val="en-GB"/>
        </w:rPr>
      </w:pPr>
    </w:p>
    <w:p w14:paraId="3B2333D3" w14:textId="448199A3" w:rsidR="00496355" w:rsidRPr="003C3E20" w:rsidRDefault="00496355" w:rsidP="00C053F7">
      <w:pPr>
        <w:jc w:val="both"/>
        <w:rPr>
          <w:rFonts w:ascii="Arial" w:hAnsi="Arial" w:cs="Arial"/>
          <w:sz w:val="22"/>
          <w:szCs w:val="22"/>
          <w:lang w:val="en-GB"/>
        </w:rPr>
      </w:pPr>
      <w:r>
        <w:rPr>
          <w:rFonts w:ascii="Arial" w:hAnsi="Arial" w:cs="Arial"/>
          <w:sz w:val="22"/>
          <w:szCs w:val="22"/>
          <w:lang w:val="en-GB"/>
        </w:rPr>
        <w:t xml:space="preserve">Finally, a very basic issue of definition will exist. At its core, the definition of insolvency and the applicable processes varies from state to state. An office holder’s abilities will therefore vary greatly across the debtor’s insolvent estate. This could create issues in achieving the concept of </w:t>
      </w:r>
      <w:proofErr w:type="spellStart"/>
      <w:r>
        <w:rPr>
          <w:rFonts w:ascii="Arial" w:hAnsi="Arial" w:cs="Arial"/>
          <w:sz w:val="22"/>
          <w:szCs w:val="22"/>
          <w:lang w:val="en-GB"/>
        </w:rPr>
        <w:t>pari</w:t>
      </w:r>
      <w:proofErr w:type="spellEnd"/>
      <w:r>
        <w:rPr>
          <w:rFonts w:ascii="Arial" w:hAnsi="Arial" w:cs="Arial"/>
          <w:sz w:val="22"/>
          <w:szCs w:val="22"/>
          <w:lang w:val="en-GB"/>
        </w:rPr>
        <w:t xml:space="preserve"> </w:t>
      </w:r>
      <w:proofErr w:type="spellStart"/>
      <w:r>
        <w:rPr>
          <w:rFonts w:ascii="Arial" w:hAnsi="Arial" w:cs="Arial"/>
          <w:sz w:val="22"/>
          <w:szCs w:val="22"/>
          <w:lang w:val="en-GB"/>
        </w:rPr>
        <w:t>pasu</w:t>
      </w:r>
      <w:proofErr w:type="spellEnd"/>
      <w:r>
        <w:rPr>
          <w:rFonts w:ascii="Arial" w:hAnsi="Arial" w:cs="Arial"/>
          <w:sz w:val="22"/>
          <w:szCs w:val="22"/>
          <w:lang w:val="en-GB"/>
        </w:rPr>
        <w:t xml:space="preserve"> when dealing with foreign creditors or even when dealing with asset realisations.</w:t>
      </w: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172AB581" w:rsidR="00DF75F8" w:rsidRDefault="00D323DB" w:rsidP="00C053F7">
      <w:pPr>
        <w:jc w:val="both"/>
        <w:rPr>
          <w:rFonts w:ascii="Arial" w:hAnsi="Arial" w:cs="Arial"/>
          <w:sz w:val="22"/>
          <w:szCs w:val="22"/>
          <w:lang w:val="en-GB"/>
        </w:rPr>
      </w:pPr>
      <w:r w:rsidRPr="00D323DB">
        <w:rPr>
          <w:rFonts w:ascii="Arial" w:hAnsi="Arial" w:cs="Arial"/>
          <w:sz w:val="22"/>
          <w:szCs w:val="22"/>
          <w:lang w:val="en-GB"/>
        </w:rPr>
        <w:t xml:space="preserve">The 21st century has seen </w:t>
      </w:r>
      <w:r>
        <w:rPr>
          <w:rFonts w:ascii="Arial" w:hAnsi="Arial" w:cs="Arial"/>
          <w:sz w:val="22"/>
          <w:szCs w:val="22"/>
          <w:lang w:val="en-GB"/>
        </w:rPr>
        <w:t xml:space="preserve">many steps taken to promote the harmonisation of domestic insolvency laws at the multilateral level. </w:t>
      </w:r>
    </w:p>
    <w:p w14:paraId="530C3A70" w14:textId="77777777" w:rsidR="00D323DB" w:rsidRDefault="00D323DB" w:rsidP="00C053F7">
      <w:pPr>
        <w:jc w:val="both"/>
        <w:rPr>
          <w:rFonts w:ascii="Arial" w:hAnsi="Arial" w:cs="Arial"/>
          <w:sz w:val="22"/>
          <w:szCs w:val="22"/>
          <w:lang w:val="en-GB"/>
        </w:rPr>
      </w:pPr>
    </w:p>
    <w:p w14:paraId="5C81CF08" w14:textId="5770F504" w:rsidR="00D323DB" w:rsidRDefault="00D323DB" w:rsidP="00C053F7">
      <w:pPr>
        <w:jc w:val="both"/>
        <w:rPr>
          <w:rFonts w:ascii="Arial" w:hAnsi="Arial" w:cs="Arial"/>
          <w:sz w:val="22"/>
          <w:szCs w:val="22"/>
          <w:lang w:val="en-GB"/>
        </w:rPr>
      </w:pPr>
      <w:r>
        <w:rPr>
          <w:rFonts w:ascii="Arial" w:hAnsi="Arial" w:cs="Arial"/>
          <w:sz w:val="22"/>
          <w:szCs w:val="22"/>
          <w:lang w:val="en-GB"/>
        </w:rPr>
        <w:t>Arguably, the most important and most likely to succeed is the UNCITRAL Model Law on Cross-Border Insolvency. The Model Law focuses on facilitating cooperation and co-ordination of concurrent proceedings but also acts as a guide or ‘standard’ to states developing or amending their insolvency legislation. The ultimate aim will be to achieve a ‘levelling-up’ globally that will not only improve insolvency proceedings at the domestic level but also make cross-border insolvencies easier, more streamlined and less open to exploitation or critique. I believe the Model Law is likely to be the most successful in addressing international insolvency issues because it has seen the greatest uptake globally. States from every region have now adopted the Model Law.</w:t>
      </w:r>
      <w:r w:rsidR="00E576DC">
        <w:rPr>
          <w:rFonts w:ascii="Arial" w:hAnsi="Arial" w:cs="Arial"/>
          <w:sz w:val="22"/>
          <w:szCs w:val="22"/>
          <w:lang w:val="en-GB"/>
        </w:rPr>
        <w:t xml:space="preserve"> In addition, the Model Law has the added benefit of being truly global in its approach, other attempts at the multilateral level have been regional or limited in nature </w:t>
      </w:r>
      <w:r w:rsidR="00E576DC">
        <w:rPr>
          <w:rFonts w:ascii="Arial" w:hAnsi="Arial" w:cs="Arial"/>
          <w:sz w:val="22"/>
          <w:szCs w:val="22"/>
          <w:lang w:val="en-GB"/>
        </w:rPr>
        <w:lastRenderedPageBreak/>
        <w:t>and as such still retain idiosyncrasies specific to that region or group of states such as the Union of South American Nations.</w:t>
      </w:r>
    </w:p>
    <w:p w14:paraId="093C3686" w14:textId="77777777" w:rsidR="00E576DC" w:rsidRDefault="00E576DC" w:rsidP="00C053F7">
      <w:pPr>
        <w:jc w:val="both"/>
        <w:rPr>
          <w:rFonts w:ascii="Arial" w:hAnsi="Arial" w:cs="Arial"/>
          <w:sz w:val="22"/>
          <w:szCs w:val="22"/>
          <w:lang w:val="en-GB"/>
        </w:rPr>
      </w:pPr>
    </w:p>
    <w:p w14:paraId="66045691" w14:textId="341A4128" w:rsidR="00E576DC" w:rsidRPr="00D323DB" w:rsidRDefault="00E576DC" w:rsidP="00C053F7">
      <w:pPr>
        <w:jc w:val="both"/>
        <w:rPr>
          <w:rFonts w:ascii="Arial" w:hAnsi="Arial" w:cs="Arial"/>
          <w:sz w:val="22"/>
          <w:szCs w:val="22"/>
          <w:lang w:val="en-GB"/>
        </w:rPr>
      </w:pPr>
      <w:r>
        <w:rPr>
          <w:rFonts w:ascii="Arial" w:hAnsi="Arial" w:cs="Arial"/>
          <w:sz w:val="22"/>
          <w:szCs w:val="22"/>
          <w:lang w:val="en-GB"/>
        </w:rPr>
        <w:t>Another 21</w:t>
      </w:r>
      <w:r w:rsidRPr="00E576DC">
        <w:rPr>
          <w:rFonts w:ascii="Arial" w:hAnsi="Arial" w:cs="Arial"/>
          <w:sz w:val="22"/>
          <w:szCs w:val="22"/>
          <w:vertAlign w:val="superscript"/>
          <w:lang w:val="en-GB"/>
        </w:rPr>
        <w:t>st</w:t>
      </w:r>
      <w:r>
        <w:rPr>
          <w:rFonts w:ascii="Arial" w:hAnsi="Arial" w:cs="Arial"/>
          <w:sz w:val="22"/>
          <w:szCs w:val="22"/>
          <w:lang w:val="en-GB"/>
        </w:rPr>
        <w:t xml:space="preserve"> century multilateral development has been initiated is the Judicial Insolvency Network (JIN). The JIN is “a network of insolvency judges from across the world with the aim of providing judicial thought leadership, developing best practices and facilitating communication and cooperation amongst national courts in cross-border insolvency and restructuring matters.”</w:t>
      </w:r>
      <w:r>
        <w:rPr>
          <w:rStyle w:val="FootnoteReference"/>
          <w:rFonts w:ascii="Arial" w:hAnsi="Arial" w:cs="Arial"/>
          <w:sz w:val="22"/>
          <w:szCs w:val="22"/>
          <w:lang w:val="en-GB"/>
        </w:rPr>
        <w:footnoteReference w:id="7"/>
      </w:r>
      <w:r>
        <w:rPr>
          <w:rFonts w:ascii="Arial" w:hAnsi="Arial" w:cs="Arial"/>
          <w:sz w:val="22"/>
          <w:szCs w:val="22"/>
          <w:lang w:val="en-GB"/>
        </w:rPr>
        <w:t xml:space="preserve"> The JIN focuses on cooperation at the court level which, whilst very valuable, will be limited in its reach owing to the relevant public policy considerations at the state level that judges cannot necessarily disregard. This initiative will however work towards bettering the flow of information between courts and will therefore contribute to simplifying cross-border insolvency cases and </w:t>
      </w:r>
      <w:r w:rsidR="009140A5">
        <w:rPr>
          <w:rFonts w:ascii="Arial" w:hAnsi="Arial" w:cs="Arial"/>
          <w:sz w:val="22"/>
          <w:szCs w:val="22"/>
          <w:lang w:val="en-GB"/>
        </w:rPr>
        <w:t xml:space="preserve">making them more efficient. </w:t>
      </w:r>
      <w:bookmarkStart w:id="0" w:name="_GoBack"/>
      <w:bookmarkEnd w:id="0"/>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before moving its registration and head office to Utopia one month ago.  Apex Pty Ltd (Apex) is incorporated and has its head office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One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creditor obtains a court winding-up order against Nadir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1"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liquidator’s investigations detect that Apex is suing Nadir in Utopia.  The liquidator would like to stop Apex court action against Nadir in Utopia.  Advise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2E29B1ED" w:rsidR="002F75A3" w:rsidRPr="00827D56" w:rsidRDefault="002F75A3" w:rsidP="00C053F7">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[Type your answer here]</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3"/>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073F1975"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[Type your answer here]</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1"/>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77777777" w:rsidR="0077498C" w:rsidRPr="00827D56" w:rsidRDefault="0033768C" w:rsidP="00C053F7">
      <w:pPr>
        <w:jc w:val="both"/>
        <w:rPr>
          <w:rFonts w:ascii="Avenir Next" w:hAnsi="Avenir Next" w:cs="Arial"/>
          <w:color w:val="000000" w:themeColor="text1"/>
          <w:sz w:val="22"/>
          <w:szCs w:val="22"/>
          <w:lang w:val="en-GB"/>
        </w:rPr>
      </w:pPr>
      <w:r w:rsidRPr="00827D56">
        <w:rPr>
          <w:rFonts w:ascii="Avenir Next" w:hAnsi="Avenir Next" w:cs="Arial"/>
          <w:color w:val="7B7B7B" w:themeColor="accent3" w:themeShade="BF"/>
          <w:sz w:val="22"/>
          <w:szCs w:val="22"/>
          <w:lang w:val="en-GB"/>
        </w:rPr>
        <w:t>[Type your answer here]</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headerReference w:type="default" r:id="rId9"/>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A79AE" w14:textId="77777777" w:rsidR="00146B32" w:rsidRDefault="00146B32" w:rsidP="00241B44">
      <w:r>
        <w:separator/>
      </w:r>
    </w:p>
  </w:endnote>
  <w:endnote w:type="continuationSeparator" w:id="0">
    <w:p w14:paraId="024A029C" w14:textId="77777777" w:rsidR="00146B32" w:rsidRDefault="00146B3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p w14:paraId="39FD1B0B" w14:textId="06B7A9A3"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number.assessment1formative.docx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009140A5">
          <w:rPr>
            <w:rStyle w:val="PageNumber"/>
            <w:rFonts w:ascii="Avenir Next" w:hAnsi="Avenir Next" w:cs="Arial"/>
            <w:noProof/>
            <w:sz w:val="22"/>
            <w:szCs w:val="22"/>
          </w:rPr>
          <w:t>3</w:t>
        </w:r>
        <w:r w:rsidRPr="009634F4">
          <w:rPr>
            <w:rStyle w:val="PageNumber"/>
            <w:rFonts w:ascii="Avenir Next" w:hAnsi="Avenir Next" w:cs="Arial"/>
            <w:sz w:val="22"/>
            <w:szCs w:val="22"/>
          </w:rPr>
          <w:fldChar w:fldCharType="end"/>
        </w:r>
      </w:p>
    </w:sdtContent>
  </w:sdt>
  <w:p w14:paraId="120BA9A5" w14:textId="72778B24" w:rsidR="00AD6A7D" w:rsidRPr="009634F4" w:rsidRDefault="0087133C" w:rsidP="00AD6A7D">
    <w:pPr>
      <w:pStyle w:val="Footer"/>
      <w:ind w:right="360"/>
      <w:rPr>
        <w:rFonts w:ascii="Avenir Next" w:hAnsi="Avenir Next" w:cs="Arial"/>
        <w:sz w:val="22"/>
        <w:szCs w:val="22"/>
      </w:rPr>
    </w:pPr>
    <w:r>
      <w:rPr>
        <w:rFonts w:ascii="Avenir Next" w:hAnsi="Avenir Next" w:cs="Arial"/>
        <w:sz w:val="22"/>
        <w:szCs w:val="22"/>
      </w:rPr>
      <w:t>202223-790</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8877A" w14:textId="77777777" w:rsidR="00146B32" w:rsidRDefault="00146B32" w:rsidP="00241B44">
      <w:r>
        <w:separator/>
      </w:r>
    </w:p>
  </w:footnote>
  <w:footnote w:type="continuationSeparator" w:id="0">
    <w:p w14:paraId="539AC2A2" w14:textId="77777777" w:rsidR="00146B32" w:rsidRDefault="00146B32" w:rsidP="00241B44">
      <w:r>
        <w:continuationSeparator/>
      </w:r>
    </w:p>
  </w:footnote>
  <w:footnote w:id="1">
    <w:p w14:paraId="041AEEE9" w14:textId="272BAE67" w:rsidR="226DDDEF" w:rsidRDefault="226DDDEF" w:rsidP="226DDDEF">
      <w:r w:rsidRPr="226DDDEF">
        <w:rPr>
          <w:rFonts w:ascii="Calibri" w:eastAsia="Calibri" w:hAnsi="Calibri" w:cs="Calibri"/>
          <w:szCs w:val="20"/>
        </w:rPr>
        <w:footnoteRef/>
      </w:r>
      <w:r w:rsidRPr="226DDDEF">
        <w:rPr>
          <w:rFonts w:ascii="Calibri" w:eastAsia="Calibri" w:hAnsi="Calibri" w:cs="Calibri"/>
          <w:szCs w:val="20"/>
        </w:rPr>
        <w:t xml:space="preserve"> I Fletcher, “International Insolvency: The Way Ahead” pg7  </w:t>
      </w:r>
      <w:hyperlink r:id="rId1">
        <w:r w:rsidRPr="226DDDEF">
          <w:rPr>
            <w:rStyle w:val="Hyperlink"/>
            <w:rFonts w:ascii="Calibri" w:eastAsia="Calibri" w:hAnsi="Calibri" w:cs="Calibri"/>
            <w:szCs w:val="20"/>
          </w:rPr>
          <w:t>https://onlinelibrary.wiley.com/doi/pdf/10.1002/iir.3940020104</w:t>
        </w:r>
      </w:hyperlink>
      <w:r w:rsidRPr="226DDDEF">
        <w:rPr>
          <w:rFonts w:ascii="Calibri" w:eastAsia="Calibri" w:hAnsi="Calibri" w:cs="Calibri"/>
          <w:szCs w:val="20"/>
        </w:rPr>
        <w:t xml:space="preserve"> </w:t>
      </w:r>
    </w:p>
  </w:footnote>
  <w:footnote w:id="2">
    <w:p w14:paraId="59857B17" w14:textId="2DD658D5" w:rsidR="226DDDEF" w:rsidRDefault="226DDDEF">
      <w:r>
        <w:footnoteRef/>
      </w:r>
      <w:r>
        <w:t xml:space="preserve"> Ibid, </w:t>
      </w:r>
      <w:proofErr w:type="spellStart"/>
      <w:r>
        <w:t>pg</w:t>
      </w:r>
      <w:proofErr w:type="spellEnd"/>
      <w:r>
        <w:t xml:space="preserve"> 13</w:t>
      </w:r>
    </w:p>
  </w:footnote>
  <w:footnote w:id="3">
    <w:p w14:paraId="63A594E5" w14:textId="318A7658" w:rsidR="226DDDEF" w:rsidRDefault="226DDDEF">
      <w:r>
        <w:footnoteRef/>
      </w:r>
      <w:r>
        <w:t xml:space="preserve"> I </w:t>
      </w:r>
      <w:proofErr w:type="spellStart"/>
      <w:r>
        <w:t>Mevorach</w:t>
      </w:r>
      <w:proofErr w:type="spellEnd"/>
      <w:r>
        <w:t xml:space="preserve">, The Future of Cross-Border Insolvency: Overcoming Biases and Closing Gaps (Oxford University Press, 2018 </w:t>
      </w:r>
      <w:proofErr w:type="spellStart"/>
      <w:r>
        <w:t>pgs</w:t>
      </w:r>
      <w:proofErr w:type="spellEnd"/>
      <w:r>
        <w:t xml:space="preserve"> 5-6</w:t>
      </w:r>
    </w:p>
  </w:footnote>
  <w:footnote w:id="4">
    <w:p w14:paraId="762B64AF" w14:textId="6EF9793A" w:rsidR="226DDDEF" w:rsidRDefault="226DDDEF">
      <w:r>
        <w:footnoteRef/>
      </w:r>
      <w:r>
        <w:t xml:space="preserve"> </w:t>
      </w:r>
      <w:hyperlink r:id="rId2">
        <w:r w:rsidRPr="226DDDEF">
          <w:rPr>
            <w:rStyle w:val="Hyperlink"/>
          </w:rPr>
          <w:t>https://www.bakermckenzie.com/en//-/media/images/insight/publications/2020/02/the_new_insolvency_regime_in_the_uae.pdf</w:t>
        </w:r>
      </w:hyperlink>
      <w:r>
        <w:t xml:space="preserve"> </w:t>
      </w:r>
    </w:p>
  </w:footnote>
  <w:footnote w:id="5">
    <w:p w14:paraId="1B8C5BDF" w14:textId="698A91E7" w:rsidR="756C5691" w:rsidRDefault="756C5691">
      <w:r>
        <w:footnoteRef/>
      </w:r>
      <w:r>
        <w:t xml:space="preserve"> In M A Clarke et al, Commercial Law (Oxford University Press, 2017), chap 28</w:t>
      </w:r>
    </w:p>
  </w:footnote>
  <w:footnote w:id="6">
    <w:p w14:paraId="7F248D43" w14:textId="68D67610" w:rsidR="004151A7" w:rsidRPr="004151A7" w:rsidRDefault="004151A7">
      <w:pPr>
        <w:pStyle w:val="FootnoteText"/>
        <w:rPr>
          <w:lang w:val="en-GB"/>
        </w:rPr>
      </w:pPr>
      <w:r>
        <w:rPr>
          <w:rStyle w:val="FootnoteReference"/>
        </w:rPr>
        <w:footnoteRef/>
      </w:r>
      <w:r>
        <w:t xml:space="preserve"> </w:t>
      </w:r>
      <w:r>
        <w:rPr>
          <w:lang w:val="en-GB"/>
        </w:rPr>
        <w:t>See the summary in UNCITRAL Practice Guide on Cross-Border Insolvency Cooperation 2009, pgs. 128-129</w:t>
      </w:r>
    </w:p>
  </w:footnote>
  <w:footnote w:id="7">
    <w:p w14:paraId="7FE2948C" w14:textId="7DD45FED" w:rsidR="00E576DC" w:rsidRPr="00E576DC" w:rsidRDefault="00E576DC">
      <w:pPr>
        <w:pStyle w:val="FootnoteText"/>
        <w:rPr>
          <w:lang w:val="en-GB"/>
        </w:rPr>
      </w:pPr>
      <w:r>
        <w:rPr>
          <w:rStyle w:val="FootnoteReference"/>
        </w:rPr>
        <w:footnoteRef/>
      </w:r>
      <w:r>
        <w:t xml:space="preserve"> </w:t>
      </w:r>
      <w:hyperlink r:id="rId3" w:history="1">
        <w:r w:rsidRPr="003950B2">
          <w:rPr>
            <w:rStyle w:val="Hyperlink"/>
            <w:lang w:val="en-GB"/>
          </w:rPr>
          <w:t>https://www.supremecourt.gov.sg/news/media-releases/judges-of-the-worldwide-judicial-insolvency-network-to-meet-in-new-york-city-this-september</w:t>
        </w:r>
      </w:hyperlink>
      <w:r>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226DDDEF" w14:paraId="758373F3" w14:textId="77777777" w:rsidTr="226DDDEF">
      <w:tc>
        <w:tcPr>
          <w:tcW w:w="3005" w:type="dxa"/>
        </w:tcPr>
        <w:p w14:paraId="23101C14" w14:textId="371C59C3" w:rsidR="226DDDEF" w:rsidRDefault="226DDDEF" w:rsidP="226DDDEF">
          <w:pPr>
            <w:pStyle w:val="Header"/>
            <w:ind w:left="-115"/>
          </w:pPr>
        </w:p>
      </w:tc>
      <w:tc>
        <w:tcPr>
          <w:tcW w:w="3005" w:type="dxa"/>
        </w:tcPr>
        <w:p w14:paraId="3AC32029" w14:textId="220ED204" w:rsidR="226DDDEF" w:rsidRDefault="226DDDEF" w:rsidP="226DDDEF">
          <w:pPr>
            <w:pStyle w:val="Header"/>
            <w:jc w:val="center"/>
          </w:pPr>
        </w:p>
      </w:tc>
      <w:tc>
        <w:tcPr>
          <w:tcW w:w="3005" w:type="dxa"/>
        </w:tcPr>
        <w:p w14:paraId="748A4CAA" w14:textId="1C45A9D6" w:rsidR="226DDDEF" w:rsidRDefault="226DDDEF" w:rsidP="226DDDEF">
          <w:pPr>
            <w:pStyle w:val="Header"/>
            <w:ind w:right="-115"/>
            <w:jc w:val="right"/>
          </w:pPr>
        </w:p>
      </w:tc>
    </w:tr>
  </w:tbl>
  <w:p w14:paraId="17F38372" w14:textId="2A74671F" w:rsidR="226DDDEF" w:rsidRDefault="226DDDEF" w:rsidP="226DD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3B5D8D6"/>
    <w:multiLevelType w:val="hybridMultilevel"/>
    <w:tmpl w:val="A2308130"/>
    <w:lvl w:ilvl="0" w:tplc="AC86FD9C">
      <w:start w:val="1"/>
      <w:numFmt w:val="decimal"/>
      <w:lvlText w:val="%1."/>
      <w:lvlJc w:val="left"/>
      <w:pPr>
        <w:ind w:left="720" w:hanging="360"/>
      </w:pPr>
    </w:lvl>
    <w:lvl w:ilvl="1" w:tplc="FCF28396">
      <w:start w:val="1"/>
      <w:numFmt w:val="lowerLetter"/>
      <w:lvlText w:val="%2."/>
      <w:lvlJc w:val="left"/>
      <w:pPr>
        <w:ind w:left="1440" w:hanging="360"/>
      </w:pPr>
    </w:lvl>
    <w:lvl w:ilvl="2" w:tplc="8BFA5DF2">
      <w:start w:val="1"/>
      <w:numFmt w:val="lowerRoman"/>
      <w:lvlText w:val="%3."/>
      <w:lvlJc w:val="right"/>
      <w:pPr>
        <w:ind w:left="2160" w:hanging="180"/>
      </w:pPr>
    </w:lvl>
    <w:lvl w:ilvl="3" w:tplc="84426BD6">
      <w:start w:val="1"/>
      <w:numFmt w:val="decimal"/>
      <w:lvlText w:val="%4."/>
      <w:lvlJc w:val="left"/>
      <w:pPr>
        <w:ind w:left="2880" w:hanging="360"/>
      </w:pPr>
    </w:lvl>
    <w:lvl w:ilvl="4" w:tplc="4AA86C70">
      <w:start w:val="1"/>
      <w:numFmt w:val="lowerLetter"/>
      <w:lvlText w:val="%5."/>
      <w:lvlJc w:val="left"/>
      <w:pPr>
        <w:ind w:left="3600" w:hanging="360"/>
      </w:pPr>
    </w:lvl>
    <w:lvl w:ilvl="5" w:tplc="9BEAE83A">
      <w:start w:val="1"/>
      <w:numFmt w:val="lowerRoman"/>
      <w:lvlText w:val="%6."/>
      <w:lvlJc w:val="right"/>
      <w:pPr>
        <w:ind w:left="4320" w:hanging="180"/>
      </w:pPr>
    </w:lvl>
    <w:lvl w:ilvl="6" w:tplc="9DC63C94">
      <w:start w:val="1"/>
      <w:numFmt w:val="decimal"/>
      <w:lvlText w:val="%7."/>
      <w:lvlJc w:val="left"/>
      <w:pPr>
        <w:ind w:left="5040" w:hanging="360"/>
      </w:pPr>
    </w:lvl>
    <w:lvl w:ilvl="7" w:tplc="72128724">
      <w:start w:val="1"/>
      <w:numFmt w:val="lowerLetter"/>
      <w:lvlText w:val="%8."/>
      <w:lvlJc w:val="left"/>
      <w:pPr>
        <w:ind w:left="5760" w:hanging="360"/>
      </w:pPr>
    </w:lvl>
    <w:lvl w:ilvl="8" w:tplc="172426C2">
      <w:start w:val="1"/>
      <w:numFmt w:val="lowerRoman"/>
      <w:lvlText w:val="%9."/>
      <w:lvlJc w:val="right"/>
      <w:pPr>
        <w:ind w:left="6480" w:hanging="180"/>
      </w:p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8"/>
  </w:num>
  <w:num w:numId="3">
    <w:abstractNumId w:val="20"/>
  </w:num>
  <w:num w:numId="4">
    <w:abstractNumId w:val="6"/>
  </w:num>
  <w:num w:numId="5">
    <w:abstractNumId w:val="3"/>
  </w:num>
  <w:num w:numId="6">
    <w:abstractNumId w:val="9"/>
  </w:num>
  <w:num w:numId="7">
    <w:abstractNumId w:val="15"/>
  </w:num>
  <w:num w:numId="8">
    <w:abstractNumId w:val="21"/>
  </w:num>
  <w:num w:numId="9">
    <w:abstractNumId w:val="14"/>
  </w:num>
  <w:num w:numId="10">
    <w:abstractNumId w:val="5"/>
  </w:num>
  <w:num w:numId="11">
    <w:abstractNumId w:val="8"/>
  </w:num>
  <w:num w:numId="12">
    <w:abstractNumId w:val="7"/>
  </w:num>
  <w:num w:numId="13">
    <w:abstractNumId w:val="4"/>
  </w:num>
  <w:num w:numId="14">
    <w:abstractNumId w:val="12"/>
  </w:num>
  <w:num w:numId="15">
    <w:abstractNumId w:val="0"/>
  </w:num>
  <w:num w:numId="16">
    <w:abstractNumId w:val="2"/>
  </w:num>
  <w:num w:numId="17">
    <w:abstractNumId w:val="13"/>
  </w:num>
  <w:num w:numId="18">
    <w:abstractNumId w:val="11"/>
  </w:num>
  <w:num w:numId="19">
    <w:abstractNumId w:val="19"/>
  </w:num>
  <w:num w:numId="20">
    <w:abstractNumId w:val="16"/>
  </w:num>
  <w:num w:numId="21">
    <w:abstractNumId w:val="22"/>
  </w:num>
  <w:num w:numId="22">
    <w:abstractNumId w:val="17"/>
  </w:num>
  <w:num w:numId="2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622C"/>
    <w:rsid w:val="00146B32"/>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34AB1"/>
    <w:rsid w:val="00241B44"/>
    <w:rsid w:val="00245EFB"/>
    <w:rsid w:val="002621EC"/>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36D6"/>
    <w:rsid w:val="003C3E20"/>
    <w:rsid w:val="003C4471"/>
    <w:rsid w:val="003D0A6D"/>
    <w:rsid w:val="003D2DA8"/>
    <w:rsid w:val="003E0B16"/>
    <w:rsid w:val="003E67D1"/>
    <w:rsid w:val="003F5758"/>
    <w:rsid w:val="00405DC1"/>
    <w:rsid w:val="004062F4"/>
    <w:rsid w:val="00411B48"/>
    <w:rsid w:val="004151A7"/>
    <w:rsid w:val="00415F1F"/>
    <w:rsid w:val="0042108F"/>
    <w:rsid w:val="00430FED"/>
    <w:rsid w:val="0043427C"/>
    <w:rsid w:val="00434A8C"/>
    <w:rsid w:val="00444284"/>
    <w:rsid w:val="00445CE6"/>
    <w:rsid w:val="004534C2"/>
    <w:rsid w:val="0045683E"/>
    <w:rsid w:val="00491675"/>
    <w:rsid w:val="00493855"/>
    <w:rsid w:val="004963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1A5D"/>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3459E"/>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27D56"/>
    <w:rsid w:val="0087133C"/>
    <w:rsid w:val="008723F3"/>
    <w:rsid w:val="008743FC"/>
    <w:rsid w:val="00875FCA"/>
    <w:rsid w:val="00881DE6"/>
    <w:rsid w:val="008837A6"/>
    <w:rsid w:val="0089145D"/>
    <w:rsid w:val="00896704"/>
    <w:rsid w:val="008A6CFE"/>
    <w:rsid w:val="008B5333"/>
    <w:rsid w:val="008B6223"/>
    <w:rsid w:val="008C66E0"/>
    <w:rsid w:val="008E3339"/>
    <w:rsid w:val="008F20FC"/>
    <w:rsid w:val="008F6301"/>
    <w:rsid w:val="00905A43"/>
    <w:rsid w:val="00912C79"/>
    <w:rsid w:val="009140A5"/>
    <w:rsid w:val="00942123"/>
    <w:rsid w:val="0095207B"/>
    <w:rsid w:val="00955AF1"/>
    <w:rsid w:val="00962045"/>
    <w:rsid w:val="009634F4"/>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13807"/>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14819"/>
    <w:rsid w:val="00B17AA9"/>
    <w:rsid w:val="00B72AE1"/>
    <w:rsid w:val="00B736DF"/>
    <w:rsid w:val="00B74FBD"/>
    <w:rsid w:val="00B82586"/>
    <w:rsid w:val="00B86DB1"/>
    <w:rsid w:val="00B87869"/>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178A"/>
    <w:rsid w:val="00CD4998"/>
    <w:rsid w:val="00CE1035"/>
    <w:rsid w:val="00CF2819"/>
    <w:rsid w:val="00CF4F9D"/>
    <w:rsid w:val="00CF70DC"/>
    <w:rsid w:val="00D104E4"/>
    <w:rsid w:val="00D148DC"/>
    <w:rsid w:val="00D17FDC"/>
    <w:rsid w:val="00D323DB"/>
    <w:rsid w:val="00D437D9"/>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576DC"/>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 w:val="226DDDEF"/>
    <w:rsid w:val="756C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supremecourt.gov.sg/news/media-releases/judges-of-the-worldwide-judicial-insolvency-network-to-meet-in-new-york-city-this-september" TargetMode="External"/><Relationship Id="rId2" Type="http://schemas.openxmlformats.org/officeDocument/2006/relationships/hyperlink" Target="https://www.bakermckenzie.com/en//-/media/images/insight/publications/2020/02/the_new_insolvency_regime_in_the_uae.pdf" TargetMode="External"/><Relationship Id="rId1" Type="http://schemas.openxmlformats.org/officeDocument/2006/relationships/hyperlink" Target="https://onlinelibrary.wiley.com/doi/pdf/10.1002/iir.3940020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EFD5F-77AD-464C-9AED-FCBEC7AB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3815</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Staff</cp:lastModifiedBy>
  <cp:revision>3</cp:revision>
  <cp:lastPrinted>2019-09-04T15:45:00Z</cp:lastPrinted>
  <dcterms:created xsi:type="dcterms:W3CDTF">2022-10-04T16:56:00Z</dcterms:created>
  <dcterms:modified xsi:type="dcterms:W3CDTF">2022-10-05T16:38:00Z</dcterms:modified>
</cp:coreProperties>
</file>