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F736C" w:rsidRDefault="00B736DF" w:rsidP="009E1027">
      <w:pPr>
        <w:pStyle w:val="ListParagraph"/>
        <w:numPr>
          <w:ilvl w:val="0"/>
          <w:numId w:val="12"/>
        </w:numPr>
        <w:ind w:left="426"/>
        <w:jc w:val="both"/>
        <w:rPr>
          <w:rFonts w:ascii="Avenir Next" w:hAnsi="Avenir Next" w:cs="Arial"/>
          <w:sz w:val="22"/>
          <w:szCs w:val="22"/>
          <w:highlight w:val="yellow"/>
          <w:lang w:val="en-GB"/>
        </w:rPr>
      </w:pPr>
      <w:r w:rsidRPr="008F736C">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F736C" w:rsidRDefault="00161F1B" w:rsidP="009E1027">
      <w:pPr>
        <w:pStyle w:val="ListParagraph"/>
        <w:numPr>
          <w:ilvl w:val="0"/>
          <w:numId w:val="13"/>
        </w:numPr>
        <w:ind w:left="426"/>
        <w:jc w:val="both"/>
        <w:rPr>
          <w:rFonts w:ascii="Avenir Next" w:hAnsi="Avenir Next" w:cs="Arial"/>
          <w:sz w:val="22"/>
          <w:szCs w:val="22"/>
          <w:highlight w:val="yellow"/>
          <w:lang w:val="en-GB"/>
        </w:rPr>
      </w:pPr>
      <w:r w:rsidRPr="008F736C">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0C6447" w:rsidRDefault="009E2E27" w:rsidP="008031A7">
      <w:pPr>
        <w:pStyle w:val="ListParagraph"/>
        <w:numPr>
          <w:ilvl w:val="0"/>
          <w:numId w:val="14"/>
        </w:numPr>
        <w:ind w:left="426"/>
        <w:jc w:val="both"/>
        <w:rPr>
          <w:rFonts w:ascii="Avenir Next" w:hAnsi="Avenir Next" w:cs="Arial"/>
          <w:sz w:val="22"/>
          <w:szCs w:val="22"/>
          <w:highlight w:val="yellow"/>
          <w:lang w:val="en-GB"/>
        </w:rPr>
      </w:pPr>
      <w:r w:rsidRPr="000C6447">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0C6447" w:rsidRDefault="009E2E27" w:rsidP="008031A7">
      <w:pPr>
        <w:pStyle w:val="ListParagraph"/>
        <w:numPr>
          <w:ilvl w:val="0"/>
          <w:numId w:val="15"/>
        </w:numPr>
        <w:ind w:left="426"/>
        <w:jc w:val="both"/>
        <w:rPr>
          <w:rFonts w:ascii="Avenir Next" w:hAnsi="Avenir Next" w:cs="Arial"/>
          <w:sz w:val="22"/>
          <w:szCs w:val="22"/>
          <w:highlight w:val="yellow"/>
          <w:lang w:val="en-GB"/>
        </w:rPr>
      </w:pPr>
      <w:r w:rsidRPr="000C6447">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0C6447" w:rsidRDefault="00A235B7" w:rsidP="006D01C2">
      <w:pPr>
        <w:pStyle w:val="ListParagraph"/>
        <w:numPr>
          <w:ilvl w:val="0"/>
          <w:numId w:val="16"/>
        </w:numPr>
        <w:ind w:left="426"/>
        <w:jc w:val="both"/>
        <w:rPr>
          <w:rFonts w:ascii="Avenir Next" w:hAnsi="Avenir Next" w:cs="Arial"/>
          <w:sz w:val="22"/>
          <w:szCs w:val="22"/>
          <w:highlight w:val="yellow"/>
          <w:lang w:val="en-GB"/>
        </w:rPr>
      </w:pPr>
      <w:r w:rsidRPr="000C6447">
        <w:rPr>
          <w:rFonts w:ascii="Avenir Next" w:hAnsi="Avenir Next" w:cs="Arial"/>
          <w:sz w:val="22"/>
          <w:szCs w:val="22"/>
          <w:highlight w:val="yellow"/>
          <w:lang w:val="en-GB"/>
        </w:rPr>
        <w:t>The statement</w:t>
      </w:r>
      <w:r w:rsidR="0037465A" w:rsidRPr="000C6447">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6E31D4"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6E31D4">
        <w:rPr>
          <w:rFonts w:ascii="Avenir Next" w:eastAsiaTheme="minorHAnsi" w:hAnsi="Avenir Next" w:cs="Arial"/>
          <w:sz w:val="22"/>
          <w:szCs w:val="22"/>
          <w:highlight w:val="yellow"/>
          <w:lang w:val="en-GB"/>
        </w:rPr>
        <w:t>Private International Law</w:t>
      </w:r>
      <w:r w:rsidR="00991428" w:rsidRPr="006E31D4">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6E31D4"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6E31D4">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6E31D4">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6E31D4">
        <w:rPr>
          <w:rFonts w:ascii="Avenir Next" w:hAnsi="Avenir Next" w:cs="Arial"/>
          <w:sz w:val="22"/>
          <w:szCs w:val="22"/>
          <w:highlight w:val="yellow"/>
          <w:lang w:val="en-GB"/>
        </w:rPr>
        <w:t>Havana Convention on Private International Law (1928)</w:t>
      </w:r>
      <w:r w:rsidRPr="006E31D4">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956BDA" w:rsidRDefault="0082483F" w:rsidP="006D01C2">
      <w:pPr>
        <w:pStyle w:val="ListParagraph"/>
        <w:numPr>
          <w:ilvl w:val="0"/>
          <w:numId w:val="20"/>
        </w:numPr>
        <w:ind w:left="426"/>
        <w:jc w:val="both"/>
        <w:rPr>
          <w:rFonts w:ascii="Avenir Next" w:hAnsi="Avenir Next" w:cs="Arial"/>
          <w:sz w:val="22"/>
          <w:szCs w:val="22"/>
          <w:highlight w:val="yellow"/>
          <w:lang w:val="en-GB"/>
        </w:rPr>
      </w:pPr>
      <w:r w:rsidRPr="00956BDA">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C91E20"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C91E20">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DD3BB1"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DD3BB1">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5F544CC1" w:rsidR="009B07AD" w:rsidRPr="00E62289" w:rsidRDefault="00E62289" w:rsidP="00E62289">
      <w:pPr>
        <w:rPr>
          <w:lang w:val="en-GB"/>
        </w:rPr>
      </w:pPr>
      <w:proofErr w:type="gramStart"/>
      <w:r w:rsidRPr="00E62289">
        <w:rPr>
          <w:lang w:val="en-GB"/>
        </w:rPr>
        <w:t>There are no single insolvency rules or law that apply globally.</w:t>
      </w:r>
      <w:proofErr w:type="gramEnd"/>
      <w:r w:rsidRPr="00E62289">
        <w:rPr>
          <w:lang w:val="en-GB"/>
        </w:rPr>
        <w:t xml:space="preserve"> Each state that has a developed legal system will have some form of bankruptcy or insolvency system, with their own unique laws, rules and procedures. </w:t>
      </w:r>
      <w:r>
        <w:rPr>
          <w:lang w:val="en-GB"/>
        </w:rPr>
        <w:t xml:space="preserve"> International insolvency law concerns the situation where an insolvency situation arises that </w:t>
      </w:r>
      <w:proofErr w:type="gramStart"/>
      <w:r>
        <w:rPr>
          <w:lang w:val="en-GB"/>
        </w:rPr>
        <w:t>cannot be dealt with</w:t>
      </w:r>
      <w:proofErr w:type="gramEnd"/>
      <w:r>
        <w:rPr>
          <w:lang w:val="en-GB"/>
        </w:rPr>
        <w:t xml:space="preserve"> exclusively by one nation's insolvency laws, and concerns those foreign aspects or interactions between different nation states.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44638979" w14:textId="40375F12" w:rsidR="003D6996" w:rsidRDefault="00FF56F7" w:rsidP="00FF56F7">
      <w:pPr>
        <w:rPr>
          <w:lang w:val="en-GB"/>
        </w:rPr>
      </w:pPr>
      <w:r>
        <w:rPr>
          <w:lang w:val="en-GB"/>
        </w:rPr>
        <w:t xml:space="preserve">Universalism, or universality, denotes there being only one insolvency proceeding to cover all of a debtor's assets and debts worldwide. This encompasses there being only one legal proceeding commenced in a forum having exclusive jurisdiction over dealing with the debtor's assets and debts – such location could be the centre of the debtor's main interest. The aim is to have all of a debtor's assets the subject of the insolvency proceeding, with officeholders having the ability to control and obtain all the assets; equally, all </w:t>
      </w:r>
      <w:r w:rsidR="003D6996">
        <w:rPr>
          <w:lang w:val="en-GB"/>
        </w:rPr>
        <w:t xml:space="preserve">worldwide </w:t>
      </w:r>
      <w:r>
        <w:rPr>
          <w:lang w:val="en-GB"/>
        </w:rPr>
        <w:t>creditors should be able to participate in the proceeding</w:t>
      </w:r>
      <w:r w:rsidR="003D6996">
        <w:rPr>
          <w:lang w:val="en-GB"/>
        </w:rPr>
        <w:t xml:space="preserve">.  </w:t>
      </w:r>
    </w:p>
    <w:p w14:paraId="274700C5" w14:textId="1AA4CFDC" w:rsidR="003D6996" w:rsidRDefault="003D6996" w:rsidP="00FF56F7">
      <w:pPr>
        <w:rPr>
          <w:lang w:val="en-GB"/>
        </w:rPr>
      </w:pPr>
    </w:p>
    <w:p w14:paraId="3FC6F8C6" w14:textId="0F971BE0" w:rsidR="003D6996" w:rsidRPr="00827D56" w:rsidRDefault="003D6996" w:rsidP="00FF56F7">
      <w:pPr>
        <w:rPr>
          <w:lang w:val="en-GB"/>
        </w:rPr>
      </w:pPr>
      <w:r>
        <w:rPr>
          <w:lang w:val="en-GB"/>
        </w:rPr>
        <w:t xml:space="preserve">Conversely, territorialism, or territoriality, denotes there being insolvency proceedings being commenced in every state or jurisdiction in which a debtor has assets, and each such proceeding should be territorially restricted to property within the state in which proceedings are instituted. Equally, creditors must also be in </w:t>
      </w:r>
      <w:r>
        <w:rPr>
          <w:lang w:val="en-GB"/>
        </w:rPr>
        <w:lastRenderedPageBreak/>
        <w:t>the same jurisdiction to participate in the proceeding and make claims, and officeholders would have a nationally restricted mandate. Under the territoriality concept, it envisages multiple insolvency proceedings in different jurisdictions running at the same time in relation to the same debtor.</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21F2EE5C" w14:textId="77777777" w:rsidR="009447D9" w:rsidRDefault="009447D9" w:rsidP="009447D9">
      <w:pPr>
        <w:rPr>
          <w:lang w:val="en-GB"/>
        </w:rPr>
      </w:pPr>
      <w:r w:rsidRPr="009447D9">
        <w:rPr>
          <w:lang w:val="en-GB"/>
        </w:rPr>
        <w:t>In 2016 and 2019, the UAE reform</w:t>
      </w:r>
      <w:r>
        <w:rPr>
          <w:lang w:val="en-GB"/>
        </w:rPr>
        <w:t>ed its domestic insolvency laws.</w:t>
      </w:r>
      <w:r w:rsidRPr="009447D9">
        <w:rPr>
          <w:lang w:val="en-GB"/>
        </w:rPr>
        <w:t xml:space="preserve"> </w:t>
      </w:r>
    </w:p>
    <w:p w14:paraId="3C808C97" w14:textId="77777777" w:rsidR="00FD1C72" w:rsidRDefault="00FD1C72" w:rsidP="009447D9">
      <w:pPr>
        <w:rPr>
          <w:lang w:val="en-GB"/>
        </w:rPr>
      </w:pPr>
    </w:p>
    <w:p w14:paraId="78DB9FD8" w14:textId="53D6208B" w:rsidR="00C72848" w:rsidRPr="009447D9" w:rsidRDefault="009447D9" w:rsidP="009447D9">
      <w:pPr>
        <w:rPr>
          <w:lang w:val="en-GB"/>
        </w:rPr>
      </w:pPr>
      <w:r w:rsidRPr="009447D9">
        <w:rPr>
          <w:lang w:val="en-GB"/>
        </w:rPr>
        <w:t xml:space="preserve">Saudi Arabia </w:t>
      </w:r>
      <w:r w:rsidR="00FD1C72">
        <w:rPr>
          <w:lang w:val="en-GB"/>
        </w:rPr>
        <w:t xml:space="preserve">and </w:t>
      </w:r>
      <w:r w:rsidRPr="009447D9">
        <w:rPr>
          <w:lang w:val="en-GB"/>
        </w:rPr>
        <w:t xml:space="preserve">Dubai </w:t>
      </w:r>
      <w:r w:rsidR="00FD1C72">
        <w:rPr>
          <w:lang w:val="en-GB"/>
        </w:rPr>
        <w:t xml:space="preserve">reformed their domestic insolvency laws in </w:t>
      </w:r>
      <w:r w:rsidR="00FD1C72" w:rsidRPr="009447D9">
        <w:rPr>
          <w:lang w:val="en-GB"/>
        </w:rPr>
        <w:t>2018</w:t>
      </w:r>
      <w:r w:rsidR="00FD1C72">
        <w:rPr>
          <w:lang w:val="en-GB"/>
        </w:rPr>
        <w:t xml:space="preserve"> and </w:t>
      </w:r>
      <w:r w:rsidRPr="009447D9">
        <w:rPr>
          <w:lang w:val="en-GB"/>
        </w:rPr>
        <w:t>2019</w:t>
      </w:r>
      <w:r w:rsidR="00FD1C72">
        <w:rPr>
          <w:lang w:val="en-GB"/>
        </w:rPr>
        <w:t>, respectively</w:t>
      </w:r>
      <w:r w:rsidRPr="009447D9">
        <w:rPr>
          <w:lang w:val="en-GB"/>
        </w:rPr>
        <w:t xml:space="preserve">. </w:t>
      </w:r>
    </w:p>
    <w:p w14:paraId="3FB7C56D" w14:textId="0BAAF0C7" w:rsidR="009447D9" w:rsidRPr="009447D9" w:rsidRDefault="009447D9" w:rsidP="009447D9">
      <w:pPr>
        <w:rPr>
          <w:lang w:val="en-GB"/>
        </w:rPr>
      </w:pPr>
    </w:p>
    <w:p w14:paraId="2B16ADBE" w14:textId="1EFDB736" w:rsidR="00FD1C72" w:rsidRDefault="009447D9" w:rsidP="009447D9">
      <w:pPr>
        <w:rPr>
          <w:lang w:val="en-GB"/>
        </w:rPr>
      </w:pPr>
      <w:r w:rsidRPr="009447D9">
        <w:rPr>
          <w:lang w:val="en-GB"/>
        </w:rPr>
        <w:t>Bahrain adopted the Mo</w:t>
      </w:r>
      <w:r w:rsidR="00FD1C72">
        <w:rPr>
          <w:lang w:val="en-GB"/>
        </w:rPr>
        <w:t>d</w:t>
      </w:r>
      <w:r w:rsidRPr="009447D9">
        <w:rPr>
          <w:lang w:val="en-GB"/>
        </w:rPr>
        <w:t xml:space="preserve">el Law on Cross-Border Insolvency in 2018. </w:t>
      </w:r>
    </w:p>
    <w:p w14:paraId="10A6545A" w14:textId="77777777" w:rsidR="00FD1C72" w:rsidRDefault="00FD1C72" w:rsidP="009447D9">
      <w:pPr>
        <w:rPr>
          <w:lang w:val="en-GB"/>
        </w:rPr>
      </w:pPr>
    </w:p>
    <w:p w14:paraId="37E3C042" w14:textId="045FD436" w:rsidR="009447D9" w:rsidRDefault="009447D9" w:rsidP="009447D9">
      <w:pPr>
        <w:rPr>
          <w:lang w:val="en-GB"/>
        </w:rPr>
      </w:pPr>
      <w:r w:rsidRPr="009447D9">
        <w:rPr>
          <w:lang w:val="en-GB"/>
        </w:rPr>
        <w:t xml:space="preserve">The Dubai International Financial Centre </w:t>
      </w:r>
      <w:r w:rsidR="00FD1C72">
        <w:rPr>
          <w:lang w:val="en-GB"/>
        </w:rPr>
        <w:t xml:space="preserve">also adopted the </w:t>
      </w:r>
      <w:r w:rsidR="00FD1C72" w:rsidRPr="009447D9">
        <w:rPr>
          <w:lang w:val="en-GB"/>
        </w:rPr>
        <w:t>Mo</w:t>
      </w:r>
      <w:r w:rsidR="00FD1C72">
        <w:rPr>
          <w:lang w:val="en-GB"/>
        </w:rPr>
        <w:t>d</w:t>
      </w:r>
      <w:r w:rsidR="00FD1C72" w:rsidRPr="009447D9">
        <w:rPr>
          <w:lang w:val="en-GB"/>
        </w:rPr>
        <w:t xml:space="preserve">el Law on Cross-Border Insolvency </w:t>
      </w:r>
      <w:r w:rsidRPr="009447D9">
        <w:rPr>
          <w:lang w:val="en-GB"/>
        </w:rPr>
        <w:t>in 2019.</w:t>
      </w:r>
    </w:p>
    <w:p w14:paraId="6C723287" w14:textId="671CC065" w:rsidR="009447D9" w:rsidRDefault="009447D9" w:rsidP="009447D9">
      <w:pPr>
        <w:rPr>
          <w:lang w:val="en-GB"/>
        </w:rPr>
      </w:pPr>
    </w:p>
    <w:p w14:paraId="550DD182" w14:textId="77777777" w:rsidR="009447D9" w:rsidRPr="009447D9" w:rsidRDefault="009447D9" w:rsidP="009447D9">
      <w:pPr>
        <w:rPr>
          <w:lang w:val="en-GB"/>
        </w:rPr>
      </w:pPr>
    </w:p>
    <w:p w14:paraId="6674995E" w14:textId="048DFCEA" w:rsidR="009447D9" w:rsidRDefault="009447D9" w:rsidP="00C053F7">
      <w:pPr>
        <w:ind w:left="720" w:hanging="720"/>
        <w:jc w:val="both"/>
        <w:rPr>
          <w:rFonts w:ascii="Avenir Next" w:hAnsi="Avenir Next" w:cs="Arial"/>
          <w:color w:val="7B7B7B" w:themeColor="accent3" w:themeShade="BF"/>
          <w:sz w:val="22"/>
          <w:szCs w:val="22"/>
          <w:lang w:val="en-GB"/>
        </w:rPr>
      </w:pPr>
    </w:p>
    <w:p w14:paraId="562C5C3F" w14:textId="77777777" w:rsidR="009447D9" w:rsidRPr="00827D56" w:rsidRDefault="009447D9" w:rsidP="00C053F7">
      <w:pPr>
        <w:ind w:left="720" w:hanging="720"/>
        <w:jc w:val="both"/>
        <w:rPr>
          <w:rFonts w:ascii="Avenir Next" w:hAnsi="Avenir Next" w:cs="Arial"/>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6583E00A" w14:textId="2EB66221" w:rsidR="00263551" w:rsidRDefault="00837FC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Whilst there are objectives of insolvency common to individuals and corporations, the objectives of the two participants </w:t>
      </w:r>
      <w:r w:rsidR="004971F5">
        <w:rPr>
          <w:rFonts w:ascii="Avenir Next" w:hAnsi="Avenir Next" w:cs="Arial"/>
          <w:color w:val="7B7B7B" w:themeColor="accent3" w:themeShade="BF"/>
          <w:sz w:val="22"/>
          <w:szCs w:val="22"/>
          <w:lang w:val="en-GB"/>
        </w:rPr>
        <w:t>do</w:t>
      </w:r>
      <w:r>
        <w:rPr>
          <w:rFonts w:ascii="Avenir Next" w:hAnsi="Avenir Next" w:cs="Arial"/>
          <w:color w:val="7B7B7B" w:themeColor="accent3" w:themeShade="BF"/>
          <w:sz w:val="22"/>
          <w:szCs w:val="22"/>
          <w:lang w:val="en-GB"/>
        </w:rPr>
        <w:t xml:space="preserve"> differ. For example, the primary goal for corporations is to maintain the business as a going concern, or the viable parts of the business should the business itself fail. Where a person's authority </w:t>
      </w:r>
      <w:proofErr w:type="gramStart"/>
      <w:r>
        <w:rPr>
          <w:rFonts w:ascii="Avenir Next" w:hAnsi="Avenir Next" w:cs="Arial"/>
          <w:color w:val="7B7B7B" w:themeColor="accent3" w:themeShade="BF"/>
          <w:sz w:val="22"/>
          <w:szCs w:val="22"/>
          <w:lang w:val="en-GB"/>
        </w:rPr>
        <w:t>has been exceeded</w:t>
      </w:r>
      <w:proofErr w:type="gramEnd"/>
      <w:r>
        <w:rPr>
          <w:rFonts w:ascii="Avenir Next" w:hAnsi="Avenir Next" w:cs="Arial"/>
          <w:color w:val="7B7B7B" w:themeColor="accent3" w:themeShade="BF"/>
          <w:sz w:val="22"/>
          <w:szCs w:val="22"/>
          <w:lang w:val="en-GB"/>
        </w:rPr>
        <w:t xml:space="preserve"> or personal liability is abused, another objective is the imposition of liability on persons responsible.</w:t>
      </w:r>
      <w:r w:rsidR="00E965D2">
        <w:rPr>
          <w:rFonts w:ascii="Avenir Next" w:hAnsi="Avenir Next" w:cs="Arial"/>
          <w:color w:val="7B7B7B" w:themeColor="accent3" w:themeShade="BF"/>
          <w:sz w:val="22"/>
          <w:szCs w:val="22"/>
          <w:lang w:val="en-GB"/>
        </w:rPr>
        <w:t xml:space="preserve"> Contrast this with the objectives of individuals in insolvencies, which include to personally protect the debtor from harassment by creditors, to attain a clean slate or fresh start,</w:t>
      </w:r>
      <w:r w:rsidR="004971F5">
        <w:rPr>
          <w:rFonts w:ascii="Avenir Next" w:hAnsi="Avenir Next" w:cs="Arial"/>
          <w:color w:val="7B7B7B" w:themeColor="accent3" w:themeShade="BF"/>
          <w:sz w:val="22"/>
          <w:szCs w:val="22"/>
          <w:lang w:val="en-GB"/>
        </w:rPr>
        <w:t xml:space="preserve"> and</w:t>
      </w:r>
      <w:r w:rsidR="00E965D2">
        <w:rPr>
          <w:rFonts w:ascii="Avenir Next" w:hAnsi="Avenir Next" w:cs="Arial"/>
          <w:color w:val="7B7B7B" w:themeColor="accent3" w:themeShade="BF"/>
          <w:sz w:val="22"/>
          <w:szCs w:val="22"/>
          <w:lang w:val="en-GB"/>
        </w:rPr>
        <w:t xml:space="preserve"> to reduce overall indebtedness</w:t>
      </w:r>
      <w:r w:rsidR="004971F5">
        <w:rPr>
          <w:rFonts w:ascii="Avenir Next" w:hAnsi="Avenir Next" w:cs="Arial"/>
          <w:color w:val="7B7B7B" w:themeColor="accent3" w:themeShade="BF"/>
          <w:sz w:val="22"/>
          <w:szCs w:val="22"/>
          <w:lang w:val="en-GB"/>
        </w:rPr>
        <w:t>. The objectives common to individuals and corporations include, to ensure proportionate distribution to the extent possible, save for preferred creditors, to understand reasons for the insolvency, to reclaim any voidable dispositions and ensure that secured creditors deal fairly with the debtor and other creditors.</w:t>
      </w:r>
    </w:p>
    <w:p w14:paraId="29DC6764" w14:textId="77777777" w:rsidR="00263551" w:rsidRDefault="00263551" w:rsidP="00C053F7">
      <w:pPr>
        <w:jc w:val="both"/>
        <w:rPr>
          <w:rFonts w:ascii="Avenir Next" w:hAnsi="Avenir Next" w:cs="Arial"/>
          <w:color w:val="7B7B7B" w:themeColor="accent3" w:themeShade="BF"/>
          <w:sz w:val="22"/>
          <w:szCs w:val="22"/>
          <w:lang w:val="en-GB"/>
        </w:rPr>
      </w:pP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B697624" w:rsidR="00DF75F8" w:rsidRPr="00827D56" w:rsidRDefault="007D0AEC"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Various issues </w:t>
      </w:r>
      <w:proofErr w:type="gramStart"/>
      <w:r>
        <w:rPr>
          <w:rFonts w:ascii="Avenir Next" w:hAnsi="Avenir Next" w:cs="Arial"/>
          <w:color w:val="7B7B7B" w:themeColor="accent3" w:themeShade="BF"/>
          <w:sz w:val="22"/>
          <w:szCs w:val="22"/>
          <w:lang w:val="en-GB"/>
        </w:rPr>
        <w:t>may be encountered</w:t>
      </w:r>
      <w:proofErr w:type="gramEnd"/>
      <w:r>
        <w:rPr>
          <w:rFonts w:ascii="Avenir Next" w:hAnsi="Avenir Next" w:cs="Arial"/>
          <w:color w:val="7B7B7B" w:themeColor="accent3" w:themeShade="BF"/>
          <w:sz w:val="22"/>
          <w:szCs w:val="22"/>
          <w:lang w:val="en-GB"/>
        </w:rPr>
        <w:t xml:space="preserve"> when dealing with insolvency law in a cross-border context, including from a very fundamental issue like language. Some jurisdictions will refer to insolvency and some will refer to bankruptcy. Defining what is and is not an insolvency or an insolvency event or insolvent company or estate, is crucial to a functioning insolvency regime. It is, however, difficult to define these terms and concepts at an international level – this being because there is no single insolvency law having global effect. From an operational perspective, debtors may face creditor claims arising in more than one jurisdiction, inevitably giving rise to conflict of laws issues. Such conflict can be made all the more difficult due to the presence of qualifications in certain jurisdictions, including for set-off, netting off, retention of title or other means of preserving title for creditors in national laws.  When faced with a potential insolvency situation that crosses national borders, one is faced with various questions including: in what jurisdiction may or should the insolvency be commenced, which countries laws shall apply in respect of differing aspects of the case, </w:t>
      </w:r>
      <w:r w:rsidR="005F0FCF">
        <w:rPr>
          <w:rFonts w:ascii="Avenir Next" w:hAnsi="Avenir Next" w:cs="Arial"/>
          <w:color w:val="7B7B7B" w:themeColor="accent3" w:themeShade="BF"/>
          <w:sz w:val="22"/>
          <w:szCs w:val="22"/>
          <w:lang w:val="en-GB"/>
        </w:rPr>
        <w:t xml:space="preserve">how will judgments or interests be enforced and/or recognised across jurisdictions.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3685855D" w14:textId="1A0A2ED8" w:rsidR="00700E5A" w:rsidRDefault="00700E5A" w:rsidP="00700E5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Various multilateral steps </w:t>
      </w:r>
      <w:proofErr w:type="gramStart"/>
      <w:r>
        <w:rPr>
          <w:rFonts w:ascii="Avenir Next" w:hAnsi="Avenir Next" w:cs="Arial"/>
          <w:color w:val="7B7B7B" w:themeColor="accent3" w:themeShade="BF"/>
          <w:sz w:val="22"/>
          <w:szCs w:val="22"/>
          <w:lang w:val="en-GB"/>
        </w:rPr>
        <w:t>have been taken</w:t>
      </w:r>
      <w:proofErr w:type="gramEnd"/>
      <w:r>
        <w:rPr>
          <w:rFonts w:ascii="Avenir Next" w:hAnsi="Avenir Next" w:cs="Arial"/>
          <w:color w:val="7B7B7B" w:themeColor="accent3" w:themeShade="BF"/>
          <w:sz w:val="22"/>
          <w:szCs w:val="22"/>
          <w:lang w:val="en-GB"/>
        </w:rPr>
        <w:t xml:space="preserve"> in the 21</w:t>
      </w:r>
      <w:r w:rsidRPr="00700E5A">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to promote harmonisation of domestic insolvency laws. Such efforts have had mixed success. One such step is where states have ratified or acceded to treaties or conventions importing into their domestic laws international principles to resolve insolvency issues that have a connection with another state. An example of an insolvency convention was the Convention on Certain International Aspects of Bankruptcy (the Istanbul Convention, Counsel of Europe Treaty Series No 136) – this convention was signed by </w:t>
      </w:r>
      <w:proofErr w:type="gramStart"/>
      <w:r>
        <w:rPr>
          <w:rFonts w:ascii="Avenir Next" w:hAnsi="Avenir Next" w:cs="Arial"/>
          <w:color w:val="7B7B7B" w:themeColor="accent3" w:themeShade="BF"/>
          <w:sz w:val="22"/>
          <w:szCs w:val="22"/>
          <w:lang w:val="en-GB"/>
        </w:rPr>
        <w:t>8</w:t>
      </w:r>
      <w:proofErr w:type="gramEnd"/>
      <w:r>
        <w:rPr>
          <w:rFonts w:ascii="Avenir Next" w:hAnsi="Avenir Next" w:cs="Arial"/>
          <w:color w:val="7B7B7B" w:themeColor="accent3" w:themeShade="BF"/>
          <w:sz w:val="22"/>
          <w:szCs w:val="22"/>
          <w:lang w:val="en-GB"/>
        </w:rPr>
        <w:t xml:space="preserve"> members </w:t>
      </w:r>
      <w:r>
        <w:rPr>
          <w:rFonts w:ascii="Avenir Next" w:hAnsi="Avenir Next" w:cs="Arial"/>
          <w:color w:val="7B7B7B" w:themeColor="accent3" w:themeShade="BF"/>
          <w:sz w:val="22"/>
          <w:szCs w:val="22"/>
          <w:lang w:val="en-GB"/>
        </w:rPr>
        <w:lastRenderedPageBreak/>
        <w:t xml:space="preserve">states, but was not ratified by a sufficient number of members for it to come into force. Whilst seemingly unsuccessful in promoting harmonisation of domestic insolvency laws (at least so far as Europe is concerned), this convention had an important influence on the development of the European Union, and arguably, was instrumental in developing the European Union's response to international insolvency issues amongst member states. For example, the European Insolvency Regulation (2000), and subsequent amendments (effective for most member states), </w:t>
      </w:r>
      <w:r w:rsidR="00012E59">
        <w:rPr>
          <w:rFonts w:ascii="Avenir Next" w:hAnsi="Avenir Next" w:cs="Arial"/>
          <w:color w:val="7B7B7B" w:themeColor="accent3" w:themeShade="BF"/>
          <w:sz w:val="22"/>
          <w:szCs w:val="22"/>
          <w:lang w:val="en-GB"/>
        </w:rPr>
        <w:t>which are excellent examples of the harmonisation of international insolvencies across Europe, have their precursor in the European Union's earlier attempts to implement Treaty Series No 136 described above. On this basis, I would argue that international conventions have been effective at laying the groundwork to enable effective harmonisation of international insolvency issues.</w:t>
      </w:r>
    </w:p>
    <w:p w14:paraId="767B6A5E" w14:textId="134F08BF" w:rsidR="00012E59" w:rsidRDefault="00012E59" w:rsidP="00700E5A">
      <w:pPr>
        <w:jc w:val="both"/>
        <w:rPr>
          <w:rFonts w:ascii="Avenir Next" w:hAnsi="Avenir Next" w:cs="Arial"/>
          <w:color w:val="7B7B7B" w:themeColor="accent3" w:themeShade="BF"/>
          <w:sz w:val="22"/>
          <w:szCs w:val="22"/>
          <w:lang w:val="en-GB"/>
        </w:rPr>
      </w:pPr>
    </w:p>
    <w:p w14:paraId="2DAB71CF" w14:textId="68E9C7B8" w:rsidR="00596987" w:rsidRDefault="00012E59" w:rsidP="00700E5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Domestic law has also developed to accommodate aspects of insolvencies with international dimensions. Courts have increasingly dealt with international parts of insolvencies, developing precedents as international insolvencies have grown over time. Domestic legislation has also developed over time by amendment to specifically govern international issues, such as re</w:t>
      </w:r>
      <w:r w:rsidR="00596987">
        <w:rPr>
          <w:rFonts w:ascii="Avenir Next" w:hAnsi="Avenir Next" w:cs="Arial"/>
          <w:color w:val="7B7B7B" w:themeColor="accent3" w:themeShade="BF"/>
          <w:sz w:val="22"/>
          <w:szCs w:val="22"/>
          <w:lang w:val="en-GB"/>
        </w:rPr>
        <w:t>cognition</w:t>
      </w:r>
      <w:r w:rsidR="008672C0">
        <w:rPr>
          <w:rFonts w:ascii="Avenir Next" w:hAnsi="Avenir Next" w:cs="Arial"/>
          <w:color w:val="7B7B7B" w:themeColor="accent3" w:themeShade="BF"/>
          <w:sz w:val="22"/>
          <w:szCs w:val="22"/>
          <w:lang w:val="en-GB"/>
        </w:rPr>
        <w:t xml:space="preserve"> and enforcement or the effects of foreign insolvency proceedings</w:t>
      </w:r>
      <w:r>
        <w:rPr>
          <w:rFonts w:ascii="Avenir Next" w:hAnsi="Avenir Next" w:cs="Arial"/>
          <w:color w:val="7B7B7B" w:themeColor="accent3" w:themeShade="BF"/>
          <w:sz w:val="22"/>
          <w:szCs w:val="22"/>
          <w:lang w:val="en-GB"/>
        </w:rPr>
        <w:t>, for the purposes of offering assistance (by way of compulsory document production, examination of witnesses</w:t>
      </w:r>
      <w:r w:rsidR="008672C0">
        <w:rPr>
          <w:rFonts w:ascii="Avenir Next" w:hAnsi="Avenir Next" w:cs="Arial"/>
          <w:color w:val="7B7B7B" w:themeColor="accent3" w:themeShade="BF"/>
          <w:sz w:val="22"/>
          <w:szCs w:val="22"/>
          <w:lang w:val="en-GB"/>
        </w:rPr>
        <w:t>, collection of assets,</w:t>
      </w:r>
      <w:r>
        <w:rPr>
          <w:rFonts w:ascii="Avenir Next" w:hAnsi="Avenir Next" w:cs="Arial"/>
          <w:color w:val="7B7B7B" w:themeColor="accent3" w:themeShade="BF"/>
          <w:sz w:val="22"/>
          <w:szCs w:val="22"/>
          <w:lang w:val="en-GB"/>
        </w:rPr>
        <w:t xml:space="preserve"> etc.)</w:t>
      </w:r>
      <w:r w:rsidR="00596987">
        <w:rPr>
          <w:rFonts w:ascii="Avenir Next" w:hAnsi="Avenir Next" w:cs="Arial"/>
          <w:color w:val="7B7B7B" w:themeColor="accent3" w:themeShade="BF"/>
          <w:sz w:val="22"/>
          <w:szCs w:val="22"/>
          <w:lang w:val="en-GB"/>
        </w:rPr>
        <w:t xml:space="preserve"> to local representatives of official liquidators. </w:t>
      </w:r>
      <w:r w:rsidR="008672C0">
        <w:rPr>
          <w:rFonts w:ascii="Avenir Next" w:hAnsi="Avenir Next" w:cs="Arial"/>
          <w:color w:val="7B7B7B" w:themeColor="accent3" w:themeShade="BF"/>
          <w:sz w:val="22"/>
          <w:szCs w:val="22"/>
          <w:lang w:val="en-GB"/>
        </w:rPr>
        <w:t xml:space="preserve">Other developments include domestic legislation that permits cooperation and coordination amongst concurrent international insolvency proceedings. </w:t>
      </w:r>
      <w:r w:rsidR="00596987">
        <w:rPr>
          <w:rFonts w:ascii="Avenir Next" w:hAnsi="Avenir Next" w:cs="Arial"/>
          <w:color w:val="7B7B7B" w:themeColor="accent3" w:themeShade="BF"/>
          <w:sz w:val="22"/>
          <w:szCs w:val="22"/>
          <w:lang w:val="en-GB"/>
        </w:rPr>
        <w:t>Such developments have been instrumental in the harmonisation of international insolvency issues, and have enabled strong international recognition of insolvency systems and processes amongst states.</w:t>
      </w:r>
    </w:p>
    <w:p w14:paraId="6B9FBBA7" w14:textId="1724B97C" w:rsidR="008672C0" w:rsidRDefault="008672C0" w:rsidP="00700E5A">
      <w:pPr>
        <w:jc w:val="both"/>
        <w:rPr>
          <w:rFonts w:ascii="Avenir Next" w:hAnsi="Avenir Next" w:cs="Arial"/>
          <w:color w:val="7B7B7B" w:themeColor="accent3" w:themeShade="BF"/>
          <w:sz w:val="22"/>
          <w:szCs w:val="22"/>
          <w:lang w:val="en-GB"/>
        </w:rPr>
      </w:pPr>
    </w:p>
    <w:p w14:paraId="76EC951F" w14:textId="6212CD34" w:rsidR="008672C0" w:rsidRDefault="008672C0" w:rsidP="00700E5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Inter-governmental bodies such as UNCITRAL and other commercial/professional multilateral bodies (like INSOL International or the International Bar Association) have been active, and very effective, at promoting soft law responses to developing international insolvency issues in a way that harmonises domestic insolvency laws. Highly effective measures implemented by such bodies include UNCITRAL's Legislative Guide on Insolvency Law (2004) and the World Bank's Principles for Effective Insolvency and Creditor/Debtor Regimes (as amended).</w:t>
      </w:r>
    </w:p>
    <w:p w14:paraId="2F24BAD3" w14:textId="77777777" w:rsidR="00596987" w:rsidRDefault="00596987" w:rsidP="00700E5A">
      <w:pPr>
        <w:jc w:val="both"/>
        <w:rPr>
          <w:rFonts w:ascii="Avenir Next" w:hAnsi="Avenir Next" w:cs="Arial"/>
          <w:color w:val="7B7B7B" w:themeColor="accent3" w:themeShade="BF"/>
          <w:sz w:val="22"/>
          <w:szCs w:val="22"/>
          <w:lang w:val="en-GB"/>
        </w:rPr>
      </w:pPr>
    </w:p>
    <w:p w14:paraId="55C402CC" w14:textId="3EBD9D03" w:rsidR="009B0723" w:rsidRPr="00827D56" w:rsidRDefault="00596987" w:rsidP="008672C0">
      <w:pPr>
        <w:jc w:val="both"/>
        <w:rPr>
          <w:rFonts w:ascii="Avenir Next Demi Bold" w:hAnsi="Avenir Next Demi Bold" w:cs="Arial"/>
          <w:b/>
          <w:bCs/>
          <w:sz w:val="22"/>
          <w:szCs w:val="22"/>
          <w:lang w:val="en-GB"/>
        </w:rPr>
      </w:pPr>
      <w:r>
        <w:rPr>
          <w:rFonts w:ascii="Avenir Next" w:hAnsi="Avenir Next" w:cs="Arial"/>
          <w:color w:val="7B7B7B" w:themeColor="accent3" w:themeShade="BF"/>
          <w:sz w:val="22"/>
          <w:szCs w:val="22"/>
          <w:lang w:val="en-GB"/>
        </w:rPr>
        <w:t xml:space="preserve"> </w:t>
      </w:r>
      <w:r w:rsidR="00DF75F8"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lastRenderedPageBreak/>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43A69A3E" w14:textId="77777777" w:rsidR="005101E2" w:rsidRDefault="004B0D2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Cross-Border Insolvency Act of Utopia will generally be a starting point of reference for the conflict of laws issues arising on these facts.</w:t>
      </w:r>
      <w:r>
        <w:rPr>
          <w:rFonts w:ascii="Avenir Next" w:hAnsi="Avenir Next" w:cs="Arial"/>
          <w:color w:val="7B7B7B" w:themeColor="accent3" w:themeShade="BF"/>
          <w:sz w:val="22"/>
          <w:szCs w:val="22"/>
          <w:lang w:val="en-GB"/>
        </w:rPr>
        <w:t xml:space="preserve">  The Cross-Border Insolvency Act of Utopia is of potential relevance to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liquidator as it may include laws and procedures in respect of whether and how it may go about seeking recognition (as foreign representative) of the liquidation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The laws will prescribe the requirements for standing to bring such a recognition application. They ought also to identify any moratoriums that may be available on recognition of the foreign liquidation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which may or may not prevent the claims brought by Apex against Nadir in Utopia. </w:t>
      </w:r>
    </w:p>
    <w:p w14:paraId="0C5F57E1" w14:textId="77777777" w:rsidR="005101E2" w:rsidRDefault="005101E2" w:rsidP="00C053F7">
      <w:pPr>
        <w:jc w:val="both"/>
        <w:rPr>
          <w:rFonts w:ascii="Avenir Next" w:hAnsi="Avenir Next" w:cs="Arial"/>
          <w:color w:val="7B7B7B" w:themeColor="accent3" w:themeShade="BF"/>
          <w:sz w:val="22"/>
          <w:szCs w:val="22"/>
          <w:lang w:val="en-GB"/>
        </w:rPr>
      </w:pPr>
    </w:p>
    <w:p w14:paraId="2DA6D67A" w14:textId="0B5BBBBB" w:rsidR="005101E2" w:rsidRDefault="005101E2" w:rsidP="005101E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laws may also include mechanisms for a co-ordination of claims amongst each jurisdiction (including entry into cooperation agreements)</w:t>
      </w:r>
      <w:proofErr w:type="gramStart"/>
      <w:r>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govern priorities and preferences and aid in determining which countries laws should apply to different parts of the case.</w:t>
      </w:r>
      <w:r>
        <w:rPr>
          <w:rFonts w:ascii="Avenir Next" w:hAnsi="Avenir Next" w:cs="Arial"/>
          <w:color w:val="7B7B7B" w:themeColor="accent3" w:themeShade="BF"/>
          <w:sz w:val="22"/>
          <w:szCs w:val="22"/>
          <w:lang w:val="en-GB"/>
        </w:rPr>
        <w:t xml:space="preserve"> As the law </w:t>
      </w:r>
      <w:proofErr w:type="gramStart"/>
      <w:r>
        <w:rPr>
          <w:rFonts w:ascii="Avenir Next" w:hAnsi="Avenir Next" w:cs="Arial"/>
          <w:color w:val="7B7B7B" w:themeColor="accent3" w:themeShade="BF"/>
          <w:sz w:val="22"/>
          <w:szCs w:val="22"/>
          <w:lang w:val="en-GB"/>
        </w:rPr>
        <w:t>is adopted</w:t>
      </w:r>
      <w:proofErr w:type="gramEnd"/>
      <w:r>
        <w:rPr>
          <w:rFonts w:ascii="Avenir Next" w:hAnsi="Avenir Next" w:cs="Arial"/>
          <w:color w:val="7B7B7B" w:themeColor="accent3" w:themeShade="BF"/>
          <w:sz w:val="22"/>
          <w:szCs w:val="22"/>
          <w:lang w:val="en-GB"/>
        </w:rPr>
        <w:t xml:space="preserve"> as draft</w:t>
      </w:r>
      <w:r w:rsidR="005F4D8C">
        <w:rPr>
          <w:rFonts w:ascii="Avenir Next" w:hAnsi="Avenir Next" w:cs="Arial"/>
          <w:color w:val="7B7B7B" w:themeColor="accent3" w:themeShade="BF"/>
          <w:sz w:val="22"/>
          <w:szCs w:val="22"/>
          <w:lang w:val="en-GB"/>
        </w:rPr>
        <w:t xml:space="preserve">ed by UNCITRAL, cooperation and direct communication between a local Court and foreign courts, or foreign representatives, will be permitted. This will enable a Protocol or Cross-Border insolvency agreement to </w:t>
      </w:r>
      <w:proofErr w:type="gramStart"/>
      <w:r w:rsidR="005F4D8C">
        <w:rPr>
          <w:rFonts w:ascii="Avenir Next" w:hAnsi="Avenir Next" w:cs="Arial"/>
          <w:color w:val="7B7B7B" w:themeColor="accent3" w:themeShade="BF"/>
          <w:sz w:val="22"/>
          <w:szCs w:val="22"/>
          <w:lang w:val="en-GB"/>
        </w:rPr>
        <w:t>be entered into</w:t>
      </w:r>
      <w:proofErr w:type="gramEnd"/>
      <w:r w:rsidR="005F4D8C">
        <w:rPr>
          <w:rFonts w:ascii="Avenir Next" w:hAnsi="Avenir Next" w:cs="Arial"/>
          <w:color w:val="7B7B7B" w:themeColor="accent3" w:themeShade="BF"/>
          <w:sz w:val="22"/>
          <w:szCs w:val="22"/>
          <w:lang w:val="en-GB"/>
        </w:rPr>
        <w:t>.</w:t>
      </w:r>
    </w:p>
    <w:p w14:paraId="6662551C" w14:textId="77777777" w:rsidR="005101E2" w:rsidRDefault="005101E2" w:rsidP="005101E2">
      <w:pPr>
        <w:jc w:val="both"/>
        <w:rPr>
          <w:rFonts w:ascii="Avenir Next" w:hAnsi="Avenir Next" w:cs="Arial"/>
          <w:color w:val="7B7B7B" w:themeColor="accent3" w:themeShade="BF"/>
          <w:sz w:val="22"/>
          <w:szCs w:val="22"/>
          <w:lang w:val="en-GB"/>
        </w:rPr>
      </w:pPr>
    </w:p>
    <w:p w14:paraId="240DFC81" w14:textId="73E4DA03" w:rsidR="005101E2" w:rsidRDefault="004B0D2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laws will also presumably include the requirements for the liquidator to seek a stay of the litigation in Utopia, pending the winding up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w:t>
      </w:r>
    </w:p>
    <w:p w14:paraId="7DC19BDD" w14:textId="6F1FD9C9"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6C13DD75" w14:textId="7F7EE1A9" w:rsidR="005F4D8C" w:rsidRPr="005F4D8C" w:rsidRDefault="009B0723" w:rsidP="005F4D8C">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filed proceedings to wind-up Nadir, but the matter </w:t>
      </w:r>
      <w:proofErr w:type="gramStart"/>
      <w:r w:rsidRPr="00827D56">
        <w:rPr>
          <w:rFonts w:ascii="Avenir Next" w:hAnsi="Avenir Next" w:cs="Arial"/>
          <w:sz w:val="22"/>
          <w:szCs w:val="22"/>
          <w:lang w:val="en-GB"/>
        </w:rPr>
        <w:t>had not yet been heard</w:t>
      </w:r>
      <w:proofErr w:type="gramEnd"/>
      <w:r w:rsidRPr="00827D56">
        <w:rPr>
          <w:rFonts w:ascii="Avenir Next" w:hAnsi="Avenir Next" w:cs="Arial"/>
          <w:sz w:val="22"/>
          <w:szCs w:val="22"/>
          <w:lang w:val="en-GB"/>
        </w:rPr>
        <w:t>.</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3A585B3A" w:rsidR="002D3473" w:rsidRDefault="005F4D8C"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may not necessarily change my answer in respect of (a) – presumably, the legislation would operate to enable the respective liquidations to coordinate and enter agreements in respect of the same.</w:t>
      </w:r>
    </w:p>
    <w:p w14:paraId="6AB0860D" w14:textId="6B56ABAD" w:rsidR="005F4D8C" w:rsidRDefault="005F4D8C"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1B5E2F08" w14:textId="5BAC3993" w:rsidR="002D3473" w:rsidRPr="00827D56" w:rsidRDefault="005F4D8C"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It would probably change my answer in relation to (b) because by the winding up order having been obtained against Nadir in Utopia </w:t>
      </w:r>
      <w:r w:rsidRPr="005F4D8C">
        <w:rPr>
          <w:rFonts w:ascii="Avenir Next" w:hAnsi="Avenir Next" w:cs="Arial"/>
          <w:color w:val="7B7B7B" w:themeColor="accent3" w:themeShade="BF"/>
          <w:sz w:val="22"/>
          <w:szCs w:val="22"/>
          <w:u w:val="single"/>
          <w:lang w:val="en-GB"/>
        </w:rPr>
        <w:t>before</w:t>
      </w:r>
      <w:r>
        <w:rPr>
          <w:rFonts w:ascii="Avenir Next" w:hAnsi="Avenir Next" w:cs="Arial"/>
          <w:color w:val="7B7B7B" w:themeColor="accent3" w:themeShade="BF"/>
          <w:sz w:val="22"/>
          <w:szCs w:val="22"/>
          <w:lang w:val="en-GB"/>
        </w:rPr>
        <w:t xml:space="preserve">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winding up order, it is possible that a global moratorium against claims being made Nadir became effective, thereby preventing any claims (including a winding up application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being made against Nadir.</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5EE6EA16" w:rsidR="0077498C" w:rsidRDefault="00E54DC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Country I select is the United Kingdom.</w:t>
      </w:r>
    </w:p>
    <w:p w14:paraId="5BAF2C1A" w14:textId="090588BF" w:rsidR="00E54DCD" w:rsidRDefault="00E54DCD" w:rsidP="00C053F7">
      <w:pPr>
        <w:jc w:val="both"/>
        <w:rPr>
          <w:rFonts w:ascii="Avenir Next" w:hAnsi="Avenir Next" w:cs="Arial"/>
          <w:color w:val="7B7B7B" w:themeColor="accent3" w:themeShade="BF"/>
          <w:sz w:val="22"/>
          <w:szCs w:val="22"/>
          <w:lang w:val="en-GB"/>
        </w:rPr>
      </w:pPr>
    </w:p>
    <w:p w14:paraId="345BC3DB" w14:textId="7B3812F4" w:rsidR="00E54DCD" w:rsidRDefault="00E54DC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Four key international insolvency issues facing the insolvency representative in this factual scenario (and the relevant domestic or international instrument applicable) are as follows:</w:t>
      </w:r>
    </w:p>
    <w:p w14:paraId="313C17D9" w14:textId="34C8DB5C" w:rsidR="00E54DCD" w:rsidRDefault="00E54DCD" w:rsidP="00C053F7">
      <w:pPr>
        <w:jc w:val="both"/>
        <w:rPr>
          <w:rFonts w:ascii="Avenir Next" w:hAnsi="Avenir Next" w:cs="Arial"/>
          <w:color w:val="7B7B7B" w:themeColor="accent3" w:themeShade="BF"/>
          <w:sz w:val="22"/>
          <w:szCs w:val="22"/>
          <w:lang w:val="en-GB"/>
        </w:rPr>
      </w:pPr>
    </w:p>
    <w:p w14:paraId="18942394" w14:textId="5A22D633" w:rsidR="00E54DCD" w:rsidRDefault="00E54DC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w:t>
      </w:r>
      <w:r w:rsidR="00C86351">
        <w:rPr>
          <w:rFonts w:ascii="Avenir Next" w:hAnsi="Avenir Next" w:cs="Arial"/>
          <w:color w:val="7B7B7B" w:themeColor="accent3" w:themeShade="BF"/>
          <w:sz w:val="22"/>
          <w:szCs w:val="22"/>
          <w:lang w:val="en-GB"/>
        </w:rPr>
        <w:t xml:space="preserve">Ability of the insolvency representative to take into custody and under their control all the </w:t>
      </w:r>
      <w:r w:rsidR="002F3FA6">
        <w:rPr>
          <w:rFonts w:ascii="Avenir Next" w:hAnsi="Avenir Next" w:cs="Arial"/>
          <w:color w:val="7B7B7B" w:themeColor="accent3" w:themeShade="BF"/>
          <w:sz w:val="22"/>
          <w:szCs w:val="22"/>
          <w:lang w:val="en-GB"/>
        </w:rPr>
        <w:t xml:space="preserve">foreign </w:t>
      </w:r>
      <w:r w:rsidR="00C86351">
        <w:rPr>
          <w:rFonts w:ascii="Avenir Next" w:hAnsi="Avenir Next" w:cs="Arial"/>
          <w:color w:val="7B7B7B" w:themeColor="accent3" w:themeShade="BF"/>
          <w:sz w:val="22"/>
          <w:szCs w:val="22"/>
          <w:lang w:val="en-GB"/>
        </w:rPr>
        <w:t>tangible and intangible property to which the UK company is entitled and which it remains the legal owner (i.e. foreign subsidiaries and assets of th</w:t>
      </w:r>
      <w:bookmarkStart w:id="1" w:name="_GoBack"/>
      <w:bookmarkEnd w:id="1"/>
      <w:r w:rsidR="00C86351">
        <w:rPr>
          <w:rFonts w:ascii="Avenir Next" w:hAnsi="Avenir Next" w:cs="Arial"/>
          <w:color w:val="7B7B7B" w:themeColor="accent3" w:themeShade="BF"/>
          <w:sz w:val="22"/>
          <w:szCs w:val="22"/>
          <w:lang w:val="en-GB"/>
        </w:rPr>
        <w:t>e UK company).</w:t>
      </w:r>
    </w:p>
    <w:p w14:paraId="4C2C11B1" w14:textId="4DB961C8" w:rsidR="00C86351" w:rsidRDefault="00C86351" w:rsidP="00C053F7">
      <w:pPr>
        <w:jc w:val="both"/>
        <w:rPr>
          <w:rFonts w:ascii="Avenir Next" w:hAnsi="Avenir Next" w:cs="Arial"/>
          <w:color w:val="7B7B7B" w:themeColor="accent3" w:themeShade="BF"/>
          <w:sz w:val="22"/>
          <w:szCs w:val="22"/>
          <w:lang w:val="en-GB"/>
        </w:rPr>
      </w:pPr>
    </w:p>
    <w:p w14:paraId="5BE905FA" w14:textId="3BEC3CD8" w:rsidR="00C86351" w:rsidRDefault="00C8635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UK insolvency practitioner's ability to take into custody the UK company's foreign assets and subsidiaries will be governed by each relevant country's cross-border insolvency legislation (to the extent it has enacted it). Such legislation will include laws with respect to the recognition of the UK liquidation and ability for the UK insolvency practitioner to appoint foreign representatives in the respective overseas jurisdictions. </w:t>
      </w:r>
    </w:p>
    <w:p w14:paraId="70E6FF82" w14:textId="70DF9D82" w:rsidR="00C86351" w:rsidRDefault="00C86351" w:rsidP="00C053F7">
      <w:pPr>
        <w:jc w:val="both"/>
        <w:rPr>
          <w:rFonts w:ascii="Avenir Next" w:hAnsi="Avenir Next" w:cs="Arial"/>
          <w:color w:val="7B7B7B" w:themeColor="accent3" w:themeShade="BF"/>
          <w:sz w:val="22"/>
          <w:szCs w:val="22"/>
          <w:lang w:val="en-GB"/>
        </w:rPr>
      </w:pPr>
    </w:p>
    <w:p w14:paraId="4DAA7F8F" w14:textId="6D8ABCE1" w:rsidR="00C86351" w:rsidRDefault="00C8635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 Ability of the insolvency representative to accept proofs of debt lodged by foreign creditors in respect of the UK Company's liabilities incurred overseas or governed by foreign law.</w:t>
      </w:r>
    </w:p>
    <w:p w14:paraId="0782F88D" w14:textId="01686E5D" w:rsidR="00C86351" w:rsidRDefault="00C86351" w:rsidP="00C053F7">
      <w:pPr>
        <w:jc w:val="both"/>
        <w:rPr>
          <w:rFonts w:ascii="Avenir Next" w:hAnsi="Avenir Next" w:cs="Arial"/>
          <w:color w:val="7B7B7B" w:themeColor="accent3" w:themeShade="BF"/>
          <w:sz w:val="22"/>
          <w:szCs w:val="22"/>
          <w:lang w:val="en-GB"/>
        </w:rPr>
      </w:pPr>
    </w:p>
    <w:p w14:paraId="1E5EA39A" w14:textId="18095F82" w:rsidR="00C86351" w:rsidRDefault="00C8635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w:t>
      </w:r>
      <w:proofErr w:type="gramStart"/>
      <w:r>
        <w:rPr>
          <w:rFonts w:ascii="Avenir Next" w:hAnsi="Avenir Next" w:cs="Arial"/>
          <w:color w:val="7B7B7B" w:themeColor="accent3" w:themeShade="BF"/>
          <w:sz w:val="22"/>
          <w:szCs w:val="22"/>
          <w:lang w:val="en-GB"/>
        </w:rPr>
        <w:t>will be governed</w:t>
      </w:r>
      <w:proofErr w:type="gramEnd"/>
      <w:r>
        <w:rPr>
          <w:rFonts w:ascii="Avenir Next" w:hAnsi="Avenir Next" w:cs="Arial"/>
          <w:color w:val="7B7B7B" w:themeColor="accent3" w:themeShade="BF"/>
          <w:sz w:val="22"/>
          <w:szCs w:val="22"/>
          <w:lang w:val="en-GB"/>
        </w:rPr>
        <w:t xml:space="preserve"> by the UK's </w:t>
      </w:r>
      <w:r w:rsidR="002F3FA6">
        <w:rPr>
          <w:rFonts w:ascii="Avenir Next" w:hAnsi="Avenir Next" w:cs="Arial"/>
          <w:color w:val="7B7B7B" w:themeColor="accent3" w:themeShade="BF"/>
          <w:sz w:val="22"/>
          <w:szCs w:val="22"/>
          <w:lang w:val="en-GB"/>
        </w:rPr>
        <w:t xml:space="preserve">domestic insolvency </w:t>
      </w:r>
      <w:r>
        <w:rPr>
          <w:rFonts w:ascii="Avenir Next" w:hAnsi="Avenir Next" w:cs="Arial"/>
          <w:color w:val="7B7B7B" w:themeColor="accent3" w:themeShade="BF"/>
          <w:sz w:val="22"/>
          <w:szCs w:val="22"/>
          <w:lang w:val="en-GB"/>
        </w:rPr>
        <w:t>legislation.</w:t>
      </w:r>
    </w:p>
    <w:p w14:paraId="11DC735A" w14:textId="6132036A" w:rsidR="00C86351" w:rsidRDefault="00C86351" w:rsidP="00C053F7">
      <w:pPr>
        <w:jc w:val="both"/>
        <w:rPr>
          <w:rFonts w:ascii="Avenir Next" w:hAnsi="Avenir Next" w:cs="Arial"/>
          <w:color w:val="7B7B7B" w:themeColor="accent3" w:themeShade="BF"/>
          <w:sz w:val="22"/>
          <w:szCs w:val="22"/>
          <w:lang w:val="en-GB"/>
        </w:rPr>
      </w:pPr>
    </w:p>
    <w:p w14:paraId="56B9EC99" w14:textId="3FA4A45D" w:rsidR="00C86351" w:rsidRDefault="00C8635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3. Choice of law to apply in the winding up in the UK</w:t>
      </w:r>
      <w:r w:rsidR="009D5E57">
        <w:rPr>
          <w:rFonts w:ascii="Avenir Next" w:hAnsi="Avenir Next" w:cs="Arial"/>
          <w:color w:val="7B7B7B" w:themeColor="accent3" w:themeShade="BF"/>
          <w:sz w:val="22"/>
          <w:szCs w:val="22"/>
          <w:lang w:val="en-GB"/>
        </w:rPr>
        <w:t xml:space="preserve"> as to procedure and substance</w:t>
      </w:r>
    </w:p>
    <w:p w14:paraId="7BB2FA25" w14:textId="3ADD5BE0" w:rsidR="00C86351" w:rsidRDefault="00C86351" w:rsidP="00C053F7">
      <w:pPr>
        <w:jc w:val="both"/>
        <w:rPr>
          <w:rFonts w:ascii="Avenir Next" w:hAnsi="Avenir Next" w:cs="Arial"/>
          <w:color w:val="7B7B7B" w:themeColor="accent3" w:themeShade="BF"/>
          <w:sz w:val="22"/>
          <w:szCs w:val="22"/>
          <w:lang w:val="en-GB"/>
        </w:rPr>
      </w:pPr>
    </w:p>
    <w:p w14:paraId="591A7E8F" w14:textId="3F355C6D" w:rsidR="00C86351" w:rsidRDefault="00C8635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Domestic laws in relation to choice of law are applicable to winding up by a UK court where international elements (like these facts) are involved.</w:t>
      </w:r>
      <w:r w:rsidR="009D5E57">
        <w:rPr>
          <w:rFonts w:ascii="Avenir Next" w:hAnsi="Avenir Next" w:cs="Arial"/>
          <w:color w:val="7B7B7B" w:themeColor="accent3" w:themeShade="BF"/>
          <w:sz w:val="22"/>
          <w:szCs w:val="22"/>
          <w:lang w:val="en-GB"/>
        </w:rPr>
        <w:t xml:space="preserve"> Likely legislation will be the Insolvency Act 1986.</w:t>
      </w:r>
    </w:p>
    <w:p w14:paraId="66095EC7" w14:textId="77777777" w:rsidR="009D5E57" w:rsidRDefault="009D5E57" w:rsidP="00C053F7">
      <w:pPr>
        <w:jc w:val="both"/>
        <w:rPr>
          <w:rFonts w:ascii="Avenir Next" w:hAnsi="Avenir Next" w:cs="Arial"/>
          <w:color w:val="7B7B7B" w:themeColor="accent3" w:themeShade="BF"/>
          <w:sz w:val="22"/>
          <w:szCs w:val="22"/>
          <w:lang w:val="en-GB"/>
        </w:rPr>
      </w:pPr>
    </w:p>
    <w:p w14:paraId="0E17EE2E" w14:textId="0A7EAEEB" w:rsidR="009D5E57" w:rsidRDefault="009D5E5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likely that UK domestic law governs the procedure for lodging a proof of debt in the UK liquidation, however, recourse to the foreign country's law may be required in order to establish the validity of the foreign claim in circumstances where that debt is governed by foreign (not UK) law.</w:t>
      </w:r>
    </w:p>
    <w:p w14:paraId="39092BDD" w14:textId="38B175A5" w:rsidR="009D5E57" w:rsidRDefault="009D5E57" w:rsidP="00C053F7">
      <w:pPr>
        <w:jc w:val="both"/>
        <w:rPr>
          <w:rFonts w:ascii="Avenir Next" w:hAnsi="Avenir Next" w:cs="Arial"/>
          <w:color w:val="7B7B7B" w:themeColor="accent3" w:themeShade="BF"/>
          <w:sz w:val="22"/>
          <w:szCs w:val="22"/>
          <w:lang w:val="en-GB"/>
        </w:rPr>
      </w:pPr>
    </w:p>
    <w:p w14:paraId="0AFB1A2E" w14:textId="6DF4EDAD" w:rsidR="009D5E57" w:rsidRDefault="009D5E5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Cooperation with foreign parties and foreign Courts in respect of claims against foreign subsidiaries of the UK </w:t>
      </w:r>
      <w:proofErr w:type="gramStart"/>
      <w:r>
        <w:rPr>
          <w:rFonts w:ascii="Avenir Next" w:hAnsi="Avenir Next" w:cs="Arial"/>
          <w:color w:val="7B7B7B" w:themeColor="accent3" w:themeShade="BF"/>
          <w:sz w:val="22"/>
          <w:szCs w:val="22"/>
          <w:lang w:val="en-GB"/>
        </w:rPr>
        <w:t>company</w:t>
      </w:r>
      <w:proofErr w:type="gramEnd"/>
      <w:r>
        <w:rPr>
          <w:rFonts w:ascii="Avenir Next" w:hAnsi="Avenir Next" w:cs="Arial"/>
          <w:color w:val="7B7B7B" w:themeColor="accent3" w:themeShade="BF"/>
          <w:sz w:val="22"/>
          <w:szCs w:val="22"/>
          <w:lang w:val="en-GB"/>
        </w:rPr>
        <w:t xml:space="preserve"> or insolvency proceedings in respect of the same</w:t>
      </w:r>
    </w:p>
    <w:p w14:paraId="684EFDF5" w14:textId="3F3E15D9" w:rsidR="009D5E57" w:rsidRDefault="009D5E57" w:rsidP="00C053F7">
      <w:pPr>
        <w:jc w:val="both"/>
        <w:rPr>
          <w:rFonts w:ascii="Avenir Next" w:hAnsi="Avenir Next" w:cs="Arial"/>
          <w:color w:val="7B7B7B" w:themeColor="accent3" w:themeShade="BF"/>
          <w:sz w:val="22"/>
          <w:szCs w:val="22"/>
          <w:lang w:val="en-GB"/>
        </w:rPr>
      </w:pPr>
    </w:p>
    <w:p w14:paraId="4BD8EEA9" w14:textId="2C0F7D92" w:rsidR="009D5E57" w:rsidRDefault="009D5E5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Local UK law should aid in this regard, by virtue of sections 426 of the Insolvency Act 1986 (UK).</w:t>
      </w:r>
    </w:p>
    <w:p w14:paraId="488FD1BE" w14:textId="691B90A8" w:rsidR="00E54DCD" w:rsidRDefault="00E54DCD" w:rsidP="00C053F7">
      <w:pPr>
        <w:jc w:val="both"/>
        <w:rPr>
          <w:rFonts w:ascii="Avenir Next" w:hAnsi="Avenir Next" w:cs="Arial"/>
          <w:color w:val="7B7B7B" w:themeColor="accent3" w:themeShade="BF"/>
          <w:sz w:val="22"/>
          <w:szCs w:val="22"/>
          <w:lang w:val="en-GB"/>
        </w:rPr>
      </w:pPr>
    </w:p>
    <w:p w14:paraId="6189609C" w14:textId="77777777" w:rsidR="00E54DCD" w:rsidRPr="00827D56" w:rsidRDefault="00E54DCD"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2F5BC760"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2F3FA6">
          <w:rPr>
            <w:rStyle w:val="PageNumber"/>
            <w:rFonts w:ascii="Avenir Next" w:hAnsi="Avenir Next" w:cs="Arial"/>
            <w:noProof/>
            <w:sz w:val="22"/>
            <w:szCs w:val="22"/>
          </w:rPr>
          <w:t>11</w:t>
        </w:r>
        <w:r w:rsidRPr="009634F4">
          <w:rPr>
            <w:rStyle w:val="PageNumber"/>
            <w:rFonts w:ascii="Avenir Next" w:hAnsi="Avenir Next" w:cs="Arial"/>
            <w:sz w:val="22"/>
            <w:szCs w:val="22"/>
          </w:rPr>
          <w:fldChar w:fldCharType="end"/>
        </w:r>
      </w:p>
    </w:sdtContent>
  </w:sdt>
  <w:p w14:paraId="120BA9A5" w14:textId="0F1B6E6C" w:rsidR="00AD6A7D" w:rsidRPr="009634F4" w:rsidRDefault="008F736C" w:rsidP="00AD6A7D">
    <w:pPr>
      <w:pStyle w:val="Footer"/>
      <w:ind w:right="360"/>
      <w:rPr>
        <w:rFonts w:ascii="Avenir Next" w:hAnsi="Avenir Next" w:cs="Arial"/>
        <w:sz w:val="22"/>
        <w:szCs w:val="22"/>
      </w:rPr>
    </w:pPr>
    <w:r w:rsidRPr="008F736C">
      <w:rPr>
        <w:rFonts w:ascii="Avenir Next" w:hAnsi="Avenir Next" w:cs="Arial"/>
        <w:sz w:val="22"/>
        <w:szCs w:val="22"/>
      </w:rPr>
      <w:t>202223-820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2E59"/>
    <w:rsid w:val="000250C7"/>
    <w:rsid w:val="00037621"/>
    <w:rsid w:val="00044D46"/>
    <w:rsid w:val="00045088"/>
    <w:rsid w:val="00045904"/>
    <w:rsid w:val="00055893"/>
    <w:rsid w:val="00065166"/>
    <w:rsid w:val="00082609"/>
    <w:rsid w:val="000851CC"/>
    <w:rsid w:val="00093BE8"/>
    <w:rsid w:val="000A68ED"/>
    <w:rsid w:val="000B5FF1"/>
    <w:rsid w:val="000B609F"/>
    <w:rsid w:val="000C6447"/>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3551"/>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3FA6"/>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D6996"/>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971F5"/>
    <w:rsid w:val="004A16A3"/>
    <w:rsid w:val="004A57DD"/>
    <w:rsid w:val="004A7B51"/>
    <w:rsid w:val="004A7D71"/>
    <w:rsid w:val="004A7EF3"/>
    <w:rsid w:val="004B0D23"/>
    <w:rsid w:val="004B11FD"/>
    <w:rsid w:val="004B23A2"/>
    <w:rsid w:val="004C1306"/>
    <w:rsid w:val="004D1A5A"/>
    <w:rsid w:val="004D3721"/>
    <w:rsid w:val="004D64F9"/>
    <w:rsid w:val="004E14A8"/>
    <w:rsid w:val="004F5FDF"/>
    <w:rsid w:val="005101E2"/>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96987"/>
    <w:rsid w:val="005A0CCA"/>
    <w:rsid w:val="005A726D"/>
    <w:rsid w:val="005B67AC"/>
    <w:rsid w:val="005D43E0"/>
    <w:rsid w:val="005D58A3"/>
    <w:rsid w:val="005E1B79"/>
    <w:rsid w:val="005F026D"/>
    <w:rsid w:val="005F0FCF"/>
    <w:rsid w:val="005F2D0B"/>
    <w:rsid w:val="005F4B31"/>
    <w:rsid w:val="005F4D8C"/>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31D4"/>
    <w:rsid w:val="006E481A"/>
    <w:rsid w:val="006E5298"/>
    <w:rsid w:val="006F734A"/>
    <w:rsid w:val="00700D83"/>
    <w:rsid w:val="00700E5A"/>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0AEC"/>
    <w:rsid w:val="007D7C92"/>
    <w:rsid w:val="007E1154"/>
    <w:rsid w:val="007F41F8"/>
    <w:rsid w:val="007F45F1"/>
    <w:rsid w:val="008031A7"/>
    <w:rsid w:val="0080454E"/>
    <w:rsid w:val="00804C32"/>
    <w:rsid w:val="00806302"/>
    <w:rsid w:val="00807119"/>
    <w:rsid w:val="0082483F"/>
    <w:rsid w:val="008279C0"/>
    <w:rsid w:val="00827D56"/>
    <w:rsid w:val="00837FC3"/>
    <w:rsid w:val="008672C0"/>
    <w:rsid w:val="008723F3"/>
    <w:rsid w:val="00875FCA"/>
    <w:rsid w:val="00881DE6"/>
    <w:rsid w:val="008837A6"/>
    <w:rsid w:val="0089145D"/>
    <w:rsid w:val="008A6CFE"/>
    <w:rsid w:val="008B5333"/>
    <w:rsid w:val="008B6223"/>
    <w:rsid w:val="008C19D1"/>
    <w:rsid w:val="008C66E0"/>
    <w:rsid w:val="008E3339"/>
    <w:rsid w:val="008F20FC"/>
    <w:rsid w:val="008F6301"/>
    <w:rsid w:val="008F736C"/>
    <w:rsid w:val="00905A43"/>
    <w:rsid w:val="00912C79"/>
    <w:rsid w:val="00942123"/>
    <w:rsid w:val="009447D9"/>
    <w:rsid w:val="0095207B"/>
    <w:rsid w:val="00955AF1"/>
    <w:rsid w:val="00956BDA"/>
    <w:rsid w:val="00962045"/>
    <w:rsid w:val="009634F4"/>
    <w:rsid w:val="00991428"/>
    <w:rsid w:val="00992676"/>
    <w:rsid w:val="009B0723"/>
    <w:rsid w:val="009B07AD"/>
    <w:rsid w:val="009B0883"/>
    <w:rsid w:val="009B15E2"/>
    <w:rsid w:val="009C0B8E"/>
    <w:rsid w:val="009C1BC8"/>
    <w:rsid w:val="009C2442"/>
    <w:rsid w:val="009D0811"/>
    <w:rsid w:val="009D0EE1"/>
    <w:rsid w:val="009D5E57"/>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452F"/>
    <w:rsid w:val="00AD6A7D"/>
    <w:rsid w:val="00AF228E"/>
    <w:rsid w:val="00B14819"/>
    <w:rsid w:val="00B17AA9"/>
    <w:rsid w:val="00B72AE1"/>
    <w:rsid w:val="00B736DF"/>
    <w:rsid w:val="00B74FBD"/>
    <w:rsid w:val="00B82586"/>
    <w:rsid w:val="00B83C04"/>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6351"/>
    <w:rsid w:val="00C8712A"/>
    <w:rsid w:val="00C91E20"/>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D3BB1"/>
    <w:rsid w:val="00DE03AF"/>
    <w:rsid w:val="00DE121C"/>
    <w:rsid w:val="00DE6633"/>
    <w:rsid w:val="00DF75F8"/>
    <w:rsid w:val="00DF7A3A"/>
    <w:rsid w:val="00E00C00"/>
    <w:rsid w:val="00E07C5A"/>
    <w:rsid w:val="00E15BA9"/>
    <w:rsid w:val="00E26E19"/>
    <w:rsid w:val="00E450A4"/>
    <w:rsid w:val="00E506BE"/>
    <w:rsid w:val="00E54DCD"/>
    <w:rsid w:val="00E55547"/>
    <w:rsid w:val="00E62289"/>
    <w:rsid w:val="00E6302B"/>
    <w:rsid w:val="00E6452F"/>
    <w:rsid w:val="00E64F45"/>
    <w:rsid w:val="00E6742D"/>
    <w:rsid w:val="00E71CB0"/>
    <w:rsid w:val="00E77C3D"/>
    <w:rsid w:val="00E909F0"/>
    <w:rsid w:val="00E93993"/>
    <w:rsid w:val="00E965D2"/>
    <w:rsid w:val="00EA0913"/>
    <w:rsid w:val="00EB45AC"/>
    <w:rsid w:val="00ED0BC4"/>
    <w:rsid w:val="00EE4971"/>
    <w:rsid w:val="00EE744D"/>
    <w:rsid w:val="00EF090E"/>
    <w:rsid w:val="00EF2AB6"/>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1C72"/>
    <w:rsid w:val="00FD36C5"/>
    <w:rsid w:val="00FD6310"/>
    <w:rsid w:val="00FD7C7B"/>
    <w:rsid w:val="00FE1D12"/>
    <w:rsid w:val="00FE2122"/>
    <w:rsid w:val="00FE2A86"/>
    <w:rsid w:val="00FF296F"/>
    <w:rsid w:val="00FF56F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69FD-61D1-436E-82CA-85996F54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Hall</cp:lastModifiedBy>
  <cp:revision>12</cp:revision>
  <cp:lastPrinted>2019-09-04T15:45:00Z</cp:lastPrinted>
  <dcterms:created xsi:type="dcterms:W3CDTF">2022-09-02T19:07:00Z</dcterms:created>
  <dcterms:modified xsi:type="dcterms:W3CDTF">2022-10-02T19:28:00Z</dcterms:modified>
</cp:coreProperties>
</file>