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w:t>
      </w:r>
      <w:proofErr w:type="spellStart"/>
      <w:r w:rsidRPr="000E329C">
        <w:rPr>
          <w:rFonts w:ascii="Avenir Next" w:hAnsi="Avenir Next" w:cs="Arial"/>
          <w:bCs/>
          <w:sz w:val="22"/>
          <w:szCs w:val="22"/>
          <w:lang w:val="en-GB"/>
        </w:rPr>
        <w:t>student</w:t>
      </w:r>
      <w:r w:rsidR="002C1671" w:rsidRPr="000E329C">
        <w:rPr>
          <w:rFonts w:ascii="Avenir Next" w:hAnsi="Avenir Next" w:cs="Arial"/>
          <w:bCs/>
          <w:sz w:val="22"/>
          <w:szCs w:val="22"/>
          <w:lang w:val="en-GB"/>
        </w:rPr>
        <w:t>ID</w:t>
      </w:r>
      <w:proofErr w:type="spellEnd"/>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0F0721" w:rsidRDefault="00B736DF" w:rsidP="009E1027">
      <w:pPr>
        <w:pStyle w:val="ListParagraph"/>
        <w:numPr>
          <w:ilvl w:val="0"/>
          <w:numId w:val="12"/>
        </w:numPr>
        <w:ind w:left="426"/>
        <w:jc w:val="both"/>
        <w:rPr>
          <w:rFonts w:ascii="Avenir Next" w:hAnsi="Avenir Next" w:cs="Arial"/>
          <w:sz w:val="22"/>
          <w:szCs w:val="22"/>
          <w:highlight w:val="yellow"/>
          <w:lang w:val="en-GB"/>
        </w:rPr>
      </w:pPr>
      <w:r w:rsidRPr="000F0721">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0F0721">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0F0721" w:rsidRDefault="009E2E27" w:rsidP="008031A7">
      <w:pPr>
        <w:pStyle w:val="ListParagraph"/>
        <w:numPr>
          <w:ilvl w:val="0"/>
          <w:numId w:val="14"/>
        </w:numPr>
        <w:ind w:left="426"/>
        <w:jc w:val="both"/>
        <w:rPr>
          <w:rFonts w:ascii="Avenir Next" w:hAnsi="Avenir Next" w:cs="Arial"/>
          <w:sz w:val="22"/>
          <w:szCs w:val="22"/>
          <w:highlight w:val="yellow"/>
          <w:lang w:val="en-GB"/>
        </w:rPr>
      </w:pPr>
      <w:r w:rsidRPr="000F0721">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93765" w:rsidRDefault="009E2E27" w:rsidP="008031A7">
      <w:pPr>
        <w:pStyle w:val="ListParagraph"/>
        <w:numPr>
          <w:ilvl w:val="0"/>
          <w:numId w:val="15"/>
        </w:numPr>
        <w:ind w:left="426"/>
        <w:jc w:val="both"/>
        <w:rPr>
          <w:rFonts w:ascii="Avenir Next" w:hAnsi="Avenir Next" w:cs="Arial"/>
          <w:sz w:val="22"/>
          <w:szCs w:val="22"/>
          <w:highlight w:val="yellow"/>
          <w:lang w:val="en-GB"/>
        </w:rPr>
      </w:pPr>
      <w:r w:rsidRPr="00893765">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93765" w:rsidRDefault="00A235B7" w:rsidP="006D01C2">
      <w:pPr>
        <w:pStyle w:val="ListParagraph"/>
        <w:numPr>
          <w:ilvl w:val="0"/>
          <w:numId w:val="16"/>
        </w:numPr>
        <w:ind w:left="426"/>
        <w:jc w:val="both"/>
        <w:rPr>
          <w:rFonts w:ascii="Avenir Next" w:hAnsi="Avenir Next" w:cs="Arial"/>
          <w:sz w:val="22"/>
          <w:szCs w:val="22"/>
          <w:highlight w:val="yellow"/>
          <w:lang w:val="en-GB"/>
        </w:rPr>
      </w:pPr>
      <w:r w:rsidRPr="00893765">
        <w:rPr>
          <w:rFonts w:ascii="Avenir Next" w:hAnsi="Avenir Next" w:cs="Arial"/>
          <w:sz w:val="22"/>
          <w:szCs w:val="22"/>
          <w:highlight w:val="yellow"/>
          <w:lang w:val="en-GB"/>
        </w:rPr>
        <w:t>The statement</w:t>
      </w:r>
      <w:r w:rsidR="0037465A" w:rsidRPr="00893765">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995DA1">
        <w:rPr>
          <w:rFonts w:ascii="Avenir Next" w:eastAsiaTheme="minorHAnsi" w:hAnsi="Avenir Next" w:cs="Arial"/>
          <w:sz w:val="22"/>
          <w:szCs w:val="22"/>
          <w:highlight w:val="yellow"/>
          <w:lang w:val="en-GB"/>
        </w:rPr>
        <w:t>Private International Law</w:t>
      </w:r>
      <w:r w:rsidR="00991428" w:rsidRPr="00995DA1">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995DA1" w:rsidRDefault="004D1A5A" w:rsidP="006D01C2">
      <w:pPr>
        <w:pStyle w:val="ListParagraph"/>
        <w:numPr>
          <w:ilvl w:val="0"/>
          <w:numId w:val="18"/>
        </w:numPr>
        <w:ind w:left="426"/>
        <w:jc w:val="both"/>
        <w:rPr>
          <w:rFonts w:ascii="Avenir Next" w:hAnsi="Avenir Next" w:cs="Arial"/>
          <w:sz w:val="22"/>
          <w:szCs w:val="22"/>
          <w:highlight w:val="yellow"/>
          <w:lang w:val="en-GB"/>
        </w:rPr>
      </w:pPr>
      <w:r w:rsidRPr="00995DA1">
        <w:rPr>
          <w:rFonts w:ascii="Avenir Next" w:hAnsi="Avenir Next" w:cs="Arial"/>
          <w:sz w:val="22"/>
          <w:szCs w:val="22"/>
          <w:highlight w:val="yellow"/>
          <w:lang w:val="en-GB"/>
        </w:rPr>
        <w:t>UNCITRAL Model Law on Cross-border Insolvency (1997)</w:t>
      </w:r>
      <w:r w:rsidR="00912C79" w:rsidRPr="00995DA1">
        <w:rPr>
          <w:rFonts w:ascii="Avenir Next" w:hAnsi="Avenir Next" w:cs="Arial"/>
          <w:sz w:val="22"/>
          <w:szCs w:val="22"/>
          <w:highlight w:val="yellow"/>
          <w:lang w:val="en-GB"/>
        </w:rPr>
        <w:t>.</w:t>
      </w:r>
      <w:r w:rsidRPr="00995DA1">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E70277">
        <w:rPr>
          <w:rFonts w:ascii="Avenir Next" w:hAnsi="Avenir Next" w:cs="Arial"/>
          <w:sz w:val="22"/>
          <w:szCs w:val="22"/>
          <w:highlight w:val="yellow"/>
          <w:lang w:val="en-GB"/>
        </w:rPr>
        <w:t>Havana Convention on Private International Law (1928)</w:t>
      </w:r>
      <w:r w:rsidRPr="00E70277">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5912FD">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5912FD">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65DE07A3" w:rsidR="009B07AD" w:rsidRPr="00827D56" w:rsidRDefault="00A91FCB" w:rsidP="00205546">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International insolvency law means a body of rules which</w:t>
      </w:r>
      <w:r w:rsidR="00205546">
        <w:rPr>
          <w:rFonts w:ascii="Avenir Next" w:hAnsi="Avenir Next" w:cs="Arial"/>
          <w:color w:val="7B7B7B" w:themeColor="accent3" w:themeShade="BF"/>
          <w:sz w:val="22"/>
          <w:szCs w:val="22"/>
          <w:lang w:val="en-GB"/>
        </w:rPr>
        <w:t xml:space="preserve"> apply in circumstances where an insolvency occurs</w:t>
      </w:r>
      <w:r w:rsidR="00993FFD">
        <w:rPr>
          <w:rFonts w:ascii="Avenir Next" w:hAnsi="Avenir Next" w:cs="Arial"/>
          <w:color w:val="7B7B7B" w:themeColor="accent3" w:themeShade="BF"/>
          <w:sz w:val="22"/>
          <w:szCs w:val="22"/>
          <w:lang w:val="en-GB"/>
        </w:rPr>
        <w:t xml:space="preserve"> but involves internation</w:t>
      </w:r>
      <w:r w:rsidR="00C6683F">
        <w:rPr>
          <w:rFonts w:ascii="Avenir Next" w:hAnsi="Avenir Next" w:cs="Arial"/>
          <w:color w:val="7B7B7B" w:themeColor="accent3" w:themeShade="BF"/>
          <w:sz w:val="22"/>
          <w:szCs w:val="22"/>
          <w:lang w:val="en-GB"/>
        </w:rPr>
        <w:t>al elements in that issues arising</w:t>
      </w:r>
      <w:r w:rsidR="00993FFD">
        <w:rPr>
          <w:rFonts w:ascii="Avenir Next" w:hAnsi="Avenir Next" w:cs="Arial"/>
          <w:color w:val="7B7B7B" w:themeColor="accent3" w:themeShade="BF"/>
          <w:sz w:val="22"/>
          <w:szCs w:val="22"/>
          <w:lang w:val="en-GB"/>
        </w:rPr>
        <w:t xml:space="preserve"> from the insolvency that cannot be </w:t>
      </w:r>
      <w:r w:rsidR="00C6683F">
        <w:rPr>
          <w:rFonts w:ascii="Avenir Next" w:hAnsi="Avenir Next" w:cs="Arial"/>
          <w:color w:val="7B7B7B" w:themeColor="accent3" w:themeShade="BF"/>
          <w:sz w:val="22"/>
          <w:szCs w:val="22"/>
          <w:lang w:val="en-GB"/>
        </w:rPr>
        <w:t>addressed by a single set of domestic insolvency law provisions.</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6C4DABDE" w:rsidR="009B07AD" w:rsidRDefault="00C6683F" w:rsidP="00C6683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Universality and territoriality was two distinct concepts in cross-border insolvency.  The concepts can be differentiated as follows:</w:t>
      </w:r>
    </w:p>
    <w:p w14:paraId="7AC75F21" w14:textId="349FA0D6" w:rsidR="00C6683F" w:rsidRDefault="00C6683F" w:rsidP="00C053F7">
      <w:pPr>
        <w:ind w:left="720" w:hanging="720"/>
        <w:jc w:val="both"/>
        <w:rPr>
          <w:rFonts w:ascii="Avenir Next" w:hAnsi="Avenir Next" w:cs="Arial"/>
          <w:color w:val="7B7B7B" w:themeColor="accent3" w:themeShade="BF"/>
          <w:sz w:val="22"/>
          <w:szCs w:val="22"/>
          <w:lang w:val="en-GB"/>
        </w:rPr>
      </w:pPr>
    </w:p>
    <w:p w14:paraId="6AE9FF97" w14:textId="1E26F846" w:rsidR="00C6683F" w:rsidRDefault="00C6683F" w:rsidP="00C6683F">
      <w:pPr>
        <w:pStyle w:val="ListParagraph"/>
        <w:numPr>
          <w:ilvl w:val="0"/>
          <w:numId w:val="24"/>
        </w:numPr>
        <w:jc w:val="both"/>
        <w:rPr>
          <w:rFonts w:ascii="Avenir Next" w:hAnsi="Avenir Next" w:cs="Arial"/>
          <w:color w:val="7B7B7B" w:themeColor="accent3" w:themeShade="BF"/>
          <w:sz w:val="22"/>
          <w:szCs w:val="22"/>
          <w:lang w:val="en-GB"/>
        </w:rPr>
      </w:pPr>
      <w:r w:rsidRPr="00C6683F">
        <w:rPr>
          <w:rFonts w:ascii="Avenir Next" w:hAnsi="Avenir Next" w:cs="Arial"/>
          <w:color w:val="7B7B7B" w:themeColor="accent3" w:themeShade="BF"/>
          <w:sz w:val="22"/>
          <w:szCs w:val="22"/>
          <w:lang w:val="en-GB"/>
        </w:rPr>
        <w:t>The concept of universality prescribes that there should only be one insolvency proceeding covering all of the debtor's assets and debts worldwide. Territoriality on the other hand prescribes that insolvency proceedings may be commenced in every state or jurisdiction where the debtor holds assets, but that each proceeding should be territorially limited and restricted</w:t>
      </w:r>
      <w:r>
        <w:rPr>
          <w:rFonts w:ascii="Avenir Next" w:hAnsi="Avenir Next" w:cs="Arial"/>
          <w:color w:val="7B7B7B" w:themeColor="accent3" w:themeShade="BF"/>
          <w:sz w:val="22"/>
          <w:szCs w:val="22"/>
          <w:lang w:val="en-GB"/>
        </w:rPr>
        <w:t xml:space="preserve"> to property within that state; this means that it is possible to have multiple concurrent insolvency proceedings in respect of one debtor.</w:t>
      </w:r>
    </w:p>
    <w:p w14:paraId="6F93297B" w14:textId="204D42F5" w:rsidR="00C6683F" w:rsidRDefault="00126C92" w:rsidP="00C6683F">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distinction between the concepts means that:</w:t>
      </w:r>
    </w:p>
    <w:p w14:paraId="4F0E6A06" w14:textId="7C730937" w:rsidR="00126C92" w:rsidRDefault="00126C92" w:rsidP="00126C92">
      <w:pPr>
        <w:pStyle w:val="ListParagraph"/>
        <w:numPr>
          <w:ilvl w:val="1"/>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Universality requires a high level of trust in foreign legal system and insolvency proceedings as compared to territoriality;</w:t>
      </w:r>
    </w:p>
    <w:p w14:paraId="060ADB6A" w14:textId="414AA621" w:rsidR="00126C92" w:rsidRDefault="00126C92" w:rsidP="00126C92">
      <w:pPr>
        <w:pStyle w:val="ListParagraph"/>
        <w:numPr>
          <w:ilvl w:val="1"/>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universality involves one insolvency proceedings, creditors may suffer practical and economic challenges in participating in foreign insolvency proceedings, as compared to territoriality;</w:t>
      </w:r>
      <w:r w:rsidR="00DC7E8A">
        <w:rPr>
          <w:rFonts w:ascii="Avenir Next" w:hAnsi="Avenir Next" w:cs="Arial"/>
          <w:color w:val="7B7B7B" w:themeColor="accent3" w:themeShade="BF"/>
          <w:sz w:val="22"/>
          <w:szCs w:val="22"/>
          <w:lang w:val="en-GB"/>
        </w:rPr>
        <w:t xml:space="preserve"> and</w:t>
      </w:r>
    </w:p>
    <w:p w14:paraId="5C9F3470" w14:textId="310346D6" w:rsidR="00126C92" w:rsidRPr="00126C92" w:rsidRDefault="00126C92" w:rsidP="00126C92">
      <w:pPr>
        <w:pStyle w:val="ListParagraph"/>
        <w:numPr>
          <w:ilvl w:val="1"/>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the territoriality concept, a debtor could be solvent in one state but insolvent in anoth</w:t>
      </w:r>
      <w:r w:rsidR="00DC7E8A">
        <w:rPr>
          <w:rFonts w:ascii="Avenir Next" w:hAnsi="Avenir Next" w:cs="Arial"/>
          <w:color w:val="7B7B7B" w:themeColor="accent3" w:themeShade="BF"/>
          <w:sz w:val="22"/>
          <w:szCs w:val="22"/>
          <w:lang w:val="en-GB"/>
        </w:rPr>
        <w:t>er, as compared to universality.</w:t>
      </w:r>
    </w:p>
    <w:p w14:paraId="039E27B5" w14:textId="1A6F4B29" w:rsidR="00C82D87" w:rsidRPr="00C6683F" w:rsidRDefault="00C82D87" w:rsidP="00C6683F">
      <w:pPr>
        <w:jc w:val="both"/>
        <w:rPr>
          <w:rFonts w:ascii="Avenir Next" w:hAnsi="Avenir Next" w:cs="Arial"/>
          <w:color w:val="7B7B7B" w:themeColor="accent3" w:themeShade="BF"/>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644A8C9C" w14:textId="77777777" w:rsidR="00E72B88" w:rsidRDefault="00E72B88"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Three recent examples of developments in the Middle East region are:</w:t>
      </w:r>
    </w:p>
    <w:p w14:paraId="5352B130" w14:textId="77777777" w:rsidR="00E72B88" w:rsidRDefault="00E72B88" w:rsidP="00C053F7">
      <w:pPr>
        <w:ind w:left="720" w:hanging="720"/>
        <w:jc w:val="both"/>
        <w:rPr>
          <w:rFonts w:ascii="Avenir Next" w:hAnsi="Avenir Next" w:cs="Arial"/>
          <w:color w:val="7B7B7B" w:themeColor="accent3" w:themeShade="BF"/>
          <w:sz w:val="22"/>
          <w:szCs w:val="22"/>
          <w:lang w:val="en-GB"/>
        </w:rPr>
      </w:pPr>
    </w:p>
    <w:p w14:paraId="78DB9FD8" w14:textId="1739B666" w:rsidR="00C72848" w:rsidRPr="00E72B88" w:rsidRDefault="00E72B88" w:rsidP="00E72B88">
      <w:pPr>
        <w:pStyle w:val="ListParagraph"/>
        <w:numPr>
          <w:ilvl w:val="0"/>
          <w:numId w:val="25"/>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Saudi Arabia's approval of new bankruptcy law in 2018</w:t>
      </w:r>
    </w:p>
    <w:p w14:paraId="75FBFB28" w14:textId="48073435" w:rsidR="00E72B88" w:rsidRPr="00E72B88" w:rsidRDefault="00E72B88" w:rsidP="00E72B88">
      <w:pPr>
        <w:pStyle w:val="ListParagraph"/>
        <w:numPr>
          <w:ilvl w:val="0"/>
          <w:numId w:val="25"/>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Dubai's enactment of a new Dubai International Financial Centre Insolvency Law in 2019</w:t>
      </w:r>
    </w:p>
    <w:p w14:paraId="576AACEB" w14:textId="05ADD305" w:rsidR="00E72B88" w:rsidRPr="00E72B88" w:rsidRDefault="00E72B88" w:rsidP="00E72B88">
      <w:pPr>
        <w:pStyle w:val="ListParagraph"/>
        <w:numPr>
          <w:ilvl w:val="0"/>
          <w:numId w:val="25"/>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Bahrain's adoption of the Model Law on Cross-Border Insolvency in 2018</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69FEF50C" w:rsidR="00544127" w:rsidRDefault="004D581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a number of differences regarding the objectives of insolvency for individuals and corporations, including:</w:t>
      </w:r>
    </w:p>
    <w:p w14:paraId="750BC23F" w14:textId="6D19C9BA" w:rsidR="004D581F" w:rsidRPr="001E62C6" w:rsidRDefault="004D581F" w:rsidP="00C053F7">
      <w:pPr>
        <w:jc w:val="both"/>
        <w:rPr>
          <w:rFonts w:ascii="Avenir Next" w:hAnsi="Avenir Next" w:cs="Arial"/>
          <w:color w:val="808080" w:themeColor="background1" w:themeShade="80"/>
          <w:sz w:val="22"/>
          <w:szCs w:val="22"/>
          <w:lang w:val="en-GB"/>
        </w:rPr>
      </w:pPr>
    </w:p>
    <w:p w14:paraId="3D859346" w14:textId="4D696B40" w:rsidR="004D581F" w:rsidRPr="001E62C6" w:rsidRDefault="004D581F" w:rsidP="004D581F">
      <w:pPr>
        <w:pStyle w:val="ListParagraph"/>
        <w:numPr>
          <w:ilvl w:val="0"/>
          <w:numId w:val="26"/>
        </w:numPr>
        <w:jc w:val="both"/>
        <w:rPr>
          <w:rFonts w:ascii="Avenir Next" w:hAnsi="Avenir Next" w:cs="Arial"/>
          <w:color w:val="808080" w:themeColor="background1" w:themeShade="80"/>
          <w:sz w:val="22"/>
          <w:szCs w:val="22"/>
          <w:lang w:val="en-GB"/>
        </w:rPr>
      </w:pPr>
      <w:r w:rsidRPr="001E62C6">
        <w:rPr>
          <w:rFonts w:ascii="Avenir Next" w:hAnsi="Avenir Next" w:cs="Arial"/>
          <w:color w:val="808080" w:themeColor="background1" w:themeShade="80"/>
          <w:sz w:val="22"/>
          <w:szCs w:val="22"/>
          <w:lang w:val="en-GB"/>
        </w:rPr>
        <w:t>Individuals are not "dissolved" after bankruptcy in the same way that a company is dissolved once its affairs have been wound up – insolvency for individuals must therefore account for the "continuation" of the individual;</w:t>
      </w:r>
    </w:p>
    <w:p w14:paraId="115CE7FF" w14:textId="10BE6FBD" w:rsidR="004D581F" w:rsidRPr="001E62C6" w:rsidRDefault="004D581F" w:rsidP="004D581F">
      <w:pPr>
        <w:pStyle w:val="ListParagraph"/>
        <w:numPr>
          <w:ilvl w:val="0"/>
          <w:numId w:val="26"/>
        </w:numPr>
        <w:jc w:val="both"/>
        <w:rPr>
          <w:rFonts w:ascii="Avenir Next" w:hAnsi="Avenir Next" w:cs="Arial"/>
          <w:color w:val="808080" w:themeColor="background1" w:themeShade="80"/>
          <w:sz w:val="22"/>
          <w:szCs w:val="22"/>
          <w:lang w:val="en-GB"/>
        </w:rPr>
      </w:pPr>
      <w:r w:rsidRPr="001E62C6">
        <w:rPr>
          <w:rFonts w:ascii="Avenir Next" w:hAnsi="Avenir Next" w:cs="Arial"/>
          <w:color w:val="808080" w:themeColor="background1" w:themeShade="80"/>
          <w:sz w:val="22"/>
          <w:szCs w:val="22"/>
          <w:lang w:val="en-GB"/>
        </w:rPr>
        <w:t>The objective for individuals is to enable the debtor to make a fresh start</w:t>
      </w:r>
      <w:r w:rsidR="00703E81" w:rsidRPr="001E62C6">
        <w:rPr>
          <w:rFonts w:ascii="Avenir Next" w:hAnsi="Avenir Next" w:cs="Arial"/>
          <w:color w:val="808080" w:themeColor="background1" w:themeShade="80"/>
          <w:sz w:val="22"/>
          <w:szCs w:val="22"/>
          <w:lang w:val="en-GB"/>
        </w:rPr>
        <w:t xml:space="preserve"> without the burden of pre-bankruptcy debt</w:t>
      </w:r>
      <w:r w:rsidRPr="001E62C6">
        <w:rPr>
          <w:rFonts w:ascii="Avenir Next" w:hAnsi="Avenir Next" w:cs="Arial"/>
          <w:color w:val="808080" w:themeColor="background1" w:themeShade="80"/>
          <w:sz w:val="22"/>
          <w:szCs w:val="22"/>
          <w:lang w:val="en-GB"/>
        </w:rPr>
        <w:t>; i</w:t>
      </w:r>
      <w:r w:rsidR="00703E81" w:rsidRPr="001E62C6">
        <w:rPr>
          <w:rFonts w:ascii="Avenir Next" w:hAnsi="Avenir Next" w:cs="Arial"/>
          <w:color w:val="808080" w:themeColor="background1" w:themeShade="80"/>
          <w:sz w:val="22"/>
          <w:szCs w:val="22"/>
          <w:lang w:val="en-GB"/>
        </w:rPr>
        <w:t>n comparison, corporations are normally dissolved after the winding up of the business;</w:t>
      </w:r>
    </w:p>
    <w:p w14:paraId="4A637290" w14:textId="38DEAE77" w:rsidR="00544127" w:rsidRPr="001E62C6" w:rsidRDefault="004D581F" w:rsidP="00F13BED">
      <w:pPr>
        <w:pStyle w:val="ListParagraph"/>
        <w:numPr>
          <w:ilvl w:val="0"/>
          <w:numId w:val="26"/>
        </w:numPr>
        <w:jc w:val="both"/>
        <w:rPr>
          <w:rFonts w:ascii="Avenir Next" w:hAnsi="Avenir Next" w:cs="Arial"/>
          <w:color w:val="808080" w:themeColor="background1" w:themeShade="80"/>
          <w:sz w:val="22"/>
          <w:szCs w:val="22"/>
          <w:lang w:val="en-GB"/>
        </w:rPr>
      </w:pPr>
      <w:r w:rsidRPr="001E62C6">
        <w:rPr>
          <w:rFonts w:ascii="Avenir Next" w:hAnsi="Avenir Next" w:cs="Arial"/>
          <w:color w:val="808080" w:themeColor="background1" w:themeShade="80"/>
          <w:sz w:val="22"/>
          <w:szCs w:val="22"/>
          <w:lang w:val="en-GB"/>
        </w:rPr>
        <w:t xml:space="preserve">The objective for individuals is to reduce indebtedness through contributions from present and future income and in some systems, the insolvent individual is allowed to keep some of the assets to maintain him or herself; in comparison, for corporations, the objective is to reduce indebtedness even if it will </w:t>
      </w:r>
      <w:r w:rsidR="001E62C6">
        <w:rPr>
          <w:rFonts w:ascii="Avenir Next" w:hAnsi="Avenir Next" w:cs="Arial"/>
          <w:color w:val="808080" w:themeColor="background1" w:themeShade="80"/>
          <w:sz w:val="22"/>
          <w:szCs w:val="22"/>
          <w:lang w:val="en-GB"/>
        </w:rPr>
        <w:t>end the life of the corporation.</w:t>
      </w: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64A69838" w:rsidR="00DF75F8" w:rsidRDefault="00F13BE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difficulties that may be encountered when dealing with insolvency law in a cross-border context include:</w:t>
      </w:r>
    </w:p>
    <w:p w14:paraId="662A8039" w14:textId="00CB3A60" w:rsidR="00F13BED" w:rsidRPr="001E62C6" w:rsidRDefault="00F13BED" w:rsidP="00F13BED">
      <w:pPr>
        <w:pStyle w:val="ListParagraph"/>
        <w:numPr>
          <w:ilvl w:val="0"/>
          <w:numId w:val="27"/>
        </w:numPr>
        <w:jc w:val="both"/>
        <w:rPr>
          <w:rFonts w:ascii="Avenir Next" w:hAnsi="Avenir Next" w:cs="Arial"/>
          <w:color w:val="808080" w:themeColor="background1" w:themeShade="80"/>
          <w:sz w:val="22"/>
          <w:szCs w:val="22"/>
          <w:lang w:val="en-GB"/>
        </w:rPr>
      </w:pPr>
      <w:r w:rsidRPr="001E62C6">
        <w:rPr>
          <w:rFonts w:ascii="Avenir Next" w:hAnsi="Avenir Next" w:cs="Arial"/>
          <w:color w:val="808080" w:themeColor="background1" w:themeShade="80"/>
          <w:sz w:val="22"/>
          <w:szCs w:val="22"/>
          <w:lang w:val="en-GB"/>
        </w:rPr>
        <w:t>The definition of insolvency – different systems may define the term insolvency differently.  For example, some systems may consider a short term inability to service debts sufficient to commence insolvency proceedings, whereas other systems might require long term negative net worth to commence insolvency proceedings;</w:t>
      </w:r>
    </w:p>
    <w:p w14:paraId="0F8B317F" w14:textId="1089E1E2" w:rsidR="00F13BED" w:rsidRPr="001E62C6" w:rsidRDefault="00B776D3" w:rsidP="00F13BED">
      <w:pPr>
        <w:pStyle w:val="ListParagraph"/>
        <w:numPr>
          <w:ilvl w:val="0"/>
          <w:numId w:val="27"/>
        </w:numPr>
        <w:jc w:val="both"/>
        <w:rPr>
          <w:rFonts w:ascii="Avenir Next" w:hAnsi="Avenir Next" w:cs="Arial"/>
          <w:color w:val="808080" w:themeColor="background1" w:themeShade="80"/>
          <w:sz w:val="22"/>
          <w:szCs w:val="22"/>
          <w:lang w:val="en-GB"/>
        </w:rPr>
      </w:pPr>
      <w:r w:rsidRPr="001E62C6">
        <w:rPr>
          <w:rFonts w:ascii="Avenir Next" w:hAnsi="Avenir Next" w:cs="Arial"/>
          <w:color w:val="808080" w:themeColor="background1" w:themeShade="80"/>
          <w:sz w:val="22"/>
          <w:szCs w:val="22"/>
          <w:lang w:val="en-GB"/>
        </w:rPr>
        <w:t>Differences in domestic norms that have an impact on the position of creditors and the priorities they assert i</w:t>
      </w:r>
      <w:r w:rsidR="00E93876" w:rsidRPr="001E62C6">
        <w:rPr>
          <w:rFonts w:ascii="Avenir Next" w:hAnsi="Avenir Next" w:cs="Arial"/>
          <w:color w:val="808080" w:themeColor="background1" w:themeShade="80"/>
          <w:sz w:val="22"/>
          <w:szCs w:val="22"/>
          <w:lang w:val="en-GB"/>
        </w:rPr>
        <w:t>n insolvency;</w:t>
      </w:r>
    </w:p>
    <w:p w14:paraId="255292E3" w14:textId="74E27DFA" w:rsidR="00B776D3" w:rsidRPr="001E62C6" w:rsidRDefault="00E93876" w:rsidP="00F13BED">
      <w:pPr>
        <w:pStyle w:val="ListParagraph"/>
        <w:numPr>
          <w:ilvl w:val="0"/>
          <w:numId w:val="27"/>
        </w:numPr>
        <w:jc w:val="both"/>
        <w:rPr>
          <w:rFonts w:ascii="Avenir Next" w:hAnsi="Avenir Next" w:cs="Arial"/>
          <w:color w:val="808080" w:themeColor="background1" w:themeShade="80"/>
          <w:sz w:val="22"/>
          <w:szCs w:val="22"/>
          <w:lang w:val="en-GB"/>
        </w:rPr>
      </w:pPr>
      <w:r w:rsidRPr="001E62C6">
        <w:rPr>
          <w:rFonts w:ascii="Avenir Next" w:hAnsi="Avenir Next" w:cs="Arial"/>
          <w:color w:val="808080" w:themeColor="background1" w:themeShade="80"/>
          <w:sz w:val="22"/>
          <w:szCs w:val="22"/>
          <w:lang w:val="en-GB"/>
        </w:rPr>
        <w:t>Differences in domestic laws as to the ability to avoid transactions;</w:t>
      </w:r>
    </w:p>
    <w:p w14:paraId="3DAA6780" w14:textId="3C216313" w:rsidR="00962045" w:rsidRPr="001E62C6" w:rsidRDefault="00E93876" w:rsidP="00C053F7">
      <w:pPr>
        <w:pStyle w:val="ListParagraph"/>
        <w:numPr>
          <w:ilvl w:val="0"/>
          <w:numId w:val="27"/>
        </w:numPr>
        <w:jc w:val="both"/>
        <w:rPr>
          <w:rFonts w:ascii="Avenir Next" w:hAnsi="Avenir Next" w:cs="Arial"/>
          <w:color w:val="808080" w:themeColor="background1" w:themeShade="80"/>
          <w:sz w:val="22"/>
          <w:szCs w:val="22"/>
          <w:lang w:val="en-GB"/>
        </w:rPr>
      </w:pPr>
      <w:r w:rsidRPr="001E62C6">
        <w:rPr>
          <w:rFonts w:ascii="Avenir Next" w:hAnsi="Avenir Next" w:cs="Arial"/>
          <w:color w:val="808080" w:themeColor="background1" w:themeShade="80"/>
          <w:sz w:val="22"/>
          <w:szCs w:val="22"/>
          <w:lang w:val="en-GB"/>
        </w:rPr>
        <w:t>Differences as to how domestic laws treat conflicts of laws issues.</w:t>
      </w: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1FDABDE4" w:rsidR="00DF75F8" w:rsidRDefault="00E9387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multilateral steps that have been taken to promote harmonisation of domestic insolvency laws</w:t>
      </w:r>
      <w:r w:rsidR="00DC7626">
        <w:rPr>
          <w:rFonts w:ascii="Avenir Next" w:hAnsi="Avenir Next" w:cs="Arial"/>
          <w:color w:val="7B7B7B" w:themeColor="accent3" w:themeShade="BF"/>
          <w:sz w:val="22"/>
          <w:szCs w:val="22"/>
          <w:lang w:val="en-GB"/>
        </w:rPr>
        <w:t xml:space="preserve"> include:</w:t>
      </w:r>
    </w:p>
    <w:p w14:paraId="4ADF8AD6" w14:textId="47A0D26D" w:rsidR="00E93876" w:rsidRDefault="00E93876" w:rsidP="00C053F7">
      <w:pPr>
        <w:jc w:val="both"/>
        <w:rPr>
          <w:rFonts w:ascii="Avenir Next" w:hAnsi="Avenir Next" w:cs="Arial"/>
          <w:color w:val="7B7B7B" w:themeColor="accent3" w:themeShade="BF"/>
          <w:sz w:val="22"/>
          <w:szCs w:val="22"/>
          <w:lang w:val="en-GB"/>
        </w:rPr>
      </w:pPr>
    </w:p>
    <w:p w14:paraId="4AE7EA78" w14:textId="49E584DE" w:rsidR="007D7C92" w:rsidRPr="001E62C6" w:rsidRDefault="00E93876" w:rsidP="00E93876">
      <w:pPr>
        <w:pStyle w:val="ListParagraph"/>
        <w:numPr>
          <w:ilvl w:val="0"/>
          <w:numId w:val="28"/>
        </w:numPr>
        <w:jc w:val="both"/>
        <w:rPr>
          <w:rFonts w:ascii="Avenir Next" w:hAnsi="Avenir Next" w:cs="Arial"/>
          <w:color w:val="808080" w:themeColor="background1" w:themeShade="80"/>
          <w:sz w:val="22"/>
          <w:szCs w:val="22"/>
          <w:lang w:val="en-GB"/>
        </w:rPr>
      </w:pPr>
      <w:r w:rsidRPr="001E62C6">
        <w:rPr>
          <w:rFonts w:ascii="Avenir Next" w:hAnsi="Avenir Next" w:cs="Arial"/>
          <w:color w:val="808080" w:themeColor="background1" w:themeShade="80"/>
          <w:sz w:val="22"/>
          <w:szCs w:val="22"/>
          <w:lang w:val="en-GB"/>
        </w:rPr>
        <w:t>Work by the United Nations Commission on International Trade Law, including work by Working Group V on the development of mechanisms and solutions to resolve the insolvency of micro, small and medium-sized enterprises,  the completion of various texts on insolvency (including the UNCITRAL Legislative Guide on Secured Transactions, UNCITRAL Legislative Guide on Secured Transactions Supplement on Security Rights in Intellectual Property and the UNCITRAL Model Law on Secured Transactions</w:t>
      </w:r>
      <w:r w:rsidR="00DC7626" w:rsidRPr="001E62C6">
        <w:rPr>
          <w:rFonts w:ascii="Avenir Next" w:hAnsi="Avenir Next" w:cs="Arial"/>
          <w:color w:val="808080" w:themeColor="background1" w:themeShade="80"/>
          <w:sz w:val="22"/>
          <w:szCs w:val="22"/>
          <w:lang w:val="en-GB"/>
        </w:rPr>
        <w:t xml:space="preserve"> (2016); Guide to Enactment (2017) and </w:t>
      </w:r>
      <w:r w:rsidR="00DC7626" w:rsidRPr="001E62C6">
        <w:rPr>
          <w:rFonts w:ascii="Avenir Next" w:hAnsi="Avenir Next" w:cs="Arial"/>
          <w:color w:val="808080" w:themeColor="background1" w:themeShade="80"/>
          <w:sz w:val="22"/>
          <w:szCs w:val="22"/>
          <w:lang w:val="en-GB"/>
        </w:rPr>
        <w:lastRenderedPageBreak/>
        <w:t>Practice Guide (2019),</w:t>
      </w:r>
      <w:r w:rsidRPr="001E62C6">
        <w:rPr>
          <w:rFonts w:ascii="Avenir Next" w:hAnsi="Avenir Next" w:cs="Arial"/>
          <w:color w:val="808080" w:themeColor="background1" w:themeShade="80"/>
          <w:sz w:val="22"/>
          <w:szCs w:val="22"/>
          <w:lang w:val="en-GB"/>
        </w:rPr>
        <w:t xml:space="preserve"> and the completion of various UNCITRAL Model Law on Insolvency (including the UNCITRAL Model Law on Enterprise Group insolvency with Guide to Enactment 2019, the UNCITRAL Legislative Guide on Insolvency Law, UNCITRAL Model Law on Cross-Border Insolvency and UNCITRAL Practice Guide on Cross-Border Insolvency Cooperation). </w:t>
      </w:r>
    </w:p>
    <w:p w14:paraId="05270A66" w14:textId="5435B75C" w:rsidR="00DC7626" w:rsidRPr="001E62C6" w:rsidRDefault="00DC7626" w:rsidP="00E93876">
      <w:pPr>
        <w:pStyle w:val="ListParagraph"/>
        <w:numPr>
          <w:ilvl w:val="0"/>
          <w:numId w:val="28"/>
        </w:numPr>
        <w:jc w:val="both"/>
        <w:rPr>
          <w:rFonts w:ascii="Avenir Next" w:hAnsi="Avenir Next" w:cs="Arial"/>
          <w:color w:val="808080" w:themeColor="background1" w:themeShade="80"/>
          <w:sz w:val="22"/>
          <w:szCs w:val="22"/>
          <w:lang w:val="en-GB"/>
        </w:rPr>
      </w:pPr>
      <w:r w:rsidRPr="001E62C6">
        <w:rPr>
          <w:rFonts w:ascii="Avenir Next" w:hAnsi="Avenir Next" w:cs="Arial"/>
          <w:color w:val="808080" w:themeColor="background1" w:themeShade="80"/>
          <w:sz w:val="22"/>
          <w:szCs w:val="22"/>
          <w:lang w:val="en-GB"/>
        </w:rPr>
        <w:t>Work by the International Institute for the Unification of Private Law, including completed texts and work done pertaining to the harmonisation of rules in cases of an insolvency of a bank;</w:t>
      </w:r>
    </w:p>
    <w:p w14:paraId="2BC81D97" w14:textId="4FFFF7B8" w:rsidR="00DC7626" w:rsidRPr="001E62C6" w:rsidRDefault="00DC7626" w:rsidP="00E93876">
      <w:pPr>
        <w:pStyle w:val="ListParagraph"/>
        <w:numPr>
          <w:ilvl w:val="0"/>
          <w:numId w:val="28"/>
        </w:numPr>
        <w:jc w:val="both"/>
        <w:rPr>
          <w:rFonts w:ascii="Avenir Next" w:hAnsi="Avenir Next" w:cs="Arial"/>
          <w:color w:val="808080" w:themeColor="background1" w:themeShade="80"/>
          <w:sz w:val="22"/>
          <w:szCs w:val="22"/>
          <w:lang w:val="en-GB"/>
        </w:rPr>
      </w:pPr>
      <w:r w:rsidRPr="001E62C6">
        <w:rPr>
          <w:rFonts w:ascii="Avenir Next" w:hAnsi="Avenir Next" w:cs="Arial"/>
          <w:color w:val="808080" w:themeColor="background1" w:themeShade="80"/>
          <w:sz w:val="22"/>
          <w:szCs w:val="22"/>
          <w:lang w:val="en-GB"/>
        </w:rPr>
        <w:t>Work by the International Lawyers Association , including the proposal to develop an international convention in the field of international insolvency law</w:t>
      </w:r>
    </w:p>
    <w:p w14:paraId="29CF3373" w14:textId="4DC1F34E" w:rsidR="00DC7626" w:rsidRPr="001E62C6" w:rsidRDefault="00DC7626" w:rsidP="00E93876">
      <w:pPr>
        <w:pStyle w:val="ListParagraph"/>
        <w:numPr>
          <w:ilvl w:val="0"/>
          <w:numId w:val="28"/>
        </w:numPr>
        <w:jc w:val="both"/>
        <w:rPr>
          <w:rFonts w:ascii="Avenir Next" w:hAnsi="Avenir Next" w:cs="Arial"/>
          <w:color w:val="808080" w:themeColor="background1" w:themeShade="80"/>
          <w:sz w:val="22"/>
          <w:szCs w:val="22"/>
          <w:lang w:val="en-GB"/>
        </w:rPr>
      </w:pPr>
      <w:r w:rsidRPr="001E62C6">
        <w:rPr>
          <w:rFonts w:ascii="Avenir Next" w:hAnsi="Avenir Next" w:cs="Arial"/>
          <w:color w:val="808080" w:themeColor="background1" w:themeShade="80"/>
          <w:sz w:val="22"/>
          <w:szCs w:val="22"/>
          <w:lang w:val="en-GB"/>
        </w:rPr>
        <w:t xml:space="preserve">Work by the International Bar Association </w:t>
      </w:r>
    </w:p>
    <w:p w14:paraId="249FC856" w14:textId="2D553FE1" w:rsidR="00DC7626" w:rsidRPr="001E62C6" w:rsidRDefault="00DC7626" w:rsidP="00E93876">
      <w:pPr>
        <w:pStyle w:val="ListParagraph"/>
        <w:numPr>
          <w:ilvl w:val="0"/>
          <w:numId w:val="28"/>
        </w:numPr>
        <w:jc w:val="both"/>
        <w:rPr>
          <w:rFonts w:ascii="Avenir Next" w:hAnsi="Avenir Next" w:cs="Arial"/>
          <w:color w:val="808080" w:themeColor="background1" w:themeShade="80"/>
          <w:sz w:val="22"/>
          <w:szCs w:val="22"/>
          <w:lang w:val="en-GB"/>
        </w:rPr>
      </w:pPr>
      <w:r w:rsidRPr="001E62C6">
        <w:rPr>
          <w:rFonts w:ascii="Avenir Next" w:hAnsi="Avenir Next" w:cs="Arial"/>
          <w:color w:val="808080" w:themeColor="background1" w:themeShade="80"/>
          <w:sz w:val="22"/>
          <w:szCs w:val="22"/>
          <w:lang w:val="en-GB"/>
        </w:rPr>
        <w:t>Work by the international Insolvency Institute</w:t>
      </w:r>
    </w:p>
    <w:p w14:paraId="3A805F26" w14:textId="3FF57048" w:rsidR="00DC7626" w:rsidRPr="001E62C6" w:rsidRDefault="00DC7626" w:rsidP="00E93876">
      <w:pPr>
        <w:pStyle w:val="ListParagraph"/>
        <w:numPr>
          <w:ilvl w:val="0"/>
          <w:numId w:val="28"/>
        </w:numPr>
        <w:jc w:val="both"/>
        <w:rPr>
          <w:rFonts w:ascii="Avenir Next" w:hAnsi="Avenir Next" w:cs="Arial"/>
          <w:color w:val="808080" w:themeColor="background1" w:themeShade="80"/>
          <w:sz w:val="22"/>
          <w:szCs w:val="22"/>
          <w:lang w:val="en-GB"/>
        </w:rPr>
      </w:pPr>
      <w:r w:rsidRPr="001E62C6">
        <w:rPr>
          <w:rFonts w:ascii="Avenir Next" w:hAnsi="Avenir Next" w:cs="Arial"/>
          <w:color w:val="808080" w:themeColor="background1" w:themeShade="80"/>
          <w:sz w:val="22"/>
          <w:szCs w:val="22"/>
          <w:lang w:val="en-GB"/>
        </w:rPr>
        <w:t>Work by INSOL International</w:t>
      </w:r>
    </w:p>
    <w:p w14:paraId="3BB87FAE" w14:textId="6DB933BD" w:rsidR="00DC7626" w:rsidRPr="001E62C6" w:rsidRDefault="00DC7626" w:rsidP="00DC7626">
      <w:pPr>
        <w:jc w:val="both"/>
        <w:rPr>
          <w:rFonts w:ascii="Avenir Next" w:hAnsi="Avenir Next" w:cs="Arial"/>
          <w:color w:val="808080" w:themeColor="background1" w:themeShade="80"/>
          <w:sz w:val="22"/>
          <w:szCs w:val="22"/>
          <w:lang w:val="en-GB"/>
        </w:rPr>
      </w:pPr>
    </w:p>
    <w:p w14:paraId="7502DC1B" w14:textId="4D3F243B" w:rsidR="00DC7626" w:rsidRPr="00DC7626" w:rsidRDefault="00DC7626" w:rsidP="00DC7626">
      <w:pPr>
        <w:jc w:val="both"/>
        <w:rPr>
          <w:rFonts w:ascii="Avenir Next" w:hAnsi="Avenir Next" w:cs="Arial"/>
          <w:color w:val="7B7B7B" w:themeColor="accent3" w:themeShade="BF"/>
          <w:sz w:val="22"/>
          <w:szCs w:val="22"/>
          <w:lang w:val="en-GB"/>
        </w:rPr>
      </w:pPr>
      <w:r w:rsidRPr="00DC7626">
        <w:rPr>
          <w:rFonts w:ascii="Avenir Next" w:hAnsi="Avenir Next" w:cs="Arial"/>
          <w:color w:val="7B7B7B" w:themeColor="accent3" w:themeShade="BF"/>
          <w:sz w:val="22"/>
          <w:szCs w:val="22"/>
          <w:lang w:val="en-GB"/>
        </w:rPr>
        <w:t xml:space="preserve">The steps are likely to have positive and influential impact in addressing international </w:t>
      </w:r>
      <w:r>
        <w:rPr>
          <w:rFonts w:ascii="Avenir Next" w:hAnsi="Avenir Next" w:cs="Arial"/>
          <w:color w:val="7B7B7B" w:themeColor="accent3" w:themeShade="BF"/>
          <w:sz w:val="22"/>
          <w:szCs w:val="22"/>
          <w:lang w:val="en-GB"/>
        </w:rPr>
        <w:t>insolvency issues.  This is because the work has been done collaboratively through the input of people through various jurisdictions and with different views.  The creation of reference texts and Model laws, in particular, provide a reference point for practitioners and Courts in addressing international insolvency issues in a common manner.</w:t>
      </w:r>
    </w:p>
    <w:p w14:paraId="111EA170" w14:textId="77777777" w:rsidR="00D17FDC" w:rsidRPr="00827D56" w:rsidRDefault="00D17FDC" w:rsidP="00C053F7">
      <w:pPr>
        <w:ind w:left="720" w:hanging="720"/>
        <w:jc w:val="both"/>
        <w:rPr>
          <w:rFonts w:ascii="Avenir Next" w:hAnsi="Avenir Next" w:cs="Arial"/>
          <w:sz w:val="22"/>
          <w:szCs w:val="22"/>
          <w:lang w:val="en-GB"/>
        </w:rPr>
      </w:pPr>
      <w:bookmarkStart w:id="0" w:name="_GoBack"/>
      <w:bookmarkEnd w:id="0"/>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1"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74A23381" w:rsidR="002F75A3" w:rsidRPr="00827D56" w:rsidRDefault="00004CD0"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Cross-border Insolvency Act of Utopia will be relevant in the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liquidator applying to the Utopian Court for recognition of their appointment as liquidator in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(pursuant to Article 15 of the Model Law).  The effect of recognition will be to stay the continuation of the Apex action against Nadir in Utopia (pursuant to Article 20(1)(a).</w:t>
      </w:r>
      <w:r w:rsidR="002877CE">
        <w:rPr>
          <w:rFonts w:ascii="Avenir Next" w:hAnsi="Avenir Next" w:cs="Arial"/>
          <w:color w:val="7B7B7B" w:themeColor="accent3" w:themeShade="BF"/>
          <w:sz w:val="22"/>
          <w:szCs w:val="22"/>
          <w:lang w:val="en-GB"/>
        </w:rPr>
        <w:t xml:space="preserve">  The </w:t>
      </w:r>
      <w:proofErr w:type="spellStart"/>
      <w:r w:rsidR="002877CE">
        <w:rPr>
          <w:rFonts w:ascii="Avenir Next" w:hAnsi="Avenir Next" w:cs="Arial"/>
          <w:color w:val="7B7B7B" w:themeColor="accent3" w:themeShade="BF"/>
          <w:sz w:val="22"/>
          <w:szCs w:val="22"/>
          <w:lang w:val="en-GB"/>
        </w:rPr>
        <w:t>Erewhon</w:t>
      </w:r>
      <w:proofErr w:type="spellEnd"/>
      <w:r w:rsidR="002877CE">
        <w:rPr>
          <w:rFonts w:ascii="Avenir Next" w:hAnsi="Avenir Next" w:cs="Arial"/>
          <w:color w:val="7B7B7B" w:themeColor="accent3" w:themeShade="BF"/>
          <w:sz w:val="22"/>
          <w:szCs w:val="22"/>
          <w:lang w:val="en-GB"/>
        </w:rPr>
        <w:t xml:space="preserve"> liquidator will also have the ability under Article 24 to intervene in any proceedings against Nadir in Utopia.</w:t>
      </w:r>
      <w:r>
        <w:rPr>
          <w:rFonts w:ascii="Avenir Next" w:hAnsi="Avenir Next" w:cs="Arial"/>
          <w:color w:val="7B7B7B" w:themeColor="accent3" w:themeShade="BF"/>
          <w:sz w:val="22"/>
          <w:szCs w:val="22"/>
          <w:lang w:val="en-GB"/>
        </w:rPr>
        <w:t xml:space="preserve">  </w:t>
      </w:r>
      <w:r w:rsidR="0037767D">
        <w:rPr>
          <w:rFonts w:ascii="Avenir Next" w:hAnsi="Avenir Next" w:cs="Arial"/>
          <w:color w:val="7B7B7B" w:themeColor="accent3" w:themeShade="BF"/>
          <w:sz w:val="22"/>
          <w:szCs w:val="22"/>
          <w:lang w:val="en-GB"/>
        </w:rPr>
        <w:t xml:space="preserve">The recognition will also </w:t>
      </w:r>
      <w:r w:rsidR="0037767D">
        <w:rPr>
          <w:rFonts w:ascii="Avenir Next" w:hAnsi="Avenir Next" w:cs="Arial"/>
          <w:color w:val="7B7B7B" w:themeColor="accent3" w:themeShade="BF"/>
          <w:sz w:val="22"/>
          <w:szCs w:val="22"/>
          <w:lang w:val="en-GB"/>
        </w:rPr>
        <w:lastRenderedPageBreak/>
        <w:t xml:space="preserve">mean that the </w:t>
      </w:r>
      <w:proofErr w:type="spellStart"/>
      <w:r w:rsidR="0037767D">
        <w:rPr>
          <w:rFonts w:ascii="Avenir Next" w:hAnsi="Avenir Next" w:cs="Arial"/>
          <w:color w:val="7B7B7B" w:themeColor="accent3" w:themeShade="BF"/>
          <w:sz w:val="22"/>
          <w:szCs w:val="22"/>
          <w:lang w:val="en-GB"/>
        </w:rPr>
        <w:t>Erewhon</w:t>
      </w:r>
      <w:proofErr w:type="spellEnd"/>
      <w:r w:rsidR="0037767D">
        <w:rPr>
          <w:rFonts w:ascii="Avenir Next" w:hAnsi="Avenir Next" w:cs="Arial"/>
          <w:color w:val="7B7B7B" w:themeColor="accent3" w:themeShade="BF"/>
          <w:sz w:val="22"/>
          <w:szCs w:val="22"/>
          <w:lang w:val="en-GB"/>
        </w:rPr>
        <w:t xml:space="preserve"> liquidator can request additional relief including the examination of witnesses and the stay of execution against Nadir's assets in Utopia. </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2B1AE073" w:rsidR="002D3473" w:rsidRDefault="00B41352"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event of 4.2(a), the Cross-border Insolvency Act of Utopia remains relevant in that</w:t>
      </w:r>
      <w:r w:rsidR="00C641E7">
        <w:rPr>
          <w:rFonts w:ascii="Avenir Next" w:hAnsi="Avenir Next" w:cs="Arial"/>
          <w:color w:val="7B7B7B" w:themeColor="accent3" w:themeShade="BF"/>
          <w:sz w:val="22"/>
          <w:szCs w:val="22"/>
          <w:lang w:val="en-GB"/>
        </w:rPr>
        <w:t xml:space="preserve"> Article 29 </w:t>
      </w:r>
      <w:r w:rsidR="002877CE">
        <w:rPr>
          <w:rFonts w:ascii="Avenir Next" w:hAnsi="Avenir Next" w:cs="Arial"/>
          <w:color w:val="7B7B7B" w:themeColor="accent3" w:themeShade="BF"/>
          <w:sz w:val="22"/>
          <w:szCs w:val="22"/>
          <w:lang w:val="en-GB"/>
        </w:rPr>
        <w:t>contemplates concurrent proceedings regarding the same debtor and provides that the court shall seek cooperation and coordination.  Apex's winding up proceedings will not however be stayed under the Cross-border Insolvency Act of Utopia.</w:t>
      </w:r>
    </w:p>
    <w:p w14:paraId="26356845" w14:textId="77777777" w:rsidR="00C641E7" w:rsidRDefault="00C641E7"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1B5E2F08" w14:textId="60543E0F" w:rsidR="002D3473" w:rsidRPr="00827D56" w:rsidRDefault="00B41352"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 the event of 4.2(b), the Cross-border Insolvency Act of Utopia remains relevant in that Article 29 provides that the Utopian court shall seek cooperation and coordination where a foreign proceeding and a proceeding under Utopian law are taking place concurrently regarding the same debtor.</w:t>
      </w:r>
      <w:r w:rsidR="002877CE">
        <w:rPr>
          <w:rFonts w:ascii="Avenir Next" w:hAnsi="Avenir Next" w:cs="Arial"/>
          <w:color w:val="7B7B7B" w:themeColor="accent3" w:themeShade="BF"/>
          <w:sz w:val="22"/>
          <w:szCs w:val="22"/>
          <w:lang w:val="en-GB"/>
        </w:rPr>
        <w:t xml:space="preserve">  The court order to wind-up Nadir in Utopia will not however be stayed under the Cross-border Insolvency Act of Utopia.</w:t>
      </w: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1"/>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0D6984A5" w14:textId="3FF92E41" w:rsidR="00743E0E" w:rsidRDefault="00743E0E"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company is incorporated in </w:t>
      </w:r>
      <w:r w:rsidR="00995FAE">
        <w:rPr>
          <w:rFonts w:ascii="Avenir Next" w:hAnsi="Avenir Next" w:cs="Arial"/>
          <w:color w:val="7B7B7B" w:themeColor="accent3" w:themeShade="BF"/>
          <w:sz w:val="22"/>
          <w:szCs w:val="22"/>
          <w:lang w:val="en-GB"/>
        </w:rPr>
        <w:t xml:space="preserve">Singapore </w:t>
      </w:r>
      <w:r>
        <w:rPr>
          <w:rFonts w:ascii="Avenir Next" w:hAnsi="Avenir Next" w:cs="Arial"/>
          <w:color w:val="7B7B7B" w:themeColor="accent3" w:themeShade="BF"/>
          <w:sz w:val="22"/>
          <w:szCs w:val="22"/>
          <w:lang w:val="en-GB"/>
        </w:rPr>
        <w:t>and the insolvency laws of</w:t>
      </w:r>
      <w:r w:rsidR="00995FAE">
        <w:rPr>
          <w:rFonts w:ascii="Avenir Next" w:hAnsi="Avenir Next" w:cs="Arial"/>
          <w:color w:val="7B7B7B" w:themeColor="accent3" w:themeShade="BF"/>
          <w:sz w:val="22"/>
          <w:szCs w:val="22"/>
          <w:lang w:val="en-GB"/>
        </w:rPr>
        <w:t xml:space="preserve"> Singapore </w:t>
      </w:r>
      <w:r w:rsidR="00456F6F">
        <w:rPr>
          <w:rFonts w:ascii="Avenir Next" w:hAnsi="Avenir Next" w:cs="Arial"/>
          <w:color w:val="7B7B7B" w:themeColor="accent3" w:themeShade="BF"/>
          <w:sz w:val="22"/>
          <w:szCs w:val="22"/>
          <w:lang w:val="en-GB"/>
        </w:rPr>
        <w:t>are</w:t>
      </w:r>
      <w:r>
        <w:rPr>
          <w:rFonts w:ascii="Avenir Next" w:hAnsi="Avenir Next" w:cs="Arial"/>
          <w:color w:val="7B7B7B" w:themeColor="accent3" w:themeShade="BF"/>
          <w:sz w:val="22"/>
          <w:szCs w:val="22"/>
          <w:lang w:val="en-GB"/>
        </w:rPr>
        <w:t xml:space="preserve"> applicable. Four key international insolvency issues facing the insolvency representative in this scenario are:</w:t>
      </w:r>
    </w:p>
    <w:p w14:paraId="1CF69A61" w14:textId="038EABA8" w:rsidR="00743E0E" w:rsidRDefault="00743E0E" w:rsidP="00C053F7">
      <w:pPr>
        <w:jc w:val="both"/>
        <w:rPr>
          <w:rFonts w:ascii="Avenir Next" w:hAnsi="Avenir Next" w:cs="Arial"/>
          <w:color w:val="7B7B7B" w:themeColor="accent3" w:themeShade="BF"/>
          <w:sz w:val="22"/>
          <w:szCs w:val="22"/>
          <w:lang w:val="en-GB"/>
        </w:rPr>
      </w:pPr>
    </w:p>
    <w:p w14:paraId="135C0820" w14:textId="4E4E184B" w:rsidR="00743E0E" w:rsidRDefault="00456F6F" w:rsidP="00743E0E">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 the insolvency representative is to take control of and realise the company's foreign assets.  In this respect, the UNCITRAL Model Law would apply to allow the insolvency representative to apply for recognition of their appointment in the foreign jurisdictions where the company's assets are located. </w:t>
      </w:r>
    </w:p>
    <w:p w14:paraId="2506DE73" w14:textId="6182D8C7" w:rsidR="00456F6F" w:rsidRDefault="00456F6F" w:rsidP="00743E0E">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 the insolvency representative is to examine directors for information in respect of the company, if they are based in foreign jurisdictions.  In this respect, the UNCITRAL Model Law would apply to allow the insolvency representative to apply for recognition of their appointment in the foreign jurisdiction and for relief that the insolvency representative be </w:t>
      </w:r>
      <w:r>
        <w:rPr>
          <w:rFonts w:ascii="Avenir Next" w:hAnsi="Avenir Next" w:cs="Arial"/>
          <w:color w:val="7B7B7B" w:themeColor="accent3" w:themeShade="BF"/>
          <w:sz w:val="22"/>
          <w:szCs w:val="22"/>
          <w:lang w:val="en-GB"/>
        </w:rPr>
        <w:lastRenderedPageBreak/>
        <w:t>entitled to examine the directors and for the delivery of information concerning the company's assets, affairs, rights, obligations or liabilities.</w:t>
      </w:r>
    </w:p>
    <w:p w14:paraId="73C33BCE" w14:textId="1B436965" w:rsidR="00456F6F" w:rsidRDefault="00434B5E" w:rsidP="00743E0E">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 the insolvency representative is to deal with creditors based in foreign jurisdictions.  In this respect, the UNCITRAL Model Law would apply to allow the insolvency representative to apply for recognition of their appointment in the foreign jurisdiction which would have the effect of staying individual proceedings brought by creditors.  In the event that creditors in foreign jurisdictions bring winding up proceedings against the company</w:t>
      </w:r>
      <w:r w:rsidR="00995FAE">
        <w:rPr>
          <w:rFonts w:ascii="Avenir Next" w:hAnsi="Avenir Next" w:cs="Arial"/>
          <w:color w:val="7B7B7B" w:themeColor="accent3" w:themeShade="BF"/>
          <w:sz w:val="22"/>
          <w:szCs w:val="22"/>
          <w:lang w:val="en-GB"/>
        </w:rPr>
        <w:t xml:space="preserve"> in their foreign jurisdictions</w:t>
      </w:r>
      <w:r>
        <w:rPr>
          <w:rFonts w:ascii="Avenir Next" w:hAnsi="Avenir Next" w:cs="Arial"/>
          <w:color w:val="7B7B7B" w:themeColor="accent3" w:themeShade="BF"/>
          <w:sz w:val="22"/>
          <w:szCs w:val="22"/>
          <w:lang w:val="en-GB"/>
        </w:rPr>
        <w:t xml:space="preserve">, the UNCITRAL Model Law provides for cooperation </w:t>
      </w:r>
      <w:r w:rsidR="00995FAE">
        <w:rPr>
          <w:rFonts w:ascii="Avenir Next" w:hAnsi="Avenir Next" w:cs="Arial"/>
          <w:color w:val="7B7B7B" w:themeColor="accent3" w:themeShade="BF"/>
          <w:sz w:val="22"/>
          <w:szCs w:val="22"/>
          <w:lang w:val="en-GB"/>
        </w:rPr>
        <w:t>with foreign courts and foreign representatives.</w:t>
      </w:r>
    </w:p>
    <w:p w14:paraId="3D005835" w14:textId="3C7C07D3" w:rsidR="00434B5E" w:rsidRPr="00743E0E" w:rsidRDefault="00995FAE" w:rsidP="00743E0E">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 the insolvency representative is to deal with foreign appointed insolvency representatives that have been appointed over the company.  In this respect, the Singapore Insolvency, Restructuring and Dissolution Act 2018 adopts the UNCITRAL Model Law and provides for cooperation with foreign courts and foreign representatives.</w:t>
      </w:r>
    </w:p>
    <w:p w14:paraId="35D8F287" w14:textId="09947A52"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D545AC1"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001E62C6">
          <w:rPr>
            <w:rStyle w:val="PageNumber"/>
            <w:rFonts w:ascii="Avenir Next" w:hAnsi="Avenir Next" w:cs="Arial"/>
            <w:noProof/>
            <w:sz w:val="22"/>
            <w:szCs w:val="22"/>
          </w:rPr>
          <w:t>12</w:t>
        </w:r>
        <w:r w:rsidRPr="009634F4">
          <w:rPr>
            <w:rStyle w:val="PageNumber"/>
            <w:rFonts w:ascii="Avenir Next" w:hAnsi="Avenir Next" w:cs="Arial"/>
            <w:sz w:val="22"/>
            <w:szCs w:val="22"/>
          </w:rPr>
          <w:fldChar w:fldCharType="end"/>
        </w:r>
      </w:p>
    </w:sdtContent>
  </w:sdt>
  <w:p w14:paraId="5323D6A8" w14:textId="77777777" w:rsidR="00126C92" w:rsidRDefault="00126C92" w:rsidP="00126C92">
    <w:pPr>
      <w:pStyle w:val="NormalWeb"/>
      <w:spacing w:before="0" w:beforeAutospacing="0" w:after="0" w:afterAutospacing="0" w:line="270" w:lineRule="atLeast"/>
      <w:rPr>
        <w:rFonts w:ascii="Arial" w:hAnsi="Arial" w:cs="Arial"/>
        <w:color w:val="FFFFFF"/>
        <w:sz w:val="21"/>
        <w:szCs w:val="21"/>
      </w:rPr>
    </w:pPr>
    <w:r>
      <w:rPr>
        <w:rFonts w:ascii="Arial" w:hAnsi="Arial" w:cs="Arial"/>
        <w:color w:val="FFFFFF"/>
        <w:sz w:val="21"/>
        <w:szCs w:val="21"/>
      </w:rPr>
      <w:t>202223-915</w:t>
    </w:r>
  </w:p>
  <w:p w14:paraId="120BA9A5" w14:textId="25C98524" w:rsidR="00AD6A7D" w:rsidRPr="009634F4" w:rsidRDefault="00126C92" w:rsidP="00AD6A7D">
    <w:pPr>
      <w:pStyle w:val="Footer"/>
      <w:ind w:right="360"/>
      <w:rPr>
        <w:rFonts w:ascii="Avenir Next" w:hAnsi="Avenir Next" w:cs="Arial"/>
        <w:sz w:val="22"/>
        <w:szCs w:val="22"/>
      </w:rPr>
    </w:pPr>
    <w:r w:rsidRPr="00126C92">
      <w:rPr>
        <w:rFonts w:ascii="Avenir Next" w:hAnsi="Avenir Next" w:cs="Arial"/>
        <w:sz w:val="22"/>
        <w:szCs w:val="22"/>
      </w:rPr>
      <w:t>202223-915</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4380EE1"/>
    <w:multiLevelType w:val="hybridMultilevel"/>
    <w:tmpl w:val="E26A7838"/>
    <w:lvl w:ilvl="0" w:tplc="525C1200">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B5BA2"/>
    <w:multiLevelType w:val="hybridMultilevel"/>
    <w:tmpl w:val="3328D1F2"/>
    <w:lvl w:ilvl="0" w:tplc="525C1200">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97354A"/>
    <w:multiLevelType w:val="hybridMultilevel"/>
    <w:tmpl w:val="162884F8"/>
    <w:lvl w:ilvl="0" w:tplc="525C1200">
      <w:start w:val="1"/>
      <w:numFmt w:val="decimal"/>
      <w:lvlText w:val="%1."/>
      <w:lvlJc w:val="left"/>
      <w:pPr>
        <w:ind w:left="720" w:hanging="360"/>
      </w:pPr>
      <w:rPr>
        <w:rFonts w:hint="default"/>
        <w:color w:val="7B7B7B" w:themeColor="accent3"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863C5"/>
    <w:multiLevelType w:val="hybridMultilevel"/>
    <w:tmpl w:val="33D03444"/>
    <w:lvl w:ilvl="0" w:tplc="525C1200">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CB25008"/>
    <w:multiLevelType w:val="hybridMultilevel"/>
    <w:tmpl w:val="EE68C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3E6012"/>
    <w:multiLevelType w:val="hybridMultilevel"/>
    <w:tmpl w:val="A896145E"/>
    <w:lvl w:ilvl="0" w:tplc="525C1200">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F7D5EA8"/>
    <w:multiLevelType w:val="hybridMultilevel"/>
    <w:tmpl w:val="8E96AF6C"/>
    <w:lvl w:ilvl="0" w:tplc="525C1200">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26"/>
  </w:num>
  <w:num w:numId="3">
    <w:abstractNumId w:val="7"/>
  </w:num>
  <w:num w:numId="4">
    <w:abstractNumId w:val="4"/>
  </w:num>
  <w:num w:numId="5">
    <w:abstractNumId w:val="10"/>
  </w:num>
  <w:num w:numId="6">
    <w:abstractNumId w:val="18"/>
  </w:num>
  <w:num w:numId="7">
    <w:abstractNumId w:val="27"/>
  </w:num>
  <w:num w:numId="8">
    <w:abstractNumId w:val="17"/>
  </w:num>
  <w:num w:numId="9">
    <w:abstractNumId w:val="6"/>
  </w:num>
  <w:num w:numId="10">
    <w:abstractNumId w:val="9"/>
  </w:num>
  <w:num w:numId="11">
    <w:abstractNumId w:val="8"/>
  </w:num>
  <w:num w:numId="12">
    <w:abstractNumId w:val="5"/>
  </w:num>
  <w:num w:numId="13">
    <w:abstractNumId w:val="15"/>
  </w:num>
  <w:num w:numId="14">
    <w:abstractNumId w:val="0"/>
  </w:num>
  <w:num w:numId="15">
    <w:abstractNumId w:val="3"/>
  </w:num>
  <w:num w:numId="16">
    <w:abstractNumId w:val="16"/>
  </w:num>
  <w:num w:numId="17">
    <w:abstractNumId w:val="14"/>
  </w:num>
  <w:num w:numId="18">
    <w:abstractNumId w:val="24"/>
  </w:num>
  <w:num w:numId="19">
    <w:abstractNumId w:val="19"/>
  </w:num>
  <w:num w:numId="20">
    <w:abstractNumId w:val="28"/>
  </w:num>
  <w:num w:numId="21">
    <w:abstractNumId w:val="21"/>
  </w:num>
  <w:num w:numId="22">
    <w:abstractNumId w:val="13"/>
  </w:num>
  <w:num w:numId="23">
    <w:abstractNumId w:val="1"/>
  </w:num>
  <w:num w:numId="24">
    <w:abstractNumId w:val="11"/>
  </w:num>
  <w:num w:numId="25">
    <w:abstractNumId w:val="2"/>
  </w:num>
  <w:num w:numId="26">
    <w:abstractNumId w:val="25"/>
  </w:num>
  <w:num w:numId="27">
    <w:abstractNumId w:val="12"/>
  </w:num>
  <w:num w:numId="28">
    <w:abstractNumId w:val="23"/>
  </w:num>
  <w:num w:numId="2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4CD0"/>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329C"/>
    <w:rsid w:val="000E4841"/>
    <w:rsid w:val="000F0721"/>
    <w:rsid w:val="000F1677"/>
    <w:rsid w:val="000F3D6C"/>
    <w:rsid w:val="00101707"/>
    <w:rsid w:val="00110DA3"/>
    <w:rsid w:val="0011473D"/>
    <w:rsid w:val="00115C85"/>
    <w:rsid w:val="00123661"/>
    <w:rsid w:val="00123855"/>
    <w:rsid w:val="00126A4D"/>
    <w:rsid w:val="00126C92"/>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62C6"/>
    <w:rsid w:val="001E7B5A"/>
    <w:rsid w:val="001F7412"/>
    <w:rsid w:val="00205546"/>
    <w:rsid w:val="0020725B"/>
    <w:rsid w:val="00241B44"/>
    <w:rsid w:val="00245EFB"/>
    <w:rsid w:val="0026515D"/>
    <w:rsid w:val="002668D3"/>
    <w:rsid w:val="0027299F"/>
    <w:rsid w:val="00284EBE"/>
    <w:rsid w:val="00286AE6"/>
    <w:rsid w:val="002877CE"/>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7767D"/>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34B5E"/>
    <w:rsid w:val="00444284"/>
    <w:rsid w:val="00445CE6"/>
    <w:rsid w:val="004534C2"/>
    <w:rsid w:val="0045683E"/>
    <w:rsid w:val="00456F6F"/>
    <w:rsid w:val="00491675"/>
    <w:rsid w:val="00493855"/>
    <w:rsid w:val="004A16A3"/>
    <w:rsid w:val="004A57DD"/>
    <w:rsid w:val="004A7B51"/>
    <w:rsid w:val="004A7D71"/>
    <w:rsid w:val="004A7EF3"/>
    <w:rsid w:val="004B11FD"/>
    <w:rsid w:val="004B23A2"/>
    <w:rsid w:val="004C1306"/>
    <w:rsid w:val="004D1A5A"/>
    <w:rsid w:val="004D3721"/>
    <w:rsid w:val="004D581F"/>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12FD"/>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3E81"/>
    <w:rsid w:val="007074E9"/>
    <w:rsid w:val="00713DA4"/>
    <w:rsid w:val="00714BF1"/>
    <w:rsid w:val="00721383"/>
    <w:rsid w:val="007333CC"/>
    <w:rsid w:val="0073399A"/>
    <w:rsid w:val="0073459E"/>
    <w:rsid w:val="00743E0E"/>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93765"/>
    <w:rsid w:val="008A6CFE"/>
    <w:rsid w:val="008B5333"/>
    <w:rsid w:val="008B6223"/>
    <w:rsid w:val="008C66E0"/>
    <w:rsid w:val="008E3339"/>
    <w:rsid w:val="008F20FC"/>
    <w:rsid w:val="008F6301"/>
    <w:rsid w:val="00905A43"/>
    <w:rsid w:val="00912C79"/>
    <w:rsid w:val="00942123"/>
    <w:rsid w:val="0095207B"/>
    <w:rsid w:val="00955AF1"/>
    <w:rsid w:val="00962045"/>
    <w:rsid w:val="009634F4"/>
    <w:rsid w:val="00991428"/>
    <w:rsid w:val="00992676"/>
    <w:rsid w:val="00993FFD"/>
    <w:rsid w:val="00995DA1"/>
    <w:rsid w:val="00995FAE"/>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1FCB"/>
    <w:rsid w:val="00A96489"/>
    <w:rsid w:val="00A97725"/>
    <w:rsid w:val="00AB685C"/>
    <w:rsid w:val="00AB6C2D"/>
    <w:rsid w:val="00AC3839"/>
    <w:rsid w:val="00AC7082"/>
    <w:rsid w:val="00AD6A7D"/>
    <w:rsid w:val="00AF228E"/>
    <w:rsid w:val="00B14819"/>
    <w:rsid w:val="00B17AA9"/>
    <w:rsid w:val="00B41352"/>
    <w:rsid w:val="00B72AE1"/>
    <w:rsid w:val="00B736DF"/>
    <w:rsid w:val="00B74FBD"/>
    <w:rsid w:val="00B776D3"/>
    <w:rsid w:val="00B82586"/>
    <w:rsid w:val="00B86DB1"/>
    <w:rsid w:val="00B87869"/>
    <w:rsid w:val="00BB0F2B"/>
    <w:rsid w:val="00BF1A47"/>
    <w:rsid w:val="00BF1C6F"/>
    <w:rsid w:val="00BF50F7"/>
    <w:rsid w:val="00C02F29"/>
    <w:rsid w:val="00C053F7"/>
    <w:rsid w:val="00C22A25"/>
    <w:rsid w:val="00C33C6C"/>
    <w:rsid w:val="00C35671"/>
    <w:rsid w:val="00C35B77"/>
    <w:rsid w:val="00C376EB"/>
    <w:rsid w:val="00C46EC1"/>
    <w:rsid w:val="00C53E2C"/>
    <w:rsid w:val="00C550C8"/>
    <w:rsid w:val="00C606C3"/>
    <w:rsid w:val="00C641E7"/>
    <w:rsid w:val="00C6683F"/>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C7626"/>
    <w:rsid w:val="00DC7E8A"/>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0277"/>
    <w:rsid w:val="00E71CB0"/>
    <w:rsid w:val="00E72B88"/>
    <w:rsid w:val="00E77C3D"/>
    <w:rsid w:val="00E909F0"/>
    <w:rsid w:val="00E93876"/>
    <w:rsid w:val="00E93993"/>
    <w:rsid w:val="00EA0913"/>
    <w:rsid w:val="00EB45AC"/>
    <w:rsid w:val="00ED0BC4"/>
    <w:rsid w:val="00EE4971"/>
    <w:rsid w:val="00EE744D"/>
    <w:rsid w:val="00EF090E"/>
    <w:rsid w:val="00F033DA"/>
    <w:rsid w:val="00F13BED"/>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339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9316889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92001-03D3-455B-BF5C-E6DDA319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3512</Words>
  <Characters>20024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On</cp:lastModifiedBy>
  <cp:revision>3</cp:revision>
  <cp:lastPrinted>2019-09-04T15:45:00Z</cp:lastPrinted>
  <dcterms:created xsi:type="dcterms:W3CDTF">2022-09-02T11:24:00Z</dcterms:created>
  <dcterms:modified xsi:type="dcterms:W3CDTF">2022-09-20T02:33:00Z</dcterms:modified>
</cp:coreProperties>
</file>