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61DAE735"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Pr="0054293F" w:rsidRDefault="002073B6" w:rsidP="00640623">
      <w:pPr>
        <w:pStyle w:val="ListParagraph"/>
        <w:numPr>
          <w:ilvl w:val="0"/>
          <w:numId w:val="9"/>
        </w:numPr>
        <w:ind w:left="426" w:hanging="426"/>
        <w:rPr>
          <w:rFonts w:ascii="Arial" w:hAnsi="Arial" w:cs="Arial"/>
          <w:sz w:val="22"/>
          <w:szCs w:val="22"/>
          <w:highlight w:val="yellow"/>
          <w:lang w:val="en-GB"/>
        </w:rPr>
      </w:pPr>
      <w:r w:rsidRPr="0054293F">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C4C9B">
        <w:rPr>
          <w:rFonts w:ascii="Arial" w:hAnsi="Arial" w:cs="Arial"/>
          <w:sz w:val="22"/>
          <w:szCs w:val="22"/>
          <w:highlight w:val="yellow"/>
          <w:lang w:val="en-GB"/>
        </w:rPr>
        <w:t>The Bankruptcy Law incorporates substantial elements of Islamic law, while the insolvency laws of the financial centres are based on the common law</w:t>
      </w:r>
      <w:r w:rsidRPr="00CA448F">
        <w:rPr>
          <w:rFonts w:ascii="Arial" w:hAnsi="Arial" w:cs="Arial"/>
          <w:sz w:val="22"/>
          <w:szCs w:val="22"/>
          <w:lang w:val="en-GB"/>
        </w:rPr>
        <w:t xml:space="preserve">.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AD6154" w:rsidRDefault="002073B6" w:rsidP="00640623">
      <w:pPr>
        <w:pStyle w:val="ListParagraph"/>
        <w:numPr>
          <w:ilvl w:val="0"/>
          <w:numId w:val="13"/>
        </w:numPr>
        <w:ind w:left="426" w:hanging="426"/>
        <w:rPr>
          <w:rFonts w:ascii="Arial" w:hAnsi="Arial" w:cs="Arial"/>
          <w:bCs/>
          <w:sz w:val="22"/>
          <w:szCs w:val="22"/>
          <w:highlight w:val="yellow"/>
          <w:lang w:val="en-GB"/>
        </w:rPr>
      </w:pPr>
      <w:r w:rsidRPr="00AD6154">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6C3D2E" w:rsidRDefault="008D1432" w:rsidP="00640623">
      <w:pPr>
        <w:pStyle w:val="ListParagraph"/>
        <w:numPr>
          <w:ilvl w:val="0"/>
          <w:numId w:val="15"/>
        </w:numPr>
        <w:ind w:left="426" w:hanging="426"/>
        <w:rPr>
          <w:rFonts w:ascii="Arial" w:hAnsi="Arial" w:cs="Arial"/>
          <w:bCs/>
          <w:sz w:val="22"/>
          <w:szCs w:val="22"/>
          <w:highlight w:val="yellow"/>
          <w:lang w:val="en-GB"/>
        </w:rPr>
      </w:pPr>
      <w:r w:rsidRPr="006C3D2E">
        <w:rPr>
          <w:rFonts w:ascii="Arial" w:hAnsi="Arial" w:cs="Arial"/>
          <w:bCs/>
          <w:sz w:val="22"/>
          <w:szCs w:val="22"/>
          <w:highlight w:val="yellow"/>
          <w:lang w:val="en-GB"/>
        </w:rPr>
        <w:t>True</w:t>
      </w:r>
      <w:r w:rsidR="002073B6" w:rsidRPr="006C3D2E">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6C3D2E" w:rsidRDefault="002073B6" w:rsidP="00640623">
      <w:pPr>
        <w:pStyle w:val="ListParagraph"/>
        <w:numPr>
          <w:ilvl w:val="0"/>
          <w:numId w:val="17"/>
        </w:numPr>
        <w:ind w:left="426" w:hanging="426"/>
        <w:rPr>
          <w:rFonts w:ascii="Arial" w:hAnsi="Arial" w:cs="Arial"/>
          <w:bCs/>
          <w:sz w:val="22"/>
          <w:szCs w:val="22"/>
          <w:highlight w:val="yellow"/>
          <w:lang w:val="en-GB"/>
        </w:rPr>
      </w:pPr>
      <w:r w:rsidRPr="006C3D2E">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6C3D2E" w:rsidRDefault="002073B6" w:rsidP="00640623">
      <w:pPr>
        <w:pStyle w:val="ListParagraph"/>
        <w:numPr>
          <w:ilvl w:val="0"/>
          <w:numId w:val="18"/>
        </w:numPr>
        <w:ind w:left="426" w:hanging="426"/>
        <w:rPr>
          <w:rFonts w:ascii="Arial" w:hAnsi="Arial" w:cs="Arial"/>
          <w:bCs/>
          <w:sz w:val="22"/>
          <w:szCs w:val="22"/>
          <w:highlight w:val="yellow"/>
          <w:lang w:val="en-GB"/>
        </w:rPr>
      </w:pPr>
      <w:r w:rsidRPr="006C3D2E">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6C3D2E" w:rsidRDefault="002073B6" w:rsidP="00640623">
      <w:pPr>
        <w:pStyle w:val="ListParagraph"/>
        <w:numPr>
          <w:ilvl w:val="0"/>
          <w:numId w:val="20"/>
        </w:numPr>
        <w:ind w:left="426" w:hanging="426"/>
        <w:rPr>
          <w:rFonts w:ascii="Arial" w:hAnsi="Arial" w:cs="Arial"/>
          <w:bCs/>
          <w:sz w:val="22"/>
          <w:szCs w:val="22"/>
          <w:highlight w:val="yellow"/>
          <w:lang w:val="en-GB"/>
        </w:rPr>
      </w:pPr>
      <w:r w:rsidRPr="006C3D2E">
        <w:rPr>
          <w:rFonts w:ascii="Arial" w:hAnsi="Arial" w:cs="Arial"/>
          <w:bCs/>
          <w:sz w:val="22"/>
          <w:szCs w:val="22"/>
          <w:highlight w:val="yellow"/>
          <w:lang w:val="en-GB"/>
        </w:rPr>
        <w:t xml:space="preserve">Interest on debts owed by the debtor stops accruing on the date of commencement of Preventive Composition. </w:t>
      </w:r>
      <w:r w:rsidRPr="006C3D2E">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6C3D2E" w:rsidRDefault="002073B6" w:rsidP="00640623">
      <w:pPr>
        <w:pStyle w:val="ListParagraph"/>
        <w:numPr>
          <w:ilvl w:val="0"/>
          <w:numId w:val="22"/>
        </w:numPr>
        <w:ind w:left="426" w:hanging="426"/>
        <w:rPr>
          <w:rFonts w:ascii="Arial" w:hAnsi="Arial" w:cs="Arial"/>
          <w:bCs/>
          <w:sz w:val="22"/>
          <w:szCs w:val="22"/>
          <w:highlight w:val="yellow"/>
          <w:lang w:val="en-GB"/>
        </w:rPr>
      </w:pPr>
      <w:r w:rsidRPr="006C3D2E">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6C3D2E" w:rsidRDefault="00BA06CC" w:rsidP="00640623">
      <w:pPr>
        <w:pStyle w:val="ListParagraph"/>
        <w:numPr>
          <w:ilvl w:val="0"/>
          <w:numId w:val="24"/>
        </w:numPr>
        <w:ind w:left="426" w:hanging="426"/>
        <w:rPr>
          <w:rFonts w:ascii="Arial" w:hAnsi="Arial" w:cs="Arial"/>
          <w:bCs/>
          <w:sz w:val="22"/>
          <w:szCs w:val="22"/>
          <w:highlight w:val="yellow"/>
          <w:lang w:val="en-GB"/>
        </w:rPr>
      </w:pPr>
      <w:r w:rsidRPr="006C3D2E">
        <w:rPr>
          <w:rFonts w:ascii="Arial" w:hAnsi="Arial" w:cs="Arial"/>
          <w:sz w:val="22"/>
          <w:szCs w:val="22"/>
          <w:highlight w:val="yellow"/>
        </w:rPr>
        <w:t>A</w:t>
      </w:r>
      <w:r w:rsidR="00F80E9B" w:rsidRPr="006C3D2E">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6C3D2E">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621EF3FE" w:rsidR="00A334F9" w:rsidRDefault="0086334C" w:rsidP="0086334C">
      <w:pPr>
        <w:pStyle w:val="BodyText"/>
        <w:ind w:left="709" w:hanging="709"/>
        <w:jc w:val="both"/>
      </w:pPr>
      <w:r>
        <w:t>1</w:t>
      </w:r>
      <w:r>
        <w:tab/>
      </w:r>
      <w:r w:rsidR="00051572">
        <w:t>The key difference between the sale of mortgaged real property following a debtor default if the real property is in a financial free zone or if the real property is in “mainland” UAE is as follows:</w:t>
      </w:r>
      <w:r w:rsidR="00CF7A99">
        <w:t>-</w:t>
      </w:r>
    </w:p>
    <w:p w14:paraId="27A688C8" w14:textId="77777777" w:rsidR="00051572" w:rsidRDefault="00051572" w:rsidP="0086334C">
      <w:pPr>
        <w:ind w:left="720" w:hanging="720"/>
        <w:jc w:val="both"/>
        <w:rPr>
          <w:rFonts w:ascii="Arial" w:hAnsi="Arial" w:cs="Arial"/>
          <w:color w:val="808080" w:themeColor="background1" w:themeShade="80"/>
          <w:sz w:val="22"/>
          <w:szCs w:val="22"/>
          <w:lang w:val="en-GB"/>
        </w:rPr>
      </w:pPr>
    </w:p>
    <w:p w14:paraId="5E9BC77C" w14:textId="17B23AFF" w:rsidR="00051572" w:rsidRDefault="00CF7A99" w:rsidP="0086334C">
      <w:pPr>
        <w:pStyle w:val="BodyTextIndent"/>
        <w:jc w:val="both"/>
      </w:pPr>
      <w:r>
        <w:t>1</w:t>
      </w:r>
      <w:r w:rsidR="0086334C">
        <w:t>.1</w:t>
      </w:r>
      <w:r>
        <w:tab/>
      </w:r>
      <w:r w:rsidR="0086334C">
        <w:tab/>
      </w:r>
      <w:r>
        <w:t>a</w:t>
      </w:r>
      <w:r w:rsidR="00051572">
        <w:t>lthough</w:t>
      </w:r>
      <w:r>
        <w:t xml:space="preserve">, in “mainland” UAE, </w:t>
      </w:r>
      <w:r w:rsidR="00051572">
        <w:t>the law provides for the right of a mortgagee to sell the mortgaged property following a debtor’s default, the sale must be exercised through the courts.  That means a mortgagee would have to apply to court for an order au</w:t>
      </w:r>
      <w:r w:rsidR="0035434A">
        <w:t>thorising the sale.  In several e</w:t>
      </w:r>
      <w:r w:rsidR="00051572">
        <w:t>mirates</w:t>
      </w:r>
      <w:r w:rsidR="0035434A">
        <w:t xml:space="preserve"> some case</w:t>
      </w:r>
      <w:r w:rsidR="008E646E">
        <w:t>s</w:t>
      </w:r>
      <w:r w:rsidR="0035434A">
        <w:t xml:space="preserve"> sought to determine whether a mortgagee would first have to obtain judgment for the mortgaged debt before proceeding with the sale – but the general approach seems to be that a mortgagee can apply to court for an order authorising the sale without first obtaining judgment for the debt.  Once an order for sale has been granted, </w:t>
      </w:r>
      <w:r>
        <w:t>the courts execution department will conduct the sale of the mortgaged property;</w:t>
      </w:r>
    </w:p>
    <w:p w14:paraId="1C67AB67" w14:textId="77777777" w:rsidR="00CF7A99" w:rsidRDefault="00CF7A99" w:rsidP="0086334C">
      <w:pPr>
        <w:ind w:left="720" w:hanging="720"/>
        <w:jc w:val="both"/>
        <w:rPr>
          <w:rFonts w:ascii="Arial" w:hAnsi="Arial" w:cs="Arial"/>
          <w:color w:val="808080" w:themeColor="background1" w:themeShade="80"/>
          <w:sz w:val="22"/>
          <w:szCs w:val="22"/>
          <w:lang w:val="en-GB"/>
        </w:rPr>
      </w:pPr>
    </w:p>
    <w:p w14:paraId="50274D95" w14:textId="3F1C3362" w:rsidR="00CF7A99" w:rsidRDefault="0086334C" w:rsidP="0086334C">
      <w:pPr>
        <w:pStyle w:val="BodyTextIndent"/>
        <w:jc w:val="both"/>
      </w:pPr>
      <w:r>
        <w:t>1.</w:t>
      </w:r>
      <w:r w:rsidR="00CF7A99">
        <w:t>2</w:t>
      </w:r>
      <w:r w:rsidR="00CF7A99">
        <w:tab/>
        <w:t>whereas the legal position in a financial free zone is that should the debtor default, a mortgagee creditor</w:t>
      </w:r>
      <w:r w:rsidR="005E0DC1">
        <w:t xml:space="preserve"> can take possession of the land by providing 60 days notice to certain relevant parties and without the need for a court order,</w:t>
      </w:r>
      <w:r>
        <w:t xml:space="preserve"> the creditor can sell the whole or part of the land, receive rents and profits from the land and apply the proceeds of such sale of the mortgaged debt.  The mortgagee creditor may also apply to the DIFC court for an order for forfeiture.</w:t>
      </w:r>
    </w:p>
    <w:p w14:paraId="7795A154" w14:textId="77777777" w:rsidR="0086334C" w:rsidRDefault="0086334C" w:rsidP="0086334C">
      <w:pPr>
        <w:pStyle w:val="BodyTextIndent"/>
        <w:jc w:val="both"/>
      </w:pPr>
    </w:p>
    <w:p w14:paraId="425B1B96" w14:textId="79EC95D9" w:rsidR="0086334C" w:rsidRPr="00CA448F" w:rsidRDefault="0086334C" w:rsidP="0086334C">
      <w:pPr>
        <w:pStyle w:val="BodyTextIndent"/>
        <w:ind w:left="709" w:hanging="709"/>
        <w:jc w:val="both"/>
      </w:pPr>
      <w:r>
        <w:t>2</w:t>
      </w:r>
      <w:r>
        <w:tab/>
        <w:t xml:space="preserve">The key point of distinction regarding the registration of real property interests, including mortgages in different emirates of the UAE is that each emirate maintains </w:t>
      </w:r>
      <w:r>
        <w:lastRenderedPageBreak/>
        <w:t>its own land registration system and the registration and enforcement of mortgages can be subject to slightly different laws and procedures in each emirate.</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5045D48C" w:rsidR="00651151" w:rsidRDefault="00185B27"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For Preventive Composition and Restructuring</w:t>
      </w:r>
      <w:r w:rsidR="007B2469">
        <w:rPr>
          <w:rFonts w:ascii="Arial" w:hAnsi="Arial" w:cs="Arial"/>
          <w:color w:val="808080" w:themeColor="background1" w:themeShade="80"/>
          <w:sz w:val="22"/>
          <w:szCs w:val="22"/>
        </w:rPr>
        <w:t>:-</w:t>
      </w:r>
    </w:p>
    <w:p w14:paraId="0E7A5C7E" w14:textId="77777777" w:rsidR="007B2469" w:rsidRDefault="007B2469" w:rsidP="00640623">
      <w:pPr>
        <w:ind w:left="720" w:hanging="720"/>
        <w:rPr>
          <w:rFonts w:ascii="Arial" w:hAnsi="Arial" w:cs="Arial"/>
          <w:color w:val="808080" w:themeColor="background1" w:themeShade="80"/>
          <w:sz w:val="22"/>
          <w:szCs w:val="22"/>
        </w:rPr>
      </w:pPr>
    </w:p>
    <w:p w14:paraId="7F639222" w14:textId="0E236DA3" w:rsidR="007B2469" w:rsidRDefault="007B2469" w:rsidP="008E646E">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1</w:t>
      </w:r>
      <w:r>
        <w:rPr>
          <w:rFonts w:ascii="Arial" w:hAnsi="Arial" w:cs="Arial"/>
          <w:color w:val="808080" w:themeColor="background1" w:themeShade="80"/>
          <w:sz w:val="22"/>
          <w:szCs w:val="22"/>
        </w:rPr>
        <w:tab/>
        <w:t>the court is responsible for a decision on any application to commence the insolvency process;</w:t>
      </w:r>
    </w:p>
    <w:p w14:paraId="428519F1" w14:textId="77777777" w:rsidR="007B2469" w:rsidRDefault="007B2469" w:rsidP="008E646E">
      <w:pPr>
        <w:ind w:left="720" w:hanging="720"/>
        <w:jc w:val="both"/>
        <w:rPr>
          <w:rFonts w:ascii="Arial" w:hAnsi="Arial" w:cs="Arial"/>
          <w:color w:val="808080" w:themeColor="background1" w:themeShade="80"/>
          <w:sz w:val="22"/>
          <w:szCs w:val="22"/>
        </w:rPr>
      </w:pPr>
    </w:p>
    <w:p w14:paraId="638877E4" w14:textId="0031C323" w:rsidR="007B2469" w:rsidRDefault="007B2469" w:rsidP="008E646E">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r>
        <w:rPr>
          <w:rFonts w:ascii="Arial" w:hAnsi="Arial" w:cs="Arial"/>
          <w:color w:val="808080" w:themeColor="background1" w:themeShade="80"/>
          <w:sz w:val="22"/>
          <w:szCs w:val="22"/>
        </w:rPr>
        <w:tab/>
        <w:t>creditors are responsible for a primary determination as to whether a debtor’s proposal should be adopted;</w:t>
      </w:r>
    </w:p>
    <w:p w14:paraId="147BDEF4" w14:textId="77777777" w:rsidR="007B2469" w:rsidRDefault="007B2469" w:rsidP="008E646E">
      <w:pPr>
        <w:ind w:left="720" w:hanging="720"/>
        <w:jc w:val="both"/>
        <w:rPr>
          <w:rFonts w:ascii="Arial" w:hAnsi="Arial" w:cs="Arial"/>
          <w:color w:val="808080" w:themeColor="background1" w:themeShade="80"/>
          <w:sz w:val="22"/>
          <w:szCs w:val="22"/>
        </w:rPr>
      </w:pPr>
    </w:p>
    <w:p w14:paraId="76BD6C7D" w14:textId="0F31C340" w:rsidR="007B2469" w:rsidRDefault="007B2469" w:rsidP="008E646E">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3</w:t>
      </w:r>
      <w:r>
        <w:rPr>
          <w:rFonts w:ascii="Arial" w:hAnsi="Arial" w:cs="Arial"/>
          <w:color w:val="808080" w:themeColor="background1" w:themeShade="80"/>
          <w:sz w:val="22"/>
          <w:szCs w:val="22"/>
        </w:rPr>
        <w:tab/>
        <w:t>the court is responsible for</w:t>
      </w:r>
      <w:r w:rsidR="00DE3E4A">
        <w:rPr>
          <w:rFonts w:ascii="Arial" w:hAnsi="Arial" w:cs="Arial"/>
          <w:color w:val="808080" w:themeColor="background1" w:themeShade="80"/>
          <w:sz w:val="22"/>
          <w:szCs w:val="22"/>
        </w:rPr>
        <w:t xml:space="preserve"> the confirmation of the primary</w:t>
      </w:r>
      <w:r>
        <w:rPr>
          <w:rFonts w:ascii="Arial" w:hAnsi="Arial" w:cs="Arial"/>
          <w:color w:val="808080" w:themeColor="background1" w:themeShade="80"/>
          <w:sz w:val="22"/>
          <w:szCs w:val="22"/>
        </w:rPr>
        <w:t xml:space="preserve"> determination as to whether a debtor’s proposal should be adopted; and</w:t>
      </w:r>
    </w:p>
    <w:p w14:paraId="5933BD79" w14:textId="77777777" w:rsidR="007B2469" w:rsidRDefault="007B2469" w:rsidP="008E646E">
      <w:pPr>
        <w:ind w:left="720" w:hanging="720"/>
        <w:jc w:val="both"/>
        <w:rPr>
          <w:rFonts w:ascii="Arial" w:hAnsi="Arial" w:cs="Arial"/>
          <w:color w:val="808080" w:themeColor="background1" w:themeShade="80"/>
          <w:sz w:val="22"/>
          <w:szCs w:val="22"/>
        </w:rPr>
      </w:pPr>
    </w:p>
    <w:p w14:paraId="501E8BEA" w14:textId="79AE2411" w:rsidR="007B2469" w:rsidRPr="00CA448F" w:rsidRDefault="007B2469" w:rsidP="008E646E">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w:t>
      </w:r>
      <w:r>
        <w:rPr>
          <w:rFonts w:ascii="Arial" w:hAnsi="Arial" w:cs="Arial"/>
          <w:color w:val="808080" w:themeColor="background1" w:themeShade="80"/>
          <w:sz w:val="22"/>
          <w:szCs w:val="22"/>
        </w:rPr>
        <w:tab/>
        <w:t>a trustee is responsible for the supervision of the implementation of the insolvency process by the debtor.</w:t>
      </w:r>
    </w:p>
    <w:p w14:paraId="115D0320" w14:textId="0B45D446" w:rsidR="00651151" w:rsidRDefault="00651151"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50DAF75B" w14:textId="4B30A3CB" w:rsidR="00C72848" w:rsidRDefault="009A49E9" w:rsidP="004015B9">
      <w:pPr>
        <w:ind w:left="709" w:hanging="709"/>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r w:rsidR="00A0366D">
        <w:rPr>
          <w:rFonts w:ascii="Arial" w:hAnsi="Arial" w:cs="Arial"/>
          <w:color w:val="808080" w:themeColor="background1" w:themeShade="80"/>
          <w:sz w:val="22"/>
          <w:szCs w:val="22"/>
          <w:lang w:val="en-GB"/>
        </w:rPr>
        <w:t xml:space="preserve">In relation to </w:t>
      </w:r>
      <w:r w:rsidR="00A0366D">
        <w:rPr>
          <w:rFonts w:ascii="Arial" w:hAnsi="Arial" w:cs="Arial"/>
          <w:color w:val="808080" w:themeColor="background1" w:themeShade="80"/>
          <w:sz w:val="22"/>
          <w:szCs w:val="22"/>
        </w:rPr>
        <w:t>Preventive Composition, it is a debtor</w:t>
      </w:r>
      <w:r>
        <w:rPr>
          <w:rFonts w:ascii="Arial" w:hAnsi="Arial" w:cs="Arial"/>
          <w:color w:val="808080" w:themeColor="background1" w:themeShade="80"/>
          <w:sz w:val="22"/>
          <w:szCs w:val="22"/>
        </w:rPr>
        <w:t xml:space="preserve"> led corporate rescue which can be made by a debtor under article 6 and has the effect of terminating what would otherwise be a debtor’s obligation to apply to initiate Bankruptcy proceedings.  </w:t>
      </w:r>
    </w:p>
    <w:p w14:paraId="304B6A7B" w14:textId="77777777" w:rsidR="009A49E9" w:rsidRDefault="009A49E9" w:rsidP="002A521D">
      <w:pPr>
        <w:jc w:val="both"/>
        <w:rPr>
          <w:rFonts w:ascii="Arial" w:hAnsi="Arial" w:cs="Arial"/>
          <w:color w:val="808080" w:themeColor="background1" w:themeShade="80"/>
          <w:sz w:val="22"/>
          <w:szCs w:val="22"/>
        </w:rPr>
      </w:pPr>
    </w:p>
    <w:p w14:paraId="5840BEAF" w14:textId="778316ED" w:rsidR="009A49E9" w:rsidRDefault="009A49E9" w:rsidP="002A521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r>
        <w:rPr>
          <w:rFonts w:ascii="Arial" w:hAnsi="Arial" w:cs="Arial"/>
          <w:color w:val="808080" w:themeColor="background1" w:themeShade="80"/>
          <w:sz w:val="22"/>
          <w:szCs w:val="22"/>
        </w:rPr>
        <w:tab/>
        <w:t>Whereas in relation to an application to commence Bankruptcy:-</w:t>
      </w:r>
    </w:p>
    <w:p w14:paraId="24088FD8" w14:textId="77777777" w:rsidR="009A49E9" w:rsidRDefault="009A49E9" w:rsidP="002A521D">
      <w:pPr>
        <w:jc w:val="both"/>
        <w:rPr>
          <w:rFonts w:ascii="Arial" w:hAnsi="Arial" w:cs="Arial"/>
          <w:color w:val="808080" w:themeColor="background1" w:themeShade="80"/>
          <w:sz w:val="22"/>
          <w:szCs w:val="22"/>
        </w:rPr>
      </w:pPr>
    </w:p>
    <w:p w14:paraId="7B136A8B" w14:textId="373F05E2" w:rsidR="009A49E9" w:rsidRPr="002A521D" w:rsidRDefault="009A49E9" w:rsidP="002A521D">
      <w:pPr>
        <w:pStyle w:val="BodyTextIndent"/>
        <w:jc w:val="both"/>
        <w:rPr>
          <w:lang w:val="en-US"/>
        </w:rPr>
      </w:pPr>
      <w:r w:rsidRPr="002A521D">
        <w:rPr>
          <w:lang w:val="en-US"/>
        </w:rPr>
        <w:t>2.1</w:t>
      </w:r>
      <w:r w:rsidRPr="002A521D">
        <w:rPr>
          <w:lang w:val="en-US"/>
        </w:rPr>
        <w:tab/>
      </w:r>
      <w:r w:rsidRPr="002A521D">
        <w:rPr>
          <w:lang w:val="en-US"/>
        </w:rPr>
        <w:tab/>
        <w:t xml:space="preserve">a debtor is required to initiate Bankruptcy procedures if the debtor is in default of its payment obligations for </w:t>
      </w:r>
      <w:r w:rsidR="00CF590E">
        <w:rPr>
          <w:lang w:val="en-US"/>
        </w:rPr>
        <w:t>30</w:t>
      </w:r>
      <w:r w:rsidRPr="002A521D">
        <w:rPr>
          <w:lang w:val="en-US"/>
        </w:rPr>
        <w:t xml:space="preserve"> conse</w:t>
      </w:r>
      <w:r w:rsidR="002A521D" w:rsidRPr="002A521D">
        <w:rPr>
          <w:lang w:val="en-US"/>
        </w:rPr>
        <w:t>c</w:t>
      </w:r>
      <w:r w:rsidRPr="002A521D">
        <w:rPr>
          <w:lang w:val="en-US"/>
        </w:rPr>
        <w:t xml:space="preserve">utive </w:t>
      </w:r>
      <w:r w:rsidR="002A521D" w:rsidRPr="002A521D">
        <w:rPr>
          <w:lang w:val="en-US"/>
        </w:rPr>
        <w:t>business days; and</w:t>
      </w:r>
    </w:p>
    <w:p w14:paraId="761037E6" w14:textId="77777777" w:rsidR="002A521D" w:rsidRDefault="002A521D" w:rsidP="002A521D">
      <w:pPr>
        <w:jc w:val="both"/>
        <w:rPr>
          <w:rFonts w:ascii="Arial" w:hAnsi="Arial" w:cs="Arial"/>
          <w:color w:val="808080" w:themeColor="background1" w:themeShade="80"/>
          <w:sz w:val="22"/>
          <w:szCs w:val="22"/>
        </w:rPr>
      </w:pPr>
    </w:p>
    <w:p w14:paraId="383DB2B2" w14:textId="29F910FE" w:rsidR="002A521D" w:rsidRPr="00CA448F" w:rsidRDefault="002A521D" w:rsidP="004015B9">
      <w:pPr>
        <w:pStyle w:val="BodyTextIndent2"/>
        <w:rPr>
          <w:lang w:val="en-GB"/>
        </w:rPr>
      </w:pPr>
      <w:r>
        <w:t>2.2</w:t>
      </w:r>
      <w:r>
        <w:tab/>
      </w:r>
      <w:r>
        <w:tab/>
        <w:t xml:space="preserve">additionally the creditor, or a group of creditors collectively, who are owed more than AED 1000 (USD 27 226), may also apply to court to initiate Bankruptcy procedures if the creditor has given notice to the debtor requiring </w:t>
      </w:r>
      <w:r>
        <w:lastRenderedPageBreak/>
        <w:t xml:space="preserve">the debtor to settle the debt, and the debtor has failed to discharge the debt within </w:t>
      </w:r>
      <w:r w:rsidR="00BC006C">
        <w:t>30</w:t>
      </w:r>
      <w:r>
        <w:t xml:space="preserve"> business days of any such notification. </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1129FEE0" w:rsidR="00B52047" w:rsidRPr="00CA448F" w:rsidRDefault="003B7347"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Same as in 2.3 above</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CA09841" w14:textId="6D22A1BA" w:rsidR="001A45DB" w:rsidRDefault="00C929BF" w:rsidP="00C929BF">
      <w:pPr>
        <w:pStyle w:val="Heading1"/>
      </w:pPr>
      <w:r>
        <w:t>Historical background to the introduction of the Bankruptcy Law</w:t>
      </w:r>
    </w:p>
    <w:p w14:paraId="51D4D600" w14:textId="77777777" w:rsidR="00C929BF" w:rsidRDefault="00C929BF" w:rsidP="00640623">
      <w:pPr>
        <w:rPr>
          <w:rFonts w:ascii="Arial" w:hAnsi="Arial" w:cs="Arial"/>
          <w:i/>
          <w:color w:val="808080" w:themeColor="background1" w:themeShade="80"/>
          <w:sz w:val="22"/>
          <w:szCs w:val="22"/>
        </w:rPr>
      </w:pPr>
    </w:p>
    <w:p w14:paraId="64A353B4" w14:textId="5B68EAC5" w:rsidR="00C929BF" w:rsidRPr="00C929BF" w:rsidRDefault="00C929BF" w:rsidP="00DF6112">
      <w:pPr>
        <w:pStyle w:val="BodyText"/>
        <w:ind w:left="709" w:hanging="709"/>
        <w:jc w:val="both"/>
        <w:rPr>
          <w:lang w:val="en-US"/>
        </w:rPr>
      </w:pPr>
      <w:r w:rsidRPr="00C929BF">
        <w:rPr>
          <w:lang w:val="en-US"/>
        </w:rPr>
        <w:t>1</w:t>
      </w:r>
      <w:r w:rsidRPr="00C929BF">
        <w:rPr>
          <w:lang w:val="en-US"/>
        </w:rPr>
        <w:tab/>
        <w:t>Before the introduction of the Bankruptcy Law in the UAE in 2016, the insolvency law was under-developed.  There were provisions</w:t>
      </w:r>
      <w:r w:rsidR="00632469">
        <w:rPr>
          <w:lang w:val="en-US"/>
        </w:rPr>
        <w:t xml:space="preserve"> in L</w:t>
      </w:r>
      <w:r w:rsidRPr="00C929BF">
        <w:rPr>
          <w:lang w:val="en-US"/>
        </w:rPr>
        <w:t xml:space="preserve">aw </w:t>
      </w:r>
      <w:r w:rsidR="00632469">
        <w:rPr>
          <w:lang w:val="en-US"/>
        </w:rPr>
        <w:t>No.</w:t>
      </w:r>
      <w:r w:rsidRPr="00C929BF">
        <w:rPr>
          <w:lang w:val="en-US"/>
        </w:rPr>
        <w:t xml:space="preserve"> 18 of 1993 relating to commercial transaction</w:t>
      </w:r>
      <w:r w:rsidR="007E6F41">
        <w:rPr>
          <w:lang w:val="en-US"/>
        </w:rPr>
        <w:t>s</w:t>
      </w:r>
      <w:r w:rsidRPr="00C929BF">
        <w:rPr>
          <w:lang w:val="en-US"/>
        </w:rPr>
        <w:t xml:space="preserve"> governing a bankruptcy by traders.  It provided for a basic mechanism for insolvency for those engaged in commerce, which was a process to be pursued through the courts, but these procedures were hardly ever used.</w:t>
      </w:r>
    </w:p>
    <w:p w14:paraId="1CFB8081" w14:textId="77777777" w:rsidR="00C929BF" w:rsidRDefault="00C929BF" w:rsidP="00DF6112">
      <w:pPr>
        <w:ind w:left="709" w:hanging="709"/>
        <w:jc w:val="both"/>
        <w:rPr>
          <w:rFonts w:ascii="Arial" w:hAnsi="Arial" w:cs="Arial"/>
          <w:color w:val="808080" w:themeColor="background1" w:themeShade="80"/>
          <w:sz w:val="22"/>
          <w:szCs w:val="22"/>
        </w:rPr>
      </w:pPr>
    </w:p>
    <w:p w14:paraId="26DB7828" w14:textId="77FF7268" w:rsidR="00C929BF" w:rsidRDefault="00C929BF" w:rsidP="00DF6112">
      <w:pPr>
        <w:ind w:left="709" w:hanging="709"/>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r>
        <w:rPr>
          <w:rFonts w:ascii="Arial" w:hAnsi="Arial" w:cs="Arial"/>
          <w:color w:val="808080" w:themeColor="background1" w:themeShade="80"/>
          <w:sz w:val="22"/>
          <w:szCs w:val="22"/>
        </w:rPr>
        <w:tab/>
        <w:t>The problems in the UAE insolvency regime were exposed in 2009, when Dubai World (an investment compan</w:t>
      </w:r>
      <w:r w:rsidR="007E6F41">
        <w:rPr>
          <w:rFonts w:ascii="Arial" w:hAnsi="Arial" w:cs="Arial"/>
          <w:color w:val="808080" w:themeColor="background1" w:themeShade="80"/>
          <w:sz w:val="22"/>
          <w:szCs w:val="22"/>
        </w:rPr>
        <w:t>y owned by the Dubai government)</w:t>
      </w:r>
      <w:r>
        <w:rPr>
          <w:rFonts w:ascii="Arial" w:hAnsi="Arial" w:cs="Arial"/>
          <w:color w:val="808080" w:themeColor="background1" w:themeShade="80"/>
          <w:sz w:val="22"/>
          <w:szCs w:val="22"/>
        </w:rPr>
        <w:t xml:space="preserve"> faced a possibility of defaulting on its debts.  Such default would have been the largest government default since 2001.  Hence the risk or possibility of such default was a cause for international disquiet.  It is said that whilst Dubai World was ultimately able to resolve its issues with the creditors, the experience led to the establishment of a properly functioning insolvency dispensation.</w:t>
      </w:r>
    </w:p>
    <w:p w14:paraId="77D28578" w14:textId="77777777" w:rsidR="00C929BF" w:rsidRDefault="00C929BF" w:rsidP="00DF6112">
      <w:pPr>
        <w:ind w:left="709" w:hanging="709"/>
        <w:jc w:val="both"/>
        <w:rPr>
          <w:rFonts w:ascii="Arial" w:hAnsi="Arial" w:cs="Arial"/>
          <w:color w:val="808080" w:themeColor="background1" w:themeShade="80"/>
          <w:sz w:val="22"/>
          <w:szCs w:val="22"/>
        </w:rPr>
      </w:pPr>
    </w:p>
    <w:p w14:paraId="476C9F69" w14:textId="662012A9" w:rsidR="00C929BF" w:rsidRDefault="00C929BF" w:rsidP="00DF6112">
      <w:pPr>
        <w:ind w:left="709" w:hanging="709"/>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3</w:t>
      </w:r>
      <w:r>
        <w:rPr>
          <w:rFonts w:ascii="Arial" w:hAnsi="Arial" w:cs="Arial"/>
          <w:color w:val="808080" w:themeColor="background1" w:themeShade="80"/>
          <w:sz w:val="22"/>
          <w:szCs w:val="22"/>
        </w:rPr>
        <w:tab/>
        <w:t xml:space="preserve">The previous dispensation changed in 2016 with the adoption of the </w:t>
      </w:r>
      <w:r w:rsidR="00632469">
        <w:rPr>
          <w:rFonts w:ascii="Arial" w:hAnsi="Arial" w:cs="Arial"/>
          <w:color w:val="808080" w:themeColor="background1" w:themeShade="80"/>
          <w:sz w:val="22"/>
          <w:szCs w:val="22"/>
        </w:rPr>
        <w:t>Federal Decree Law (No. 9) of 2016 relating to bankruptcy, which has since been amended in 2019 and 2020 (“</w:t>
      </w:r>
      <w:r w:rsidR="00632469">
        <w:rPr>
          <w:rFonts w:ascii="Arial" w:hAnsi="Arial" w:cs="Arial"/>
          <w:b/>
          <w:i/>
          <w:color w:val="808080" w:themeColor="background1" w:themeShade="80"/>
          <w:sz w:val="22"/>
          <w:szCs w:val="22"/>
        </w:rPr>
        <w:t>the Bankruptcy Law</w:t>
      </w:r>
      <w:r w:rsidR="00632469">
        <w:rPr>
          <w:rFonts w:ascii="Arial" w:hAnsi="Arial" w:cs="Arial"/>
          <w:color w:val="808080" w:themeColor="background1" w:themeShade="80"/>
          <w:sz w:val="22"/>
          <w:szCs w:val="22"/>
        </w:rPr>
        <w:t>”).  It bears mentioning that the Bankruptcy Law repealed the bankruptcy provisions of the Commercial Transactions Law</w:t>
      </w:r>
      <w:r w:rsidR="00E40F28">
        <w:rPr>
          <w:rFonts w:ascii="Arial" w:hAnsi="Arial" w:cs="Arial"/>
          <w:color w:val="808080" w:themeColor="background1" w:themeShade="80"/>
          <w:sz w:val="22"/>
          <w:szCs w:val="22"/>
        </w:rPr>
        <w:t xml:space="preserve"> and established a consolidated insolvency dispensation for commercial (but not consumer) insolvencies in the UAE.  It also bears flagging that the Bankruptcy Law draws on experiences from a number of jurisdictions.</w:t>
      </w:r>
    </w:p>
    <w:p w14:paraId="1ECAD37D" w14:textId="77777777" w:rsidR="00E40F28" w:rsidRDefault="00E40F28" w:rsidP="00DF6112">
      <w:pPr>
        <w:ind w:left="709" w:hanging="709"/>
        <w:jc w:val="both"/>
        <w:rPr>
          <w:rFonts w:ascii="Arial" w:hAnsi="Arial" w:cs="Arial"/>
          <w:color w:val="808080" w:themeColor="background1" w:themeShade="80"/>
          <w:sz w:val="22"/>
          <w:szCs w:val="22"/>
        </w:rPr>
      </w:pPr>
    </w:p>
    <w:p w14:paraId="7778DCB2" w14:textId="062E8852" w:rsidR="00E40F28" w:rsidRDefault="00E40F28" w:rsidP="00E40F28">
      <w:pPr>
        <w:pStyle w:val="Heading2"/>
      </w:pPr>
      <w:r>
        <w:t>Entities to which the Bankruptcy Law applies</w:t>
      </w:r>
    </w:p>
    <w:p w14:paraId="72B789CE" w14:textId="77777777" w:rsidR="00E40F28" w:rsidRDefault="00E40F28" w:rsidP="00DF6112">
      <w:pPr>
        <w:ind w:left="709" w:hanging="709"/>
        <w:jc w:val="both"/>
        <w:rPr>
          <w:rFonts w:ascii="Arial" w:hAnsi="Arial" w:cs="Arial"/>
          <w:i/>
          <w:color w:val="808080" w:themeColor="background1" w:themeShade="80"/>
          <w:sz w:val="22"/>
          <w:szCs w:val="22"/>
        </w:rPr>
      </w:pPr>
    </w:p>
    <w:p w14:paraId="4230553B" w14:textId="40D81AEB" w:rsidR="00E40F28" w:rsidRDefault="00E40F28" w:rsidP="00DF6112">
      <w:pPr>
        <w:ind w:left="709" w:hanging="709"/>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w:t>
      </w:r>
      <w:r>
        <w:rPr>
          <w:rFonts w:ascii="Arial" w:hAnsi="Arial" w:cs="Arial"/>
          <w:color w:val="808080" w:themeColor="background1" w:themeShade="80"/>
          <w:sz w:val="22"/>
          <w:szCs w:val="22"/>
        </w:rPr>
        <w:tab/>
      </w:r>
      <w:r w:rsidR="00A04143">
        <w:rPr>
          <w:rFonts w:ascii="Arial" w:hAnsi="Arial" w:cs="Arial"/>
          <w:color w:val="808080" w:themeColor="background1" w:themeShade="80"/>
          <w:sz w:val="22"/>
          <w:szCs w:val="22"/>
        </w:rPr>
        <w:t>The Bankruptcy Law applies</w:t>
      </w:r>
      <w:r w:rsidR="000E6A12">
        <w:rPr>
          <w:rFonts w:ascii="Arial" w:hAnsi="Arial" w:cs="Arial"/>
          <w:color w:val="808080" w:themeColor="background1" w:themeShade="80"/>
          <w:sz w:val="22"/>
          <w:szCs w:val="22"/>
        </w:rPr>
        <w:t xml:space="preserve"> to:-</w:t>
      </w:r>
    </w:p>
    <w:p w14:paraId="7003120B" w14:textId="77777777" w:rsidR="000E6A12" w:rsidRDefault="000E6A12" w:rsidP="00DF6112">
      <w:pPr>
        <w:ind w:left="709" w:hanging="709"/>
        <w:jc w:val="both"/>
        <w:rPr>
          <w:rFonts w:ascii="Arial" w:hAnsi="Arial" w:cs="Arial"/>
          <w:color w:val="808080" w:themeColor="background1" w:themeShade="80"/>
          <w:sz w:val="22"/>
          <w:szCs w:val="22"/>
        </w:rPr>
      </w:pPr>
    </w:p>
    <w:p w14:paraId="3D8D8B01" w14:textId="00C2CCCB" w:rsidR="000E6A12" w:rsidRDefault="000E6A12" w:rsidP="000E6A12">
      <w:pPr>
        <w:ind w:left="1418" w:hanging="141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4.1</w:t>
      </w: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t>all companies governed by the Commercial Companies Law;</w:t>
      </w:r>
    </w:p>
    <w:p w14:paraId="7A1A72D6" w14:textId="77777777" w:rsidR="000E6A12" w:rsidRDefault="000E6A12" w:rsidP="000E6A12">
      <w:pPr>
        <w:ind w:left="1418" w:hanging="1418"/>
        <w:jc w:val="both"/>
        <w:rPr>
          <w:rFonts w:ascii="Arial" w:hAnsi="Arial" w:cs="Arial"/>
          <w:color w:val="808080" w:themeColor="background1" w:themeShade="80"/>
          <w:sz w:val="22"/>
          <w:szCs w:val="22"/>
        </w:rPr>
      </w:pPr>
    </w:p>
    <w:p w14:paraId="1CF590D2" w14:textId="7B8C2689" w:rsidR="000E6A12" w:rsidRDefault="000E6A12" w:rsidP="000E6A12">
      <w:pPr>
        <w:ind w:left="1418" w:hanging="141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4.2</w:t>
      </w: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t>any companies established under other legislation who by law or voluntarily have submitted to the provisions of the Bankruptcy Law;</w:t>
      </w:r>
    </w:p>
    <w:p w14:paraId="13C18608" w14:textId="77777777" w:rsidR="000E6A12" w:rsidRDefault="000E6A12" w:rsidP="000E6A12">
      <w:pPr>
        <w:ind w:left="1418" w:hanging="1418"/>
        <w:jc w:val="both"/>
        <w:rPr>
          <w:rFonts w:ascii="Arial" w:hAnsi="Arial" w:cs="Arial"/>
          <w:color w:val="808080" w:themeColor="background1" w:themeShade="80"/>
          <w:sz w:val="22"/>
          <w:szCs w:val="22"/>
        </w:rPr>
      </w:pPr>
    </w:p>
    <w:p w14:paraId="600918C9" w14:textId="4A72B172" w:rsidR="000E6A12" w:rsidRDefault="000E6A12" w:rsidP="000E6A12">
      <w:pPr>
        <w:ind w:left="1418" w:hanging="141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4.3</w:t>
      </w: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t>free zone companies and establishments not governed by other insolvency procedures – that is to say all free zone companies and establishments except those in the financial free zones;</w:t>
      </w:r>
    </w:p>
    <w:p w14:paraId="66043503" w14:textId="77777777" w:rsidR="000E6A12" w:rsidRDefault="000E6A12" w:rsidP="000E6A12">
      <w:pPr>
        <w:ind w:left="1418" w:hanging="1418"/>
        <w:jc w:val="both"/>
        <w:rPr>
          <w:rFonts w:ascii="Arial" w:hAnsi="Arial" w:cs="Arial"/>
          <w:color w:val="808080" w:themeColor="background1" w:themeShade="80"/>
          <w:sz w:val="22"/>
          <w:szCs w:val="22"/>
        </w:rPr>
      </w:pPr>
    </w:p>
    <w:p w14:paraId="2D0E37D5" w14:textId="1EBB385E" w:rsidR="000E6A12" w:rsidRDefault="000E6A12" w:rsidP="000E6A12">
      <w:pPr>
        <w:ind w:left="1418" w:hanging="141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4.4</w:t>
      </w:r>
      <w:r>
        <w:rPr>
          <w:rFonts w:ascii="Arial" w:hAnsi="Arial" w:cs="Arial"/>
          <w:color w:val="808080" w:themeColor="background1" w:themeShade="80"/>
          <w:sz w:val="22"/>
          <w:szCs w:val="22"/>
        </w:rPr>
        <w:tab/>
        <w:t>any person who is a “</w:t>
      </w:r>
      <w:r>
        <w:rPr>
          <w:rFonts w:ascii="Arial" w:hAnsi="Arial" w:cs="Arial"/>
          <w:i/>
          <w:color w:val="808080" w:themeColor="background1" w:themeShade="80"/>
          <w:sz w:val="22"/>
          <w:szCs w:val="22"/>
        </w:rPr>
        <w:t>trader</w:t>
      </w:r>
      <w:r>
        <w:rPr>
          <w:rFonts w:ascii="Arial" w:hAnsi="Arial" w:cs="Arial"/>
          <w:color w:val="808080" w:themeColor="background1" w:themeShade="80"/>
          <w:sz w:val="22"/>
          <w:szCs w:val="22"/>
        </w:rPr>
        <w:t>” (engaged in commercial activities in a personal capacity); and</w:t>
      </w:r>
    </w:p>
    <w:p w14:paraId="7B058B3A" w14:textId="77777777" w:rsidR="000E6A12" w:rsidRDefault="000E6A12" w:rsidP="000E6A12">
      <w:pPr>
        <w:ind w:left="1418" w:hanging="1418"/>
        <w:jc w:val="both"/>
        <w:rPr>
          <w:rFonts w:ascii="Arial" w:hAnsi="Arial" w:cs="Arial"/>
          <w:color w:val="808080" w:themeColor="background1" w:themeShade="80"/>
          <w:sz w:val="22"/>
          <w:szCs w:val="22"/>
        </w:rPr>
      </w:pPr>
    </w:p>
    <w:p w14:paraId="0F6E3136" w14:textId="186A994A" w:rsidR="000E6A12" w:rsidRDefault="007A0057" w:rsidP="000E6A12">
      <w:pPr>
        <w:ind w:left="1418" w:hanging="141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4.5</w:t>
      </w: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t>licens</w:t>
      </w:r>
      <w:r w:rsidR="000E6A12">
        <w:rPr>
          <w:rFonts w:ascii="Arial" w:hAnsi="Arial" w:cs="Arial"/>
          <w:color w:val="808080" w:themeColor="background1" w:themeShade="80"/>
          <w:sz w:val="22"/>
          <w:szCs w:val="22"/>
        </w:rPr>
        <w:t xml:space="preserve">ed </w:t>
      </w:r>
      <w:r>
        <w:rPr>
          <w:rFonts w:ascii="Arial" w:hAnsi="Arial" w:cs="Arial"/>
          <w:color w:val="808080" w:themeColor="background1" w:themeShade="80"/>
          <w:sz w:val="22"/>
          <w:szCs w:val="22"/>
        </w:rPr>
        <w:t>several companies of a professional character (i.e. professional partnerships and the like).</w:t>
      </w:r>
    </w:p>
    <w:p w14:paraId="7E90E9E9" w14:textId="77777777" w:rsidR="007A0057" w:rsidRDefault="007A0057" w:rsidP="000E6A12">
      <w:pPr>
        <w:ind w:left="1418" w:hanging="1418"/>
        <w:jc w:val="both"/>
        <w:rPr>
          <w:rFonts w:ascii="Arial" w:hAnsi="Arial" w:cs="Arial"/>
          <w:color w:val="808080" w:themeColor="background1" w:themeShade="80"/>
          <w:sz w:val="22"/>
          <w:szCs w:val="22"/>
        </w:rPr>
      </w:pPr>
    </w:p>
    <w:p w14:paraId="4C877949" w14:textId="754A5E8D" w:rsidR="007A0057" w:rsidRDefault="007A0057" w:rsidP="007A0057">
      <w:pPr>
        <w:pStyle w:val="BodyTextIndent3"/>
      </w:pPr>
      <w:r>
        <w:t>5</w:t>
      </w:r>
      <w:r>
        <w:tab/>
        <w:t>Therefore the Bankruptcy Law is available to essentially all commercial entities and individuals carrying on commercial activities, except for state owned companies, unless they have opted into the application of the law.</w:t>
      </w:r>
    </w:p>
    <w:p w14:paraId="5A547647" w14:textId="77777777" w:rsidR="007A0057" w:rsidRDefault="007A0057" w:rsidP="007A0057">
      <w:pPr>
        <w:ind w:left="709" w:hanging="709"/>
        <w:jc w:val="both"/>
        <w:rPr>
          <w:rFonts w:ascii="Arial" w:hAnsi="Arial" w:cs="Arial"/>
          <w:color w:val="808080" w:themeColor="background1" w:themeShade="80"/>
          <w:sz w:val="22"/>
          <w:szCs w:val="22"/>
        </w:rPr>
      </w:pPr>
    </w:p>
    <w:p w14:paraId="411A427B" w14:textId="5760AD8B" w:rsidR="007A0057" w:rsidRDefault="007A0057" w:rsidP="007A0057">
      <w:pPr>
        <w:pStyle w:val="Heading2"/>
      </w:pPr>
      <w:r>
        <w:t>How Bankruptcy Law has been received and applied in the UAE</w:t>
      </w:r>
    </w:p>
    <w:p w14:paraId="27753AE2" w14:textId="77777777" w:rsidR="007A0057" w:rsidRDefault="007A0057" w:rsidP="007A0057">
      <w:pPr>
        <w:ind w:left="709" w:hanging="709"/>
        <w:jc w:val="both"/>
        <w:rPr>
          <w:rFonts w:ascii="Arial" w:hAnsi="Arial" w:cs="Arial"/>
          <w:i/>
          <w:color w:val="808080" w:themeColor="background1" w:themeShade="80"/>
          <w:sz w:val="22"/>
          <w:szCs w:val="22"/>
        </w:rPr>
      </w:pPr>
    </w:p>
    <w:p w14:paraId="32EE853D" w14:textId="3078FF1C" w:rsidR="007A0057" w:rsidRPr="007A0057" w:rsidRDefault="007A0057" w:rsidP="00080D2E">
      <w:pPr>
        <w:pStyle w:val="BodyTextIndent3"/>
      </w:pPr>
      <w:r>
        <w:t>6</w:t>
      </w:r>
      <w:r>
        <w:tab/>
        <w:t xml:space="preserve">Although Bankruptcy Law has been in effect since 2016, it would appear that there have been a few applications decided under it, with the result that it is too soon to express a view as to whether it is considered to be debtor or creditor orientated.  But what can be said is that its introduction has ensured that </w:t>
      </w:r>
      <w:r w:rsidR="00F10646">
        <w:t>any negotiations and engagements between debtors and creditors regarding payment difficulties have occurred in a context providing more legal certainty than the position which prevailed prior to 2016.</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35069C68" w:rsidR="001A45DB" w:rsidRPr="00080D2E" w:rsidRDefault="00080D2E" w:rsidP="00080D2E">
      <w:pPr>
        <w:pStyle w:val="Heading1"/>
        <w:rPr>
          <w:lang w:val="en-GB"/>
        </w:rPr>
      </w:pPr>
      <w:r w:rsidRPr="00080D2E">
        <w:rPr>
          <w:lang w:val="en-GB"/>
        </w:rPr>
        <w:t>Court</w:t>
      </w:r>
      <w:r w:rsidR="00D43A3C">
        <w:rPr>
          <w:lang w:val="en-GB"/>
        </w:rPr>
        <w:t>’s</w:t>
      </w:r>
      <w:r w:rsidRPr="00080D2E">
        <w:rPr>
          <w:lang w:val="en-GB"/>
        </w:rPr>
        <w:t xml:space="preserve"> involvement in the commencement of Bankruptcy Process</w:t>
      </w:r>
    </w:p>
    <w:p w14:paraId="0759DBF4" w14:textId="77777777" w:rsidR="00080D2E" w:rsidRDefault="00080D2E" w:rsidP="00640623">
      <w:pPr>
        <w:rPr>
          <w:rFonts w:ascii="Arial" w:hAnsi="Arial" w:cs="Arial"/>
          <w:i/>
          <w:color w:val="808080" w:themeColor="background1" w:themeShade="80"/>
          <w:sz w:val="22"/>
          <w:szCs w:val="22"/>
          <w:lang w:val="en-GB"/>
        </w:rPr>
      </w:pPr>
    </w:p>
    <w:p w14:paraId="4E3C6CB5" w14:textId="5A6F7E68" w:rsidR="00080D2E" w:rsidRDefault="00080D2E" w:rsidP="00080D2E">
      <w:pPr>
        <w:pStyle w:val="BodyText"/>
        <w:ind w:left="709" w:hanging="709"/>
        <w:jc w:val="both"/>
      </w:pPr>
      <w:r>
        <w:t>1</w:t>
      </w:r>
      <w:r>
        <w:tab/>
        <w:t>The Court has to decide on an application either by a debtor or a creditor to commence bankruptcy proceedings.</w:t>
      </w:r>
    </w:p>
    <w:p w14:paraId="5E541326" w14:textId="77777777" w:rsidR="00080D2E" w:rsidRDefault="00080D2E" w:rsidP="00640623">
      <w:pPr>
        <w:rPr>
          <w:rFonts w:ascii="Arial" w:hAnsi="Arial" w:cs="Arial"/>
          <w:color w:val="808080" w:themeColor="background1" w:themeShade="80"/>
          <w:sz w:val="22"/>
          <w:szCs w:val="22"/>
          <w:lang w:val="en-GB"/>
        </w:rPr>
      </w:pPr>
    </w:p>
    <w:p w14:paraId="02514150" w14:textId="02435243" w:rsidR="00080D2E" w:rsidRPr="00080D2E" w:rsidRDefault="00080D2E" w:rsidP="00080D2E">
      <w:pPr>
        <w:pStyle w:val="Heading1"/>
        <w:rPr>
          <w:lang w:val="en-GB"/>
        </w:rPr>
      </w:pPr>
      <w:r w:rsidRPr="00080D2E">
        <w:rPr>
          <w:lang w:val="en-GB"/>
        </w:rPr>
        <w:t>Order for commencement of bankruptcy procedure and appointment of trustee</w:t>
      </w:r>
    </w:p>
    <w:p w14:paraId="6BB790A8" w14:textId="77777777" w:rsidR="00080D2E" w:rsidRDefault="00080D2E" w:rsidP="00640623">
      <w:pPr>
        <w:rPr>
          <w:rFonts w:ascii="Arial" w:hAnsi="Arial" w:cs="Arial"/>
          <w:i/>
          <w:color w:val="808080" w:themeColor="background1" w:themeShade="80"/>
          <w:sz w:val="22"/>
          <w:szCs w:val="22"/>
          <w:lang w:val="en-GB"/>
        </w:rPr>
      </w:pPr>
    </w:p>
    <w:p w14:paraId="7C357655" w14:textId="180221BC" w:rsidR="00080D2E" w:rsidRDefault="00080D2E"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t>When a</w:t>
      </w:r>
      <w:r w:rsidR="005E4AD4">
        <w:rPr>
          <w:rFonts w:ascii="Arial" w:hAnsi="Arial" w:cs="Arial"/>
          <w:color w:val="808080" w:themeColor="background1" w:themeShade="80"/>
          <w:sz w:val="22"/>
          <w:szCs w:val="22"/>
          <w:lang w:val="en-GB"/>
        </w:rPr>
        <w:t xml:space="preserve"> bankruptcy application is made, the Court is required to appoint an expert from the panel of experts to analyse the financial position of the debtor</w:t>
      </w:r>
      <w:r w:rsidR="00D40569">
        <w:rPr>
          <w:rFonts w:ascii="Arial" w:hAnsi="Arial" w:cs="Arial"/>
          <w:color w:val="808080" w:themeColor="background1" w:themeShade="80"/>
          <w:sz w:val="22"/>
          <w:szCs w:val="22"/>
          <w:lang w:val="en-GB"/>
        </w:rPr>
        <w:t>.</w:t>
      </w:r>
      <w:r w:rsidR="001311BB">
        <w:rPr>
          <w:rStyle w:val="FootnoteReference"/>
          <w:rFonts w:ascii="Arial" w:hAnsi="Arial" w:cs="Arial"/>
          <w:color w:val="808080" w:themeColor="background1" w:themeShade="80"/>
          <w:sz w:val="22"/>
          <w:szCs w:val="22"/>
          <w:lang w:val="en-GB"/>
        </w:rPr>
        <w:footnoteReference w:id="1"/>
      </w:r>
      <w:r w:rsidR="001311BB">
        <w:rPr>
          <w:rFonts w:ascii="Arial" w:hAnsi="Arial" w:cs="Arial"/>
          <w:color w:val="808080" w:themeColor="background1" w:themeShade="80"/>
          <w:sz w:val="22"/>
          <w:szCs w:val="22"/>
          <w:lang w:val="en-GB"/>
        </w:rPr>
        <w:t xml:space="preserve">  The Court may reject the application if the required information is not provided</w:t>
      </w:r>
      <w:r w:rsidR="00D40569">
        <w:rPr>
          <w:rFonts w:ascii="Arial" w:hAnsi="Arial" w:cs="Arial"/>
          <w:color w:val="808080" w:themeColor="background1" w:themeShade="80"/>
          <w:sz w:val="22"/>
          <w:szCs w:val="22"/>
          <w:lang w:val="en-GB"/>
        </w:rPr>
        <w:t>.</w:t>
      </w:r>
      <w:r w:rsidR="001311BB">
        <w:rPr>
          <w:rStyle w:val="FootnoteReference"/>
          <w:rFonts w:ascii="Arial" w:hAnsi="Arial" w:cs="Arial"/>
          <w:color w:val="808080" w:themeColor="background1" w:themeShade="80"/>
          <w:sz w:val="22"/>
          <w:szCs w:val="22"/>
          <w:lang w:val="en-GB"/>
        </w:rPr>
        <w:footnoteReference w:id="2"/>
      </w:r>
      <w:r w:rsidR="001311BB">
        <w:rPr>
          <w:rFonts w:ascii="Arial" w:hAnsi="Arial" w:cs="Arial"/>
          <w:color w:val="808080" w:themeColor="background1" w:themeShade="80"/>
          <w:sz w:val="22"/>
          <w:szCs w:val="22"/>
          <w:lang w:val="en-GB"/>
        </w:rPr>
        <w:t xml:space="preserve">  In determining the application, the Court may require a person to furnish additional information</w:t>
      </w:r>
      <w:r w:rsidR="00E66482">
        <w:rPr>
          <w:rStyle w:val="FootnoteReference"/>
          <w:rFonts w:ascii="Arial" w:hAnsi="Arial" w:cs="Arial"/>
          <w:color w:val="808080" w:themeColor="background1" w:themeShade="80"/>
          <w:sz w:val="22"/>
          <w:szCs w:val="22"/>
          <w:lang w:val="en-GB"/>
        </w:rPr>
        <w:footnoteReference w:id="3"/>
      </w:r>
      <w:r w:rsidR="00E66482">
        <w:rPr>
          <w:rFonts w:ascii="Arial" w:hAnsi="Arial" w:cs="Arial"/>
          <w:color w:val="808080" w:themeColor="background1" w:themeShade="80"/>
          <w:sz w:val="22"/>
          <w:szCs w:val="22"/>
          <w:lang w:val="en-GB"/>
        </w:rPr>
        <w:t>, it can also join other parties to the proceedings and it can make interim orders in respect of the debtor’s property</w:t>
      </w:r>
      <w:r w:rsidR="00D40569">
        <w:rPr>
          <w:rFonts w:ascii="Arial" w:hAnsi="Arial" w:cs="Arial"/>
          <w:color w:val="808080" w:themeColor="background1" w:themeShade="80"/>
          <w:sz w:val="22"/>
          <w:szCs w:val="22"/>
          <w:lang w:val="en-GB"/>
        </w:rPr>
        <w:t>.</w:t>
      </w:r>
      <w:r w:rsidR="00E66482">
        <w:rPr>
          <w:rStyle w:val="FootnoteReference"/>
          <w:rFonts w:ascii="Arial" w:hAnsi="Arial" w:cs="Arial"/>
          <w:color w:val="808080" w:themeColor="background1" w:themeShade="80"/>
          <w:sz w:val="22"/>
          <w:szCs w:val="22"/>
          <w:lang w:val="en-GB"/>
        </w:rPr>
        <w:footnoteReference w:id="4"/>
      </w:r>
      <w:r w:rsidR="00E66482">
        <w:rPr>
          <w:rFonts w:ascii="Arial" w:hAnsi="Arial" w:cs="Arial"/>
          <w:color w:val="808080" w:themeColor="background1" w:themeShade="80"/>
          <w:sz w:val="22"/>
          <w:szCs w:val="22"/>
          <w:lang w:val="en-GB"/>
        </w:rPr>
        <w:t xml:space="preserve">  The expert fulfils a very critical role in that he is required to report</w:t>
      </w:r>
      <w:r w:rsidR="009613D0">
        <w:rPr>
          <w:rFonts w:ascii="Arial" w:hAnsi="Arial" w:cs="Arial"/>
          <w:color w:val="808080" w:themeColor="background1" w:themeShade="80"/>
          <w:sz w:val="22"/>
          <w:szCs w:val="22"/>
          <w:lang w:val="en-GB"/>
        </w:rPr>
        <w:t xml:space="preserve"> to Court on the debtor’s financial position and give an opinion on the possibility of the debtor being restructured successfully.  If the Court is satisfied that all the necessary requirements have been fulfilled, it will make an order commencing bankruptcy.</w:t>
      </w:r>
    </w:p>
    <w:p w14:paraId="3C627E0D" w14:textId="77777777" w:rsidR="009613D0" w:rsidRDefault="009613D0" w:rsidP="005E4AD4">
      <w:pPr>
        <w:ind w:left="709" w:hanging="709"/>
        <w:jc w:val="both"/>
        <w:rPr>
          <w:rFonts w:ascii="Arial" w:hAnsi="Arial" w:cs="Arial"/>
          <w:color w:val="808080" w:themeColor="background1" w:themeShade="80"/>
          <w:sz w:val="22"/>
          <w:szCs w:val="22"/>
          <w:lang w:val="en-GB"/>
        </w:rPr>
      </w:pPr>
    </w:p>
    <w:p w14:paraId="0194F7A4" w14:textId="727F84CB" w:rsidR="009613D0" w:rsidRDefault="009613D0"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ab/>
        <w:t>Once the Court has granted an order commencing bankruptcy, it is required to appoint a trustee, who can either be nominated by the debtor or the person enrolled in the table of experts appointed by the Financial Restructuring Committee.</w:t>
      </w:r>
      <w:r w:rsidR="004F7A4B">
        <w:rPr>
          <w:rFonts w:ascii="Arial" w:hAnsi="Arial" w:cs="Arial"/>
          <w:color w:val="808080" w:themeColor="background1" w:themeShade="80"/>
          <w:sz w:val="22"/>
          <w:szCs w:val="22"/>
          <w:lang w:val="en-GB"/>
        </w:rPr>
        <w:t xml:space="preserve">  The Court may substitute the trustee or an expert, either </w:t>
      </w:r>
      <w:r w:rsidR="006E597A">
        <w:rPr>
          <w:rFonts w:ascii="Arial" w:hAnsi="Arial" w:cs="Arial"/>
          <w:i/>
          <w:color w:val="808080" w:themeColor="background1" w:themeShade="80"/>
          <w:sz w:val="22"/>
          <w:szCs w:val="22"/>
          <w:lang w:val="en-GB"/>
        </w:rPr>
        <w:t>mero motu</w:t>
      </w:r>
      <w:r w:rsidR="006E597A">
        <w:rPr>
          <w:rFonts w:ascii="Arial" w:hAnsi="Arial" w:cs="Arial"/>
          <w:color w:val="808080" w:themeColor="background1" w:themeShade="80"/>
          <w:sz w:val="22"/>
          <w:szCs w:val="22"/>
          <w:lang w:val="en-GB"/>
        </w:rPr>
        <w:t xml:space="preserve"> or upon the debtor’s application.</w:t>
      </w:r>
      <w:r w:rsidR="006E597A">
        <w:rPr>
          <w:rStyle w:val="FootnoteReference"/>
          <w:rFonts w:ascii="Arial" w:hAnsi="Arial" w:cs="Arial"/>
          <w:color w:val="808080" w:themeColor="background1" w:themeShade="80"/>
          <w:sz w:val="22"/>
          <w:szCs w:val="22"/>
          <w:lang w:val="en-GB"/>
        </w:rPr>
        <w:footnoteReference w:id="5"/>
      </w:r>
      <w:r w:rsidR="006E597A">
        <w:rPr>
          <w:rFonts w:ascii="Arial" w:hAnsi="Arial" w:cs="Arial"/>
          <w:color w:val="808080" w:themeColor="background1" w:themeShade="80"/>
          <w:sz w:val="22"/>
          <w:szCs w:val="22"/>
          <w:lang w:val="en-GB"/>
        </w:rPr>
        <w:t xml:space="preserve">  The Court is also required to determine the trustee’s fees and shall authorise payment from the funds deposited by the debtor when making the application.  If however the funds lodged are inadequate to pay the trustee’s fees, the trustee or expert may apply to Court for payment of the fees from the Court treasury, with the result that any funds paid from the treasury will be repaid in priority over all creditors upon the first realisation of addi</w:t>
      </w:r>
      <w:r w:rsidR="00FC26E8">
        <w:rPr>
          <w:rFonts w:ascii="Arial" w:hAnsi="Arial" w:cs="Arial"/>
          <w:color w:val="808080" w:themeColor="background1" w:themeShade="80"/>
          <w:sz w:val="22"/>
          <w:szCs w:val="22"/>
          <w:lang w:val="en-GB"/>
        </w:rPr>
        <w:t>tio</w:t>
      </w:r>
      <w:r w:rsidR="006E597A">
        <w:rPr>
          <w:rFonts w:ascii="Arial" w:hAnsi="Arial" w:cs="Arial"/>
          <w:color w:val="808080" w:themeColor="background1" w:themeShade="80"/>
          <w:sz w:val="22"/>
          <w:szCs w:val="22"/>
          <w:lang w:val="en-GB"/>
        </w:rPr>
        <w:t>nal assets</w:t>
      </w:r>
      <w:r w:rsidR="00FC26E8">
        <w:rPr>
          <w:rFonts w:ascii="Arial" w:hAnsi="Arial" w:cs="Arial"/>
          <w:color w:val="808080" w:themeColor="background1" w:themeShade="80"/>
          <w:sz w:val="22"/>
          <w:szCs w:val="22"/>
          <w:lang w:val="en-GB"/>
        </w:rPr>
        <w:t>.</w:t>
      </w:r>
      <w:r w:rsidR="00FC26E8">
        <w:rPr>
          <w:rStyle w:val="FootnoteReference"/>
          <w:rFonts w:ascii="Arial" w:hAnsi="Arial" w:cs="Arial"/>
          <w:color w:val="808080" w:themeColor="background1" w:themeShade="80"/>
          <w:sz w:val="22"/>
          <w:szCs w:val="22"/>
          <w:lang w:val="en-GB"/>
        </w:rPr>
        <w:footnoteReference w:id="6"/>
      </w:r>
    </w:p>
    <w:p w14:paraId="51106945" w14:textId="77777777" w:rsidR="005558ED" w:rsidRDefault="005558ED" w:rsidP="005E4AD4">
      <w:pPr>
        <w:ind w:left="709" w:hanging="709"/>
        <w:jc w:val="both"/>
        <w:rPr>
          <w:rFonts w:ascii="Arial" w:hAnsi="Arial" w:cs="Arial"/>
          <w:color w:val="808080" w:themeColor="background1" w:themeShade="80"/>
          <w:sz w:val="22"/>
          <w:szCs w:val="22"/>
          <w:lang w:val="en-GB"/>
        </w:rPr>
      </w:pPr>
    </w:p>
    <w:p w14:paraId="7DA36BEE" w14:textId="55D75D22" w:rsidR="005558ED" w:rsidRDefault="005558ED"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ab/>
        <w:t>The Court may also appoint one or more supervisors.</w:t>
      </w:r>
      <w:r>
        <w:rPr>
          <w:rStyle w:val="FootnoteReference"/>
          <w:rFonts w:ascii="Arial" w:hAnsi="Arial" w:cs="Arial"/>
          <w:color w:val="808080" w:themeColor="background1" w:themeShade="80"/>
          <w:sz w:val="22"/>
          <w:szCs w:val="22"/>
          <w:lang w:val="en-GB"/>
        </w:rPr>
        <w:footnoteReference w:id="7"/>
      </w:r>
      <w:r w:rsidR="00EB08A1">
        <w:rPr>
          <w:rFonts w:ascii="Arial" w:hAnsi="Arial" w:cs="Arial"/>
          <w:color w:val="808080" w:themeColor="background1" w:themeShade="80"/>
          <w:sz w:val="22"/>
          <w:szCs w:val="22"/>
          <w:lang w:val="en-GB"/>
        </w:rPr>
        <w:t xml:space="preserve">  The supervisors represent the creditors.</w:t>
      </w:r>
    </w:p>
    <w:p w14:paraId="351DDDEB" w14:textId="77777777" w:rsidR="00EB08A1" w:rsidRDefault="00EB08A1" w:rsidP="005E4AD4">
      <w:pPr>
        <w:ind w:left="709" w:hanging="709"/>
        <w:jc w:val="both"/>
        <w:rPr>
          <w:rFonts w:ascii="Arial" w:hAnsi="Arial" w:cs="Arial"/>
          <w:color w:val="808080" w:themeColor="background1" w:themeShade="80"/>
          <w:sz w:val="22"/>
          <w:szCs w:val="22"/>
          <w:lang w:val="en-GB"/>
        </w:rPr>
      </w:pPr>
    </w:p>
    <w:p w14:paraId="421CB63F" w14:textId="62886102" w:rsidR="00EB08A1" w:rsidRPr="00EB08A1" w:rsidRDefault="00EB08A1" w:rsidP="00EB08A1">
      <w:pPr>
        <w:pStyle w:val="Heading2"/>
        <w:rPr>
          <w:lang w:val="en-GB"/>
        </w:rPr>
      </w:pPr>
      <w:r w:rsidRPr="00EB08A1">
        <w:rPr>
          <w:lang w:val="en-GB"/>
        </w:rPr>
        <w:t>Role of the trustee in bankruptcy</w:t>
      </w:r>
    </w:p>
    <w:p w14:paraId="24FE6691" w14:textId="77777777" w:rsidR="00EB08A1" w:rsidRDefault="00EB08A1" w:rsidP="005E4AD4">
      <w:pPr>
        <w:ind w:left="709" w:hanging="709"/>
        <w:jc w:val="both"/>
        <w:rPr>
          <w:rFonts w:ascii="Arial" w:hAnsi="Arial" w:cs="Arial"/>
          <w:color w:val="808080" w:themeColor="background1" w:themeShade="80"/>
          <w:sz w:val="22"/>
          <w:szCs w:val="22"/>
          <w:lang w:val="en-GB"/>
        </w:rPr>
      </w:pPr>
    </w:p>
    <w:p w14:paraId="4EB17E2D" w14:textId="2857B5A2" w:rsidR="00EB08A1" w:rsidRDefault="00EB08A1"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ab/>
      </w:r>
      <w:r w:rsidR="00847B22">
        <w:rPr>
          <w:rFonts w:ascii="Arial" w:hAnsi="Arial" w:cs="Arial"/>
          <w:color w:val="808080" w:themeColor="background1" w:themeShade="80"/>
          <w:sz w:val="22"/>
          <w:szCs w:val="22"/>
          <w:lang w:val="en-GB"/>
        </w:rPr>
        <w:t>Upon making an appointment, the Court is required to furnish the trustee with information it has in relation to the debtor.</w:t>
      </w:r>
      <w:r w:rsidR="00847B22">
        <w:rPr>
          <w:rStyle w:val="FootnoteReference"/>
          <w:rFonts w:ascii="Arial" w:hAnsi="Arial" w:cs="Arial"/>
          <w:color w:val="808080" w:themeColor="background1" w:themeShade="80"/>
          <w:sz w:val="22"/>
          <w:szCs w:val="22"/>
          <w:lang w:val="en-GB"/>
        </w:rPr>
        <w:footnoteReference w:id="8"/>
      </w:r>
      <w:r w:rsidR="00D40569">
        <w:rPr>
          <w:rFonts w:ascii="Arial" w:hAnsi="Arial" w:cs="Arial"/>
          <w:color w:val="808080" w:themeColor="background1" w:themeShade="80"/>
          <w:sz w:val="22"/>
          <w:szCs w:val="22"/>
          <w:lang w:val="en-GB"/>
        </w:rPr>
        <w:t xml:space="preserve">  After the expiry of the period</w:t>
      </w:r>
      <w:r w:rsidR="000A1DC3">
        <w:rPr>
          <w:rFonts w:ascii="Arial" w:hAnsi="Arial" w:cs="Arial"/>
          <w:color w:val="808080" w:themeColor="background1" w:themeShade="80"/>
          <w:sz w:val="22"/>
          <w:szCs w:val="22"/>
          <w:lang w:val="en-GB"/>
        </w:rPr>
        <w:t xml:space="preserve"> for creditors to lodge their claims, the trustee is required to prepare a list of creditors, including particulars of the claims and supporting information, the trustee’s views as to whether to accept or reject the claims and any proposal regarding payment</w:t>
      </w:r>
      <w:r w:rsidR="00001907">
        <w:rPr>
          <w:rFonts w:ascii="Arial" w:hAnsi="Arial" w:cs="Arial"/>
          <w:color w:val="808080" w:themeColor="background1" w:themeShade="80"/>
          <w:sz w:val="22"/>
          <w:szCs w:val="22"/>
          <w:lang w:val="en-GB"/>
        </w:rPr>
        <w:t xml:space="preserve">.  Such list must be lodged with the Court within </w:t>
      </w:r>
      <w:r w:rsidR="002426EF">
        <w:rPr>
          <w:rFonts w:ascii="Arial" w:hAnsi="Arial" w:cs="Arial"/>
          <w:color w:val="808080" w:themeColor="background1" w:themeShade="80"/>
          <w:sz w:val="22"/>
          <w:szCs w:val="22"/>
          <w:lang w:val="en-GB"/>
        </w:rPr>
        <w:t>10</w:t>
      </w:r>
      <w:r w:rsidR="00001907">
        <w:rPr>
          <w:rFonts w:ascii="Arial" w:hAnsi="Arial" w:cs="Arial"/>
          <w:color w:val="808080" w:themeColor="background1" w:themeShade="80"/>
          <w:sz w:val="22"/>
          <w:szCs w:val="22"/>
          <w:lang w:val="en-GB"/>
        </w:rPr>
        <w:t xml:space="preserve"> business days from the date of the period for lodging of claims.</w:t>
      </w:r>
    </w:p>
    <w:p w14:paraId="5E80D512" w14:textId="77777777" w:rsidR="00001907" w:rsidRDefault="00001907" w:rsidP="005E4AD4">
      <w:pPr>
        <w:ind w:left="709" w:hanging="709"/>
        <w:jc w:val="both"/>
        <w:rPr>
          <w:rFonts w:ascii="Arial" w:hAnsi="Arial" w:cs="Arial"/>
          <w:color w:val="808080" w:themeColor="background1" w:themeShade="80"/>
          <w:sz w:val="22"/>
          <w:szCs w:val="22"/>
          <w:lang w:val="en-GB"/>
        </w:rPr>
      </w:pPr>
    </w:p>
    <w:p w14:paraId="7E276369" w14:textId="392BA39C" w:rsidR="00001907" w:rsidRDefault="00001907"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ab/>
      </w:r>
      <w:r w:rsidR="00357A7C">
        <w:rPr>
          <w:rFonts w:ascii="Arial" w:hAnsi="Arial" w:cs="Arial"/>
          <w:color w:val="808080" w:themeColor="background1" w:themeShade="80"/>
          <w:sz w:val="22"/>
          <w:szCs w:val="22"/>
          <w:lang w:val="en-GB"/>
        </w:rPr>
        <w:t xml:space="preserve">If a debtor or creditor objects to the list by application to Court within </w:t>
      </w:r>
      <w:r w:rsidR="00756116">
        <w:rPr>
          <w:rFonts w:ascii="Arial" w:hAnsi="Arial" w:cs="Arial"/>
          <w:color w:val="808080" w:themeColor="background1" w:themeShade="80"/>
          <w:sz w:val="22"/>
          <w:szCs w:val="22"/>
          <w:lang w:val="en-GB"/>
        </w:rPr>
        <w:t>7</w:t>
      </w:r>
      <w:r w:rsidR="00357A7C">
        <w:rPr>
          <w:rFonts w:ascii="Arial" w:hAnsi="Arial" w:cs="Arial"/>
          <w:color w:val="808080" w:themeColor="background1" w:themeShade="80"/>
          <w:sz w:val="22"/>
          <w:szCs w:val="22"/>
          <w:lang w:val="en-GB"/>
        </w:rPr>
        <w:t xml:space="preserve"> business days from date of publication of the list</w:t>
      </w:r>
      <w:r w:rsidR="00357A7C">
        <w:rPr>
          <w:rStyle w:val="FootnoteReference"/>
          <w:rFonts w:ascii="Arial" w:hAnsi="Arial" w:cs="Arial"/>
          <w:color w:val="808080" w:themeColor="background1" w:themeShade="80"/>
          <w:sz w:val="22"/>
          <w:szCs w:val="22"/>
          <w:lang w:val="en-GB"/>
        </w:rPr>
        <w:footnoteReference w:id="9"/>
      </w:r>
      <w:r w:rsidR="00357A7C">
        <w:rPr>
          <w:rFonts w:ascii="Arial" w:hAnsi="Arial" w:cs="Arial"/>
          <w:color w:val="808080" w:themeColor="background1" w:themeShade="80"/>
          <w:sz w:val="22"/>
          <w:szCs w:val="22"/>
          <w:lang w:val="en-GB"/>
        </w:rPr>
        <w:t xml:space="preserve">, the Court must determine such an application within </w:t>
      </w:r>
      <w:r w:rsidR="00756116">
        <w:rPr>
          <w:rFonts w:ascii="Arial" w:hAnsi="Arial" w:cs="Arial"/>
          <w:color w:val="808080" w:themeColor="background1" w:themeShade="80"/>
          <w:sz w:val="22"/>
          <w:szCs w:val="22"/>
          <w:lang w:val="en-GB"/>
        </w:rPr>
        <w:t>10</w:t>
      </w:r>
      <w:r w:rsidR="00357A7C">
        <w:rPr>
          <w:rFonts w:ascii="Arial" w:hAnsi="Arial" w:cs="Arial"/>
          <w:color w:val="808080" w:themeColor="background1" w:themeShade="80"/>
          <w:sz w:val="22"/>
          <w:szCs w:val="22"/>
          <w:lang w:val="en-GB"/>
        </w:rPr>
        <w:t xml:space="preserve"> business days of the application.  The Court may admit the debt</w:t>
      </w:r>
      <w:r w:rsidR="00071C51">
        <w:rPr>
          <w:rFonts w:ascii="Arial" w:hAnsi="Arial" w:cs="Arial"/>
          <w:color w:val="808080" w:themeColor="background1" w:themeShade="80"/>
          <w:sz w:val="22"/>
          <w:szCs w:val="22"/>
          <w:lang w:val="en-GB"/>
        </w:rPr>
        <w:t xml:space="preserve"> on a preliminary basis, bearing in mind that no debt may be admitted if the creditor has brought a criminal claim in respect thereof.  The Court must finally determine the list of creditors.</w:t>
      </w:r>
      <w:r w:rsidR="00071C51">
        <w:rPr>
          <w:rStyle w:val="FootnoteReference"/>
          <w:rFonts w:ascii="Arial" w:hAnsi="Arial" w:cs="Arial"/>
          <w:color w:val="808080" w:themeColor="background1" w:themeShade="80"/>
          <w:sz w:val="22"/>
          <w:szCs w:val="22"/>
          <w:lang w:val="en-GB"/>
        </w:rPr>
        <w:footnoteReference w:id="10"/>
      </w:r>
    </w:p>
    <w:p w14:paraId="58B26E85" w14:textId="77777777" w:rsidR="00C01F3F" w:rsidRDefault="00C01F3F" w:rsidP="005E4AD4">
      <w:pPr>
        <w:ind w:left="709" w:hanging="709"/>
        <w:jc w:val="both"/>
        <w:rPr>
          <w:rFonts w:ascii="Arial" w:hAnsi="Arial" w:cs="Arial"/>
          <w:color w:val="808080" w:themeColor="background1" w:themeShade="80"/>
          <w:sz w:val="22"/>
          <w:szCs w:val="22"/>
          <w:lang w:val="en-GB"/>
        </w:rPr>
      </w:pPr>
    </w:p>
    <w:p w14:paraId="5046D4DC" w14:textId="559388F4" w:rsidR="00C01F3F" w:rsidRPr="00C01F3F" w:rsidRDefault="00C01F3F" w:rsidP="00C01F3F">
      <w:pPr>
        <w:pStyle w:val="Heading2"/>
        <w:rPr>
          <w:lang w:val="en-GB"/>
        </w:rPr>
      </w:pPr>
      <w:r w:rsidRPr="00C01F3F">
        <w:rPr>
          <w:lang w:val="en-GB"/>
        </w:rPr>
        <w:t>Trustee’s report on possible restructuring</w:t>
      </w:r>
    </w:p>
    <w:p w14:paraId="3AB890B0" w14:textId="77777777" w:rsidR="00C01F3F" w:rsidRDefault="00C01F3F" w:rsidP="005E4AD4">
      <w:pPr>
        <w:ind w:left="709" w:hanging="709"/>
        <w:jc w:val="both"/>
        <w:rPr>
          <w:rFonts w:ascii="Arial" w:hAnsi="Arial" w:cs="Arial"/>
          <w:i/>
          <w:color w:val="808080" w:themeColor="background1" w:themeShade="80"/>
          <w:sz w:val="22"/>
          <w:szCs w:val="22"/>
          <w:lang w:val="en-GB"/>
        </w:rPr>
      </w:pPr>
    </w:p>
    <w:p w14:paraId="17F9CA64" w14:textId="121A61DE" w:rsidR="00C01F3F" w:rsidRPr="00FC45AB" w:rsidRDefault="00C01F3F" w:rsidP="00FC45AB">
      <w:pPr>
        <w:pStyle w:val="BodyTextIndent3"/>
        <w:rPr>
          <w:lang w:val="en-GB"/>
        </w:rPr>
      </w:pPr>
      <w:r w:rsidRPr="00FC45AB">
        <w:rPr>
          <w:lang w:val="en-GB"/>
        </w:rPr>
        <w:t>7</w:t>
      </w:r>
      <w:r w:rsidRPr="00FC45AB">
        <w:rPr>
          <w:lang w:val="en-GB"/>
        </w:rPr>
        <w:tab/>
        <w:t>Once appointed</w:t>
      </w:r>
      <w:r w:rsidR="00FC45AB" w:rsidRPr="00FC45AB">
        <w:rPr>
          <w:lang w:val="en-GB"/>
        </w:rPr>
        <w:t>, the trustee is required to produce a report on the debtor’s business and file it at Court within the time prescribed by the Court.  Whereafter, the Court is required to review the report to confirm that it takes account of all creditor claims.</w:t>
      </w:r>
    </w:p>
    <w:p w14:paraId="3143D3A0" w14:textId="77777777" w:rsidR="00FC45AB" w:rsidRDefault="00FC45AB" w:rsidP="005E4AD4">
      <w:pPr>
        <w:ind w:left="709" w:hanging="709"/>
        <w:jc w:val="both"/>
        <w:rPr>
          <w:rFonts w:ascii="Arial" w:hAnsi="Arial" w:cs="Arial"/>
          <w:color w:val="808080" w:themeColor="background1" w:themeShade="80"/>
          <w:sz w:val="22"/>
          <w:szCs w:val="22"/>
          <w:lang w:val="en-GB"/>
        </w:rPr>
      </w:pPr>
    </w:p>
    <w:p w14:paraId="192932BB" w14:textId="5D7E8DF6" w:rsidR="00FC45AB" w:rsidRDefault="00FC45AB"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8</w:t>
      </w:r>
      <w:r>
        <w:rPr>
          <w:rFonts w:ascii="Arial" w:hAnsi="Arial" w:cs="Arial"/>
          <w:color w:val="808080" w:themeColor="background1" w:themeShade="80"/>
          <w:sz w:val="22"/>
          <w:szCs w:val="22"/>
          <w:lang w:val="en-GB"/>
        </w:rPr>
        <w:tab/>
        <w:t>Once the trustee’s report has been submitted to the Court, the Court is required to direct the trustee to hold a creditors meeting by way of notice and advertisement.  Unless the Court is of the view that liquidation</w:t>
      </w:r>
      <w:r w:rsidR="00AE508E">
        <w:rPr>
          <w:rFonts w:ascii="Arial" w:hAnsi="Arial" w:cs="Arial"/>
          <w:color w:val="808080" w:themeColor="background1" w:themeShade="80"/>
          <w:sz w:val="22"/>
          <w:szCs w:val="22"/>
          <w:lang w:val="en-GB"/>
        </w:rPr>
        <w:t xml:space="preserve"> it is required to direct the trustee to pr</w:t>
      </w:r>
      <w:r w:rsidR="00991D88">
        <w:rPr>
          <w:rFonts w:ascii="Arial" w:hAnsi="Arial" w:cs="Arial"/>
          <w:color w:val="808080" w:themeColor="background1" w:themeShade="80"/>
          <w:sz w:val="22"/>
          <w:szCs w:val="22"/>
          <w:lang w:val="en-GB"/>
        </w:rPr>
        <w:t>epare a restructuring scheme.  I</w:t>
      </w:r>
      <w:r w:rsidR="00AE508E">
        <w:rPr>
          <w:rFonts w:ascii="Arial" w:hAnsi="Arial" w:cs="Arial"/>
          <w:color w:val="808080" w:themeColor="background1" w:themeShade="80"/>
          <w:sz w:val="22"/>
          <w:szCs w:val="22"/>
          <w:lang w:val="en-GB"/>
        </w:rPr>
        <w:t>t is important to note that the Court may not sanction a proposed restructuring unless the debtor confirms that it is amenable to continue trading and provided it appears that the proposed restructuring is plausible.</w:t>
      </w:r>
      <w:r w:rsidR="00AE508E">
        <w:rPr>
          <w:rStyle w:val="FootnoteReference"/>
          <w:rFonts w:ascii="Arial" w:hAnsi="Arial" w:cs="Arial"/>
          <w:color w:val="808080" w:themeColor="background1" w:themeShade="80"/>
          <w:sz w:val="22"/>
          <w:szCs w:val="22"/>
          <w:lang w:val="en-GB"/>
        </w:rPr>
        <w:footnoteReference w:id="11"/>
      </w:r>
    </w:p>
    <w:p w14:paraId="64BDB7F5" w14:textId="77777777" w:rsidR="007D6F9B" w:rsidRDefault="007D6F9B" w:rsidP="005E4AD4">
      <w:pPr>
        <w:ind w:left="709" w:hanging="709"/>
        <w:jc w:val="both"/>
        <w:rPr>
          <w:rFonts w:ascii="Arial" w:hAnsi="Arial" w:cs="Arial"/>
          <w:color w:val="808080" w:themeColor="background1" w:themeShade="80"/>
          <w:sz w:val="22"/>
          <w:szCs w:val="22"/>
          <w:lang w:val="en-GB"/>
        </w:rPr>
      </w:pPr>
    </w:p>
    <w:p w14:paraId="5D4729D0" w14:textId="6A837D43" w:rsidR="007D6F9B" w:rsidRDefault="007D6F9B"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9</w:t>
      </w:r>
      <w:r>
        <w:rPr>
          <w:rFonts w:ascii="Arial" w:hAnsi="Arial" w:cs="Arial"/>
          <w:color w:val="808080" w:themeColor="background1" w:themeShade="80"/>
          <w:sz w:val="22"/>
          <w:szCs w:val="22"/>
          <w:lang w:val="en-GB"/>
        </w:rPr>
        <w:tab/>
        <w:t xml:space="preserve">Should the Court decide that the debtor should be restructured, the trustee is required to prepare and develop a scheme within </w:t>
      </w:r>
      <w:r w:rsidR="00186993">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 xml:space="preserve"> months of his appointment.</w:t>
      </w:r>
      <w:r>
        <w:rPr>
          <w:rStyle w:val="FootnoteReference"/>
          <w:rFonts w:ascii="Arial" w:hAnsi="Arial" w:cs="Arial"/>
          <w:color w:val="808080" w:themeColor="background1" w:themeShade="80"/>
          <w:sz w:val="22"/>
          <w:szCs w:val="22"/>
          <w:lang w:val="en-GB"/>
        </w:rPr>
        <w:footnoteReference w:id="12"/>
      </w:r>
      <w:r>
        <w:rPr>
          <w:rFonts w:ascii="Arial" w:hAnsi="Arial" w:cs="Arial"/>
          <w:color w:val="808080" w:themeColor="background1" w:themeShade="80"/>
          <w:sz w:val="22"/>
          <w:szCs w:val="22"/>
          <w:lang w:val="en-GB"/>
        </w:rPr>
        <w:t xml:space="preserve">  The trustee is required to submit the scheme to the Court, which in turn is required to review the proposed scheme within </w:t>
      </w:r>
      <w:r w:rsidR="00186993">
        <w:rPr>
          <w:rFonts w:ascii="Arial" w:hAnsi="Arial" w:cs="Arial"/>
          <w:color w:val="808080" w:themeColor="background1" w:themeShade="80"/>
          <w:sz w:val="22"/>
          <w:szCs w:val="22"/>
          <w:lang w:val="en-GB"/>
        </w:rPr>
        <w:t>10</w:t>
      </w:r>
      <w:r>
        <w:rPr>
          <w:rFonts w:ascii="Arial" w:hAnsi="Arial" w:cs="Arial"/>
          <w:color w:val="808080" w:themeColor="background1" w:themeShade="80"/>
          <w:sz w:val="22"/>
          <w:szCs w:val="22"/>
          <w:lang w:val="en-GB"/>
        </w:rPr>
        <w:t xml:space="preserve"> business days of submission.  The Court can request the trustee to amend the scheme if it </w:t>
      </w:r>
      <w:r w:rsidR="00732D5D">
        <w:rPr>
          <w:rFonts w:ascii="Arial" w:hAnsi="Arial" w:cs="Arial"/>
          <w:color w:val="808080" w:themeColor="background1" w:themeShade="80"/>
          <w:sz w:val="22"/>
          <w:szCs w:val="22"/>
          <w:lang w:val="en-GB"/>
        </w:rPr>
        <w:t>does</w:t>
      </w:r>
      <w:r>
        <w:rPr>
          <w:rFonts w:ascii="Arial" w:hAnsi="Arial" w:cs="Arial"/>
          <w:color w:val="808080" w:themeColor="background1" w:themeShade="80"/>
          <w:sz w:val="22"/>
          <w:szCs w:val="22"/>
          <w:lang w:val="en-GB"/>
        </w:rPr>
        <w:t xml:space="preserve"> not properly</w:t>
      </w:r>
      <w:r w:rsidR="00732D5D">
        <w:rPr>
          <w:rFonts w:ascii="Arial" w:hAnsi="Arial" w:cs="Arial"/>
          <w:color w:val="808080" w:themeColor="background1" w:themeShade="80"/>
          <w:sz w:val="22"/>
          <w:szCs w:val="22"/>
          <w:lang w:val="en-GB"/>
        </w:rPr>
        <w:t xml:space="preserve"> address all the parties’ interests and to resubmit it within a further </w:t>
      </w:r>
      <w:r w:rsidR="00186993">
        <w:rPr>
          <w:rFonts w:ascii="Arial" w:hAnsi="Arial" w:cs="Arial"/>
          <w:color w:val="808080" w:themeColor="background1" w:themeShade="80"/>
          <w:sz w:val="22"/>
          <w:szCs w:val="22"/>
          <w:lang w:val="en-GB"/>
        </w:rPr>
        <w:t>5</w:t>
      </w:r>
      <w:r w:rsidR="00732D5D">
        <w:rPr>
          <w:rFonts w:ascii="Arial" w:hAnsi="Arial" w:cs="Arial"/>
          <w:color w:val="808080" w:themeColor="background1" w:themeShade="80"/>
          <w:sz w:val="22"/>
          <w:szCs w:val="22"/>
          <w:lang w:val="en-GB"/>
        </w:rPr>
        <w:t xml:space="preserve"> business day period.</w:t>
      </w:r>
      <w:r w:rsidR="00732D5D">
        <w:rPr>
          <w:rStyle w:val="FootnoteReference"/>
          <w:rFonts w:ascii="Arial" w:hAnsi="Arial" w:cs="Arial"/>
          <w:color w:val="808080" w:themeColor="background1" w:themeShade="80"/>
          <w:sz w:val="22"/>
          <w:szCs w:val="22"/>
          <w:lang w:val="en-GB"/>
        </w:rPr>
        <w:footnoteReference w:id="13"/>
      </w:r>
    </w:p>
    <w:p w14:paraId="1EF9B05B" w14:textId="77777777" w:rsidR="00323CC5" w:rsidRDefault="00323CC5" w:rsidP="005E4AD4">
      <w:pPr>
        <w:ind w:left="709" w:hanging="709"/>
        <w:jc w:val="both"/>
        <w:rPr>
          <w:rFonts w:ascii="Arial" w:hAnsi="Arial" w:cs="Arial"/>
          <w:color w:val="808080" w:themeColor="background1" w:themeShade="80"/>
          <w:sz w:val="22"/>
          <w:szCs w:val="22"/>
          <w:lang w:val="en-GB"/>
        </w:rPr>
      </w:pPr>
    </w:p>
    <w:p w14:paraId="6BEF5E49" w14:textId="548B384A" w:rsidR="00323CC5" w:rsidRDefault="00323CC5"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10</w:t>
      </w:r>
      <w:r>
        <w:rPr>
          <w:rFonts w:ascii="Arial" w:hAnsi="Arial" w:cs="Arial"/>
          <w:color w:val="808080" w:themeColor="background1" w:themeShade="80"/>
          <w:sz w:val="22"/>
          <w:szCs w:val="22"/>
          <w:lang w:val="en-GB"/>
        </w:rPr>
        <w:tab/>
        <w:t xml:space="preserve">After the review, the Court must request the trustee to invite creditors, within </w:t>
      </w:r>
      <w:r w:rsidR="00186993">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 xml:space="preserve"> business days, to a meeting to review the scheme.  The Court may also direct that committees representing different classes of creditors be formed and may give directions about the appointment or conduct of any representatives of those classes at the meeting of creditors.</w:t>
      </w:r>
      <w:r>
        <w:rPr>
          <w:rStyle w:val="FootnoteReference"/>
          <w:rFonts w:ascii="Arial" w:hAnsi="Arial" w:cs="Arial"/>
          <w:color w:val="808080" w:themeColor="background1" w:themeShade="80"/>
          <w:sz w:val="22"/>
          <w:szCs w:val="22"/>
          <w:lang w:val="en-GB"/>
        </w:rPr>
        <w:footnoteReference w:id="14"/>
      </w:r>
    </w:p>
    <w:p w14:paraId="6B7DB252" w14:textId="77777777" w:rsidR="003508D1" w:rsidRDefault="003508D1" w:rsidP="005E4AD4">
      <w:pPr>
        <w:ind w:left="709" w:hanging="709"/>
        <w:jc w:val="both"/>
        <w:rPr>
          <w:rFonts w:ascii="Arial" w:hAnsi="Arial" w:cs="Arial"/>
          <w:color w:val="808080" w:themeColor="background1" w:themeShade="80"/>
          <w:sz w:val="22"/>
          <w:szCs w:val="22"/>
          <w:lang w:val="en-GB"/>
        </w:rPr>
      </w:pPr>
    </w:p>
    <w:p w14:paraId="502EDFE9" w14:textId="03A2AA7B" w:rsidR="003508D1" w:rsidRPr="003508D1" w:rsidRDefault="003508D1" w:rsidP="003508D1">
      <w:pPr>
        <w:pStyle w:val="Heading2"/>
        <w:rPr>
          <w:lang w:val="en-GB"/>
        </w:rPr>
      </w:pPr>
      <w:r w:rsidRPr="003508D1">
        <w:rPr>
          <w:lang w:val="en-GB"/>
        </w:rPr>
        <w:t>Creditors meeting and Court approval</w:t>
      </w:r>
    </w:p>
    <w:p w14:paraId="3150CBAE" w14:textId="77777777" w:rsidR="003508D1" w:rsidRDefault="003508D1" w:rsidP="005E4AD4">
      <w:pPr>
        <w:ind w:left="709" w:hanging="709"/>
        <w:jc w:val="both"/>
        <w:rPr>
          <w:rFonts w:ascii="Arial" w:hAnsi="Arial" w:cs="Arial"/>
          <w:i/>
          <w:color w:val="808080" w:themeColor="background1" w:themeShade="80"/>
          <w:sz w:val="22"/>
          <w:szCs w:val="22"/>
          <w:lang w:val="en-GB"/>
        </w:rPr>
      </w:pPr>
    </w:p>
    <w:p w14:paraId="1272E31D" w14:textId="5C6A16D8" w:rsidR="003508D1" w:rsidRPr="00C0588C" w:rsidRDefault="003508D1" w:rsidP="00C0588C">
      <w:pPr>
        <w:pStyle w:val="BodyTextIndent3"/>
        <w:rPr>
          <w:lang w:val="en-GB"/>
        </w:rPr>
      </w:pPr>
      <w:r w:rsidRPr="00C0588C">
        <w:rPr>
          <w:lang w:val="en-GB"/>
        </w:rPr>
        <w:t>11</w:t>
      </w:r>
      <w:r w:rsidRPr="00C0588C">
        <w:rPr>
          <w:lang w:val="en-GB"/>
        </w:rPr>
        <w:tab/>
      </w:r>
      <w:r w:rsidR="00C0588C" w:rsidRPr="00C0588C">
        <w:rPr>
          <w:lang w:val="en-GB"/>
        </w:rPr>
        <w:t xml:space="preserve">The Court may direct further meetings to consider any amendments which may be proposed by creditors at the meeting.  </w:t>
      </w:r>
    </w:p>
    <w:p w14:paraId="4C971E16" w14:textId="77777777" w:rsidR="00C0588C" w:rsidRDefault="00C0588C" w:rsidP="005E4AD4">
      <w:pPr>
        <w:ind w:left="709" w:hanging="709"/>
        <w:jc w:val="both"/>
        <w:rPr>
          <w:rFonts w:ascii="Arial" w:hAnsi="Arial" w:cs="Arial"/>
          <w:color w:val="808080" w:themeColor="background1" w:themeShade="80"/>
          <w:sz w:val="22"/>
          <w:szCs w:val="22"/>
          <w:lang w:val="en-GB"/>
        </w:rPr>
      </w:pPr>
    </w:p>
    <w:p w14:paraId="6CFB490A" w14:textId="27B813A3" w:rsidR="00C0588C" w:rsidRDefault="00C0588C"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12</w:t>
      </w:r>
      <w:r>
        <w:rPr>
          <w:rFonts w:ascii="Arial" w:hAnsi="Arial" w:cs="Arial"/>
          <w:color w:val="808080" w:themeColor="background1" w:themeShade="80"/>
          <w:sz w:val="22"/>
          <w:szCs w:val="22"/>
          <w:lang w:val="en-GB"/>
        </w:rPr>
        <w:tab/>
        <w:t>Although creditors whose debts have been admitted may vote</w:t>
      </w:r>
      <w:r w:rsidR="00DF314B">
        <w:rPr>
          <w:rFonts w:ascii="Arial" w:hAnsi="Arial" w:cs="Arial"/>
          <w:color w:val="808080" w:themeColor="background1" w:themeShade="80"/>
          <w:sz w:val="22"/>
          <w:szCs w:val="22"/>
          <w:lang w:val="en-GB"/>
        </w:rPr>
        <w:t xml:space="preserve"> on the</w:t>
      </w:r>
      <w:r w:rsidR="00A44D15">
        <w:rPr>
          <w:rFonts w:ascii="Arial" w:hAnsi="Arial" w:cs="Arial"/>
          <w:color w:val="808080" w:themeColor="background1" w:themeShade="80"/>
          <w:sz w:val="22"/>
          <w:szCs w:val="22"/>
          <w:lang w:val="en-GB"/>
        </w:rPr>
        <w:t xml:space="preserve"> scheme</w:t>
      </w:r>
      <w:r w:rsidR="00DF314B">
        <w:rPr>
          <w:rFonts w:ascii="Arial" w:hAnsi="Arial" w:cs="Arial"/>
          <w:color w:val="808080" w:themeColor="background1" w:themeShade="80"/>
          <w:sz w:val="22"/>
          <w:szCs w:val="22"/>
          <w:lang w:val="en-GB"/>
        </w:rPr>
        <w:t>, the Court may direct that creditors whose debts have been admitted on an interim basis may vote, if proposed by the trustee, subject to any terms and conditions which may be imposed by the Court.</w:t>
      </w:r>
    </w:p>
    <w:p w14:paraId="26370498" w14:textId="77777777" w:rsidR="00DF314B" w:rsidRDefault="00DF314B" w:rsidP="005E4AD4">
      <w:pPr>
        <w:ind w:left="709" w:hanging="709"/>
        <w:jc w:val="both"/>
        <w:rPr>
          <w:rFonts w:ascii="Arial" w:hAnsi="Arial" w:cs="Arial"/>
          <w:color w:val="808080" w:themeColor="background1" w:themeShade="80"/>
          <w:sz w:val="22"/>
          <w:szCs w:val="22"/>
          <w:lang w:val="en-GB"/>
        </w:rPr>
      </w:pPr>
    </w:p>
    <w:p w14:paraId="5BD61494" w14:textId="3EE04CBB" w:rsidR="00DF314B" w:rsidRPr="00DF314B" w:rsidRDefault="00DF314B" w:rsidP="00DF314B">
      <w:pPr>
        <w:pStyle w:val="Heading2"/>
        <w:rPr>
          <w:lang w:val="en-GB"/>
        </w:rPr>
      </w:pPr>
      <w:r w:rsidRPr="00DF314B">
        <w:rPr>
          <w:lang w:val="en-GB"/>
        </w:rPr>
        <w:t>Court approval following creditors approval of the scheme</w:t>
      </w:r>
    </w:p>
    <w:p w14:paraId="3DEC690A" w14:textId="77777777" w:rsidR="00DF314B" w:rsidRDefault="00DF314B" w:rsidP="005E4AD4">
      <w:pPr>
        <w:ind w:left="709" w:hanging="709"/>
        <w:jc w:val="both"/>
        <w:rPr>
          <w:rFonts w:ascii="Arial" w:hAnsi="Arial" w:cs="Arial"/>
          <w:color w:val="808080" w:themeColor="background1" w:themeShade="80"/>
          <w:sz w:val="22"/>
          <w:szCs w:val="22"/>
          <w:lang w:val="en-GB"/>
        </w:rPr>
      </w:pPr>
    </w:p>
    <w:p w14:paraId="31868CEF" w14:textId="736F23E0" w:rsidR="00DF314B" w:rsidRDefault="00DF314B"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13</w:t>
      </w:r>
      <w:r>
        <w:rPr>
          <w:rFonts w:ascii="Arial" w:hAnsi="Arial" w:cs="Arial"/>
          <w:color w:val="808080" w:themeColor="background1" w:themeShade="80"/>
          <w:sz w:val="22"/>
          <w:szCs w:val="22"/>
          <w:lang w:val="en-GB"/>
        </w:rPr>
        <w:tab/>
      </w:r>
      <w:r w:rsidR="00E64015">
        <w:rPr>
          <w:rFonts w:ascii="Arial" w:hAnsi="Arial" w:cs="Arial"/>
          <w:color w:val="808080" w:themeColor="background1" w:themeShade="80"/>
          <w:sz w:val="22"/>
          <w:szCs w:val="22"/>
          <w:lang w:val="en-GB"/>
        </w:rPr>
        <w:t xml:space="preserve">Should the scheme be approved by the creditors at their meeting, the trustee is required to put the scheme before the Court within </w:t>
      </w:r>
      <w:r w:rsidR="00186993">
        <w:rPr>
          <w:rFonts w:ascii="Arial" w:hAnsi="Arial" w:cs="Arial"/>
          <w:color w:val="808080" w:themeColor="background1" w:themeShade="80"/>
          <w:sz w:val="22"/>
          <w:szCs w:val="22"/>
          <w:lang w:val="en-GB"/>
        </w:rPr>
        <w:t>3</w:t>
      </w:r>
      <w:r w:rsidR="00E64015">
        <w:rPr>
          <w:rFonts w:ascii="Arial" w:hAnsi="Arial" w:cs="Arial"/>
          <w:color w:val="808080" w:themeColor="background1" w:themeShade="80"/>
          <w:sz w:val="22"/>
          <w:szCs w:val="22"/>
          <w:lang w:val="en-GB"/>
        </w:rPr>
        <w:t xml:space="preserve"> business days for the Court’s approval or rejection.</w:t>
      </w:r>
    </w:p>
    <w:p w14:paraId="7B8A1582" w14:textId="77777777" w:rsidR="00E64015" w:rsidRDefault="00E64015" w:rsidP="005E4AD4">
      <w:pPr>
        <w:ind w:left="709" w:hanging="709"/>
        <w:jc w:val="both"/>
        <w:rPr>
          <w:rFonts w:ascii="Arial" w:hAnsi="Arial" w:cs="Arial"/>
          <w:color w:val="808080" w:themeColor="background1" w:themeShade="80"/>
          <w:sz w:val="22"/>
          <w:szCs w:val="22"/>
          <w:lang w:val="en-GB"/>
        </w:rPr>
      </w:pPr>
    </w:p>
    <w:p w14:paraId="64931412" w14:textId="21ED2999" w:rsidR="00E64015" w:rsidRDefault="00E64015"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14</w:t>
      </w:r>
      <w:r>
        <w:rPr>
          <w:rFonts w:ascii="Arial" w:hAnsi="Arial" w:cs="Arial"/>
          <w:color w:val="808080" w:themeColor="background1" w:themeShade="80"/>
          <w:sz w:val="22"/>
          <w:szCs w:val="22"/>
          <w:lang w:val="en-GB"/>
        </w:rPr>
        <w:tab/>
        <w:t>The Court is required to approve the scheme urgently provided all the necessary requirements have been met.  Moreover the Court has to be satisfied that all the affected creditors will receive at least as much as the creditors would have received if the debtor’s assets had been liquidated on the date of voting on the scheme.  The Court may</w:t>
      </w:r>
      <w:r w:rsidR="00537032">
        <w:rPr>
          <w:rFonts w:ascii="Arial" w:hAnsi="Arial" w:cs="Arial"/>
          <w:color w:val="808080" w:themeColor="background1" w:themeShade="80"/>
          <w:sz w:val="22"/>
          <w:szCs w:val="22"/>
          <w:lang w:val="en-GB"/>
        </w:rPr>
        <w:t xml:space="preserve"> direct the acceleration of payment dates of longer</w:t>
      </w:r>
      <w:r w:rsidR="00205A03">
        <w:rPr>
          <w:rFonts w:ascii="Arial" w:hAnsi="Arial" w:cs="Arial"/>
          <w:color w:val="808080" w:themeColor="background1" w:themeShade="80"/>
          <w:sz w:val="22"/>
          <w:szCs w:val="22"/>
          <w:lang w:val="en-GB"/>
        </w:rPr>
        <w:t xml:space="preserve"> terms if that would be in the interests of the success of the scheme.</w:t>
      </w:r>
    </w:p>
    <w:p w14:paraId="5C78D0BF" w14:textId="77777777" w:rsidR="00205A03" w:rsidRDefault="00205A03" w:rsidP="005E4AD4">
      <w:pPr>
        <w:ind w:left="709" w:hanging="709"/>
        <w:jc w:val="both"/>
        <w:rPr>
          <w:rFonts w:ascii="Arial" w:hAnsi="Arial" w:cs="Arial"/>
          <w:color w:val="808080" w:themeColor="background1" w:themeShade="80"/>
          <w:sz w:val="22"/>
          <w:szCs w:val="22"/>
          <w:lang w:val="en-GB"/>
        </w:rPr>
      </w:pPr>
    </w:p>
    <w:p w14:paraId="22618FE0" w14:textId="13D94E2F" w:rsidR="00205A03" w:rsidRPr="00205A03" w:rsidRDefault="00205A03" w:rsidP="00205A03">
      <w:pPr>
        <w:pStyle w:val="Heading2"/>
        <w:rPr>
          <w:lang w:val="en-GB"/>
        </w:rPr>
      </w:pPr>
      <w:r w:rsidRPr="00205A03">
        <w:rPr>
          <w:lang w:val="en-GB"/>
        </w:rPr>
        <w:t>Implementation of the scheme</w:t>
      </w:r>
    </w:p>
    <w:p w14:paraId="12991155" w14:textId="77777777" w:rsidR="00205A03" w:rsidRDefault="00205A03" w:rsidP="005E4AD4">
      <w:pPr>
        <w:ind w:left="709" w:hanging="709"/>
        <w:jc w:val="both"/>
        <w:rPr>
          <w:rFonts w:ascii="Arial" w:hAnsi="Arial" w:cs="Arial"/>
          <w:color w:val="808080" w:themeColor="background1" w:themeShade="80"/>
          <w:sz w:val="22"/>
          <w:szCs w:val="22"/>
          <w:lang w:val="en-GB"/>
        </w:rPr>
      </w:pPr>
    </w:p>
    <w:p w14:paraId="153A9C75" w14:textId="2DF586D0" w:rsidR="00205A03" w:rsidRDefault="00205A03"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15</w:t>
      </w:r>
      <w:r>
        <w:rPr>
          <w:rFonts w:ascii="Arial" w:hAnsi="Arial" w:cs="Arial"/>
          <w:color w:val="808080" w:themeColor="background1" w:themeShade="80"/>
          <w:sz w:val="22"/>
          <w:szCs w:val="22"/>
          <w:lang w:val="en-GB"/>
        </w:rPr>
        <w:tab/>
      </w:r>
      <w:r w:rsidR="00D47863">
        <w:rPr>
          <w:rFonts w:ascii="Arial" w:hAnsi="Arial" w:cs="Arial"/>
          <w:color w:val="808080" w:themeColor="background1" w:themeShade="80"/>
          <w:sz w:val="22"/>
          <w:szCs w:val="22"/>
          <w:lang w:val="en-GB"/>
        </w:rPr>
        <w:t xml:space="preserve">It is incumbent upon the trustee to supervise the implementation of the scheme.  The trustee is also required to monitor progress and inform the Court of any failure of implementation and to report to the Court every </w:t>
      </w:r>
      <w:r w:rsidR="00186993">
        <w:rPr>
          <w:rFonts w:ascii="Arial" w:hAnsi="Arial" w:cs="Arial"/>
          <w:color w:val="808080" w:themeColor="background1" w:themeShade="80"/>
          <w:sz w:val="22"/>
          <w:szCs w:val="22"/>
          <w:lang w:val="en-GB"/>
        </w:rPr>
        <w:t>3</w:t>
      </w:r>
      <w:r w:rsidR="00D47863">
        <w:rPr>
          <w:rFonts w:ascii="Arial" w:hAnsi="Arial" w:cs="Arial"/>
          <w:color w:val="808080" w:themeColor="background1" w:themeShade="80"/>
          <w:sz w:val="22"/>
          <w:szCs w:val="22"/>
          <w:lang w:val="en-GB"/>
        </w:rPr>
        <w:t xml:space="preserve"> months in any event.</w:t>
      </w:r>
      <w:r w:rsidR="00D47863">
        <w:rPr>
          <w:rStyle w:val="FootnoteReference"/>
          <w:rFonts w:ascii="Arial" w:hAnsi="Arial" w:cs="Arial"/>
          <w:color w:val="808080" w:themeColor="background1" w:themeShade="80"/>
          <w:sz w:val="22"/>
          <w:szCs w:val="22"/>
          <w:lang w:val="en-GB"/>
        </w:rPr>
        <w:footnoteReference w:id="15"/>
      </w:r>
    </w:p>
    <w:p w14:paraId="197724E0" w14:textId="77777777" w:rsidR="00D47863" w:rsidRDefault="00D47863" w:rsidP="005E4AD4">
      <w:pPr>
        <w:ind w:left="709" w:hanging="709"/>
        <w:jc w:val="both"/>
        <w:rPr>
          <w:rFonts w:ascii="Arial" w:hAnsi="Arial" w:cs="Arial"/>
          <w:color w:val="808080" w:themeColor="background1" w:themeShade="80"/>
          <w:sz w:val="22"/>
          <w:szCs w:val="22"/>
          <w:lang w:val="en-GB"/>
        </w:rPr>
      </w:pPr>
    </w:p>
    <w:p w14:paraId="0ACE59E7" w14:textId="07958CC3" w:rsidR="00D47863" w:rsidRDefault="00D47863"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16</w:t>
      </w:r>
      <w:r>
        <w:rPr>
          <w:rFonts w:ascii="Arial" w:hAnsi="Arial" w:cs="Arial"/>
          <w:color w:val="808080" w:themeColor="background1" w:themeShade="80"/>
          <w:sz w:val="22"/>
          <w:szCs w:val="22"/>
          <w:lang w:val="en-GB"/>
        </w:rPr>
        <w:tab/>
        <w:t>Should the trustee</w:t>
      </w:r>
      <w:r w:rsidR="00951B67">
        <w:rPr>
          <w:rFonts w:ascii="Arial" w:hAnsi="Arial" w:cs="Arial"/>
          <w:color w:val="808080" w:themeColor="background1" w:themeShade="80"/>
          <w:sz w:val="22"/>
          <w:szCs w:val="22"/>
          <w:lang w:val="en-GB"/>
        </w:rPr>
        <w:t xml:space="preserve"> require amendments to be made to the scheme which would affect any party’s rights, the Court’s approval to that effect is required.  If such an application is made for approval, the Court is required to notify all creditors who voted on the scheme</w:t>
      </w:r>
      <w:r w:rsidR="00B95AB4">
        <w:rPr>
          <w:rFonts w:ascii="Arial" w:hAnsi="Arial" w:cs="Arial"/>
          <w:color w:val="808080" w:themeColor="background1" w:themeShade="80"/>
          <w:sz w:val="22"/>
          <w:szCs w:val="22"/>
          <w:lang w:val="en-GB"/>
        </w:rPr>
        <w:t xml:space="preserve"> and any other creditor the Court considers should be notified, to make any application in relation to the proposed amendments within </w:t>
      </w:r>
      <w:r w:rsidR="00421839">
        <w:rPr>
          <w:rFonts w:ascii="Arial" w:hAnsi="Arial" w:cs="Arial"/>
          <w:color w:val="808080" w:themeColor="background1" w:themeShade="80"/>
          <w:sz w:val="22"/>
          <w:szCs w:val="22"/>
          <w:lang w:val="en-GB"/>
        </w:rPr>
        <w:t>10</w:t>
      </w:r>
      <w:r w:rsidR="00B95AB4">
        <w:rPr>
          <w:rFonts w:ascii="Arial" w:hAnsi="Arial" w:cs="Arial"/>
          <w:color w:val="808080" w:themeColor="background1" w:themeShade="80"/>
          <w:sz w:val="22"/>
          <w:szCs w:val="22"/>
          <w:lang w:val="en-GB"/>
        </w:rPr>
        <w:t xml:space="preserve"> </w:t>
      </w:r>
      <w:r w:rsidR="00421839">
        <w:rPr>
          <w:rFonts w:ascii="Arial" w:hAnsi="Arial" w:cs="Arial"/>
          <w:color w:val="808080" w:themeColor="background1" w:themeShade="80"/>
          <w:sz w:val="22"/>
          <w:szCs w:val="22"/>
          <w:lang w:val="en-GB"/>
        </w:rPr>
        <w:t>business</w:t>
      </w:r>
      <w:r w:rsidR="00B95AB4">
        <w:rPr>
          <w:rFonts w:ascii="Arial" w:hAnsi="Arial" w:cs="Arial"/>
          <w:color w:val="808080" w:themeColor="background1" w:themeShade="80"/>
          <w:sz w:val="22"/>
          <w:szCs w:val="22"/>
          <w:lang w:val="en-GB"/>
        </w:rPr>
        <w:t xml:space="preserve"> days of the notification.  Whereafter, the Court may approve, partly or entirely, or reject the proposed amendment.</w:t>
      </w:r>
      <w:r w:rsidR="00B95AB4">
        <w:rPr>
          <w:rStyle w:val="FootnoteReference"/>
          <w:rFonts w:ascii="Arial" w:hAnsi="Arial" w:cs="Arial"/>
          <w:color w:val="808080" w:themeColor="background1" w:themeShade="80"/>
          <w:sz w:val="22"/>
          <w:szCs w:val="22"/>
          <w:lang w:val="en-GB"/>
        </w:rPr>
        <w:footnoteReference w:id="16"/>
      </w:r>
      <w:r w:rsidR="00DC3CA0">
        <w:rPr>
          <w:rFonts w:ascii="Arial" w:hAnsi="Arial" w:cs="Arial"/>
          <w:color w:val="808080" w:themeColor="background1" w:themeShade="80"/>
          <w:sz w:val="22"/>
          <w:szCs w:val="22"/>
          <w:lang w:val="en-GB"/>
        </w:rPr>
        <w:t xml:space="preserve">  If certain assets</w:t>
      </w:r>
      <w:r w:rsidR="0060361D">
        <w:rPr>
          <w:rFonts w:ascii="Arial" w:hAnsi="Arial" w:cs="Arial"/>
          <w:color w:val="808080" w:themeColor="background1" w:themeShade="80"/>
          <w:sz w:val="22"/>
          <w:szCs w:val="22"/>
          <w:lang w:val="en-GB"/>
        </w:rPr>
        <w:t xml:space="preserve"> are regarded as critical to the operation of </w:t>
      </w:r>
      <w:r w:rsidR="0060361D">
        <w:rPr>
          <w:rFonts w:ascii="Arial" w:hAnsi="Arial" w:cs="Arial"/>
          <w:color w:val="808080" w:themeColor="background1" w:themeShade="80"/>
          <w:sz w:val="22"/>
          <w:szCs w:val="22"/>
          <w:lang w:val="en-GB"/>
        </w:rPr>
        <w:lastRenderedPageBreak/>
        <w:t>the debtor’s business, the Court may direct that such assets not be sold, without the Court’s permission, for any specified period during the implementation of the scheme.</w:t>
      </w:r>
      <w:r w:rsidR="0060361D">
        <w:rPr>
          <w:rStyle w:val="FootnoteReference"/>
          <w:rFonts w:ascii="Arial" w:hAnsi="Arial" w:cs="Arial"/>
          <w:color w:val="808080" w:themeColor="background1" w:themeShade="80"/>
          <w:sz w:val="22"/>
          <w:szCs w:val="22"/>
          <w:lang w:val="en-GB"/>
        </w:rPr>
        <w:footnoteReference w:id="17"/>
      </w:r>
    </w:p>
    <w:p w14:paraId="54F3E147" w14:textId="77777777" w:rsidR="0060361D" w:rsidRDefault="0060361D" w:rsidP="005E4AD4">
      <w:pPr>
        <w:ind w:left="709" w:hanging="709"/>
        <w:jc w:val="both"/>
        <w:rPr>
          <w:rFonts w:ascii="Arial" w:hAnsi="Arial" w:cs="Arial"/>
          <w:color w:val="808080" w:themeColor="background1" w:themeShade="80"/>
          <w:sz w:val="22"/>
          <w:szCs w:val="22"/>
          <w:lang w:val="en-GB"/>
        </w:rPr>
      </w:pPr>
    </w:p>
    <w:p w14:paraId="2B164AF8" w14:textId="64665C3B" w:rsidR="0060361D" w:rsidRPr="0060361D" w:rsidRDefault="0060361D" w:rsidP="0060361D">
      <w:pPr>
        <w:pStyle w:val="Heading2"/>
        <w:rPr>
          <w:lang w:val="en-GB"/>
        </w:rPr>
      </w:pPr>
      <w:r w:rsidRPr="0060361D">
        <w:rPr>
          <w:lang w:val="en-GB"/>
        </w:rPr>
        <w:t>Completion and termination of the restructuring</w:t>
      </w:r>
    </w:p>
    <w:p w14:paraId="1146CE55" w14:textId="77777777" w:rsidR="0060361D" w:rsidRDefault="0060361D" w:rsidP="005E4AD4">
      <w:pPr>
        <w:ind w:left="709" w:hanging="709"/>
        <w:jc w:val="both"/>
        <w:rPr>
          <w:rFonts w:ascii="Arial" w:hAnsi="Arial" w:cs="Arial"/>
          <w:i/>
          <w:color w:val="808080" w:themeColor="background1" w:themeShade="80"/>
          <w:sz w:val="22"/>
          <w:szCs w:val="22"/>
          <w:lang w:val="en-GB"/>
        </w:rPr>
      </w:pPr>
    </w:p>
    <w:p w14:paraId="45ED3CF8" w14:textId="4E7803BD" w:rsidR="0060361D" w:rsidRDefault="0060361D" w:rsidP="005E4AD4">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17</w:t>
      </w:r>
      <w:r>
        <w:rPr>
          <w:rFonts w:ascii="Arial" w:hAnsi="Arial" w:cs="Arial"/>
          <w:color w:val="808080" w:themeColor="background1" w:themeShade="80"/>
          <w:sz w:val="22"/>
          <w:szCs w:val="22"/>
          <w:lang w:val="en-GB"/>
        </w:rPr>
        <w:tab/>
        <w:t>The restructuring is completed once the obligations contained in the scheme have been discharged, whereafter the Court is required to make an order confirming the complete implementation of the scheme, which must be advertised.</w:t>
      </w:r>
      <w:r>
        <w:rPr>
          <w:rStyle w:val="FootnoteReference"/>
          <w:rFonts w:ascii="Arial" w:hAnsi="Arial" w:cs="Arial"/>
          <w:color w:val="808080" w:themeColor="background1" w:themeShade="80"/>
          <w:sz w:val="22"/>
          <w:szCs w:val="22"/>
          <w:lang w:val="en-GB"/>
        </w:rPr>
        <w:footnoteReference w:id="18"/>
      </w:r>
    </w:p>
    <w:p w14:paraId="2C445D29" w14:textId="77777777" w:rsidR="0060361D" w:rsidRDefault="0060361D" w:rsidP="005E4AD4">
      <w:pPr>
        <w:ind w:left="709" w:hanging="709"/>
        <w:jc w:val="both"/>
        <w:rPr>
          <w:rFonts w:ascii="Arial" w:hAnsi="Arial" w:cs="Arial"/>
          <w:color w:val="808080" w:themeColor="background1" w:themeShade="80"/>
          <w:sz w:val="22"/>
          <w:szCs w:val="22"/>
          <w:lang w:val="en-GB"/>
        </w:rPr>
      </w:pPr>
    </w:p>
    <w:p w14:paraId="4FED90BB" w14:textId="5FD6A258" w:rsidR="009253CA" w:rsidRPr="0060361D" w:rsidRDefault="0060361D" w:rsidP="00447F7F">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18</w:t>
      </w:r>
      <w:r>
        <w:rPr>
          <w:rFonts w:ascii="Arial" w:hAnsi="Arial" w:cs="Arial"/>
          <w:color w:val="808080" w:themeColor="background1" w:themeShade="80"/>
          <w:sz w:val="22"/>
          <w:szCs w:val="22"/>
          <w:lang w:val="en-GB"/>
        </w:rPr>
        <w:tab/>
        <w:t xml:space="preserve">Finally, the Court may also terminate a restructuring and commence liquidation proceedings </w:t>
      </w:r>
      <w:r>
        <w:rPr>
          <w:rFonts w:ascii="Arial" w:hAnsi="Arial" w:cs="Arial"/>
          <w:i/>
          <w:color w:val="808080" w:themeColor="background1" w:themeShade="80"/>
          <w:sz w:val="22"/>
          <w:szCs w:val="22"/>
          <w:lang w:val="en-GB"/>
        </w:rPr>
        <w:t>mero motu</w:t>
      </w:r>
      <w:r>
        <w:rPr>
          <w:rFonts w:ascii="Arial" w:hAnsi="Arial" w:cs="Arial"/>
          <w:color w:val="808080" w:themeColor="background1" w:themeShade="80"/>
          <w:sz w:val="22"/>
          <w:szCs w:val="22"/>
          <w:lang w:val="en-GB"/>
        </w:rPr>
        <w:t xml:space="preserve"> or on application of a creditor or if the scheme’s implementation is impossible.</w:t>
      </w:r>
      <w:r w:rsidR="009253CA">
        <w:rPr>
          <w:rStyle w:val="FootnoteReference"/>
          <w:rFonts w:ascii="Arial" w:hAnsi="Arial" w:cs="Arial"/>
          <w:color w:val="808080" w:themeColor="background1" w:themeShade="80"/>
          <w:sz w:val="22"/>
          <w:szCs w:val="22"/>
          <w:lang w:val="en-GB"/>
        </w:rPr>
        <w:footnoteReference w:id="19"/>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718EECD5" w14:textId="174A3E89" w:rsidR="001A45DB" w:rsidRPr="00CA448F" w:rsidRDefault="00E968BE"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[Type your answer </w:t>
      </w:r>
      <w:r w:rsidR="00224E71">
        <w:rPr>
          <w:rFonts w:ascii="Arial" w:hAnsi="Arial" w:cs="Arial"/>
          <w:color w:val="808080" w:themeColor="background1" w:themeShade="80"/>
          <w:sz w:val="22"/>
          <w:szCs w:val="22"/>
          <w:shd w:val="clear" w:color="auto" w:fill="FFFFFF"/>
        </w:rPr>
        <w:t>here]</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6E64D493" w14:textId="2D3C02C4" w:rsidR="00224E71" w:rsidRDefault="00224E71" w:rsidP="00640623">
      <w:pPr>
        <w:rPr>
          <w:rFonts w:ascii="Arial" w:hAnsi="Arial" w:cs="Arial"/>
          <w:sz w:val="22"/>
          <w:szCs w:val="22"/>
          <w:shd w:val="clear" w:color="auto" w:fill="FFFFFF"/>
        </w:rPr>
      </w:pPr>
    </w:p>
    <w:p w14:paraId="7242DA50" w14:textId="09BE2959"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lastRenderedPageBreak/>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5D931986" w14:textId="0440A2A2" w:rsidR="00BD1061"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r w:rsidR="00F607EE">
        <w:rPr>
          <w:rFonts w:ascii="Arial" w:hAnsi="Arial" w:cs="Arial"/>
          <w:color w:val="808080" w:themeColor="background1" w:themeShade="80"/>
          <w:sz w:val="22"/>
          <w:szCs w:val="22"/>
          <w:lang w:val="en-GB"/>
        </w:rPr>
        <w:t>A</w:t>
      </w:r>
      <w:r w:rsidR="00F3366C">
        <w:rPr>
          <w:rFonts w:ascii="Arial" w:hAnsi="Arial" w:cs="Arial"/>
          <w:color w:val="808080" w:themeColor="background1" w:themeShade="80"/>
          <w:sz w:val="22"/>
          <w:szCs w:val="22"/>
          <w:lang w:val="en-GB"/>
        </w:rPr>
        <w:t>pplication to Court by debtor for Preventive Composition</w:t>
      </w:r>
      <w:r w:rsidR="00F1487F">
        <w:rPr>
          <w:rFonts w:ascii="Arial" w:hAnsi="Arial" w:cs="Arial"/>
          <w:color w:val="808080" w:themeColor="background1" w:themeShade="80"/>
          <w:sz w:val="22"/>
          <w:szCs w:val="22"/>
          <w:lang w:val="en-GB"/>
        </w:rPr>
        <w:t xml:space="preserve">.  The Court is required to decide on the Preventive Composition application within </w:t>
      </w:r>
      <w:r w:rsidR="00421839">
        <w:rPr>
          <w:rFonts w:ascii="Arial" w:hAnsi="Arial" w:cs="Arial"/>
          <w:color w:val="808080" w:themeColor="background1" w:themeShade="80"/>
          <w:sz w:val="22"/>
          <w:szCs w:val="22"/>
          <w:lang w:val="en-GB"/>
        </w:rPr>
        <w:t>5</w:t>
      </w:r>
      <w:r w:rsidR="00F1487F">
        <w:rPr>
          <w:rFonts w:ascii="Arial" w:hAnsi="Arial" w:cs="Arial"/>
          <w:color w:val="808080" w:themeColor="background1" w:themeShade="80"/>
          <w:sz w:val="22"/>
          <w:szCs w:val="22"/>
          <w:lang w:val="en-GB"/>
        </w:rPr>
        <w:t xml:space="preserve"> business days of the application (if the application meets all the necessary requirements) or from the date of the expert’s report referred to more fully herein below.</w:t>
      </w:r>
    </w:p>
    <w:p w14:paraId="34023029" w14:textId="77777777" w:rsidR="00F3366C" w:rsidRDefault="00F3366C" w:rsidP="00500956">
      <w:pPr>
        <w:ind w:left="709" w:hanging="709"/>
        <w:jc w:val="both"/>
        <w:rPr>
          <w:rFonts w:ascii="Arial" w:hAnsi="Arial" w:cs="Arial"/>
          <w:color w:val="808080" w:themeColor="background1" w:themeShade="80"/>
          <w:sz w:val="22"/>
          <w:szCs w:val="22"/>
          <w:lang w:val="en-GB"/>
        </w:rPr>
      </w:pPr>
    </w:p>
    <w:p w14:paraId="52FE618C" w14:textId="1DAE2A5F" w:rsidR="00F3366C"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r>
      <w:r w:rsidR="00F607EE">
        <w:rPr>
          <w:rFonts w:ascii="Arial" w:hAnsi="Arial" w:cs="Arial"/>
          <w:color w:val="808080" w:themeColor="background1" w:themeShade="80"/>
          <w:sz w:val="22"/>
          <w:szCs w:val="22"/>
          <w:lang w:val="en-GB"/>
        </w:rPr>
        <w:t>U</w:t>
      </w:r>
      <w:r w:rsidR="00F3366C">
        <w:rPr>
          <w:rFonts w:ascii="Arial" w:hAnsi="Arial" w:cs="Arial"/>
          <w:color w:val="808080" w:themeColor="background1" w:themeShade="80"/>
          <w:sz w:val="22"/>
          <w:szCs w:val="22"/>
          <w:lang w:val="en-GB"/>
        </w:rPr>
        <w:t>pon receipt of the Preventive Composition</w:t>
      </w:r>
      <w:r w:rsidR="00F1487F">
        <w:rPr>
          <w:rFonts w:ascii="Arial" w:hAnsi="Arial" w:cs="Arial"/>
          <w:color w:val="808080" w:themeColor="background1" w:themeShade="80"/>
          <w:sz w:val="22"/>
          <w:szCs w:val="22"/>
          <w:lang w:val="en-GB"/>
        </w:rPr>
        <w:t xml:space="preserve"> application, the Court is required to appoint an expert to prepare a report on the financial position of the debtor, which report must be delivered no later than </w:t>
      </w:r>
      <w:r w:rsidR="00627B6D">
        <w:rPr>
          <w:rFonts w:ascii="Arial" w:hAnsi="Arial" w:cs="Arial"/>
          <w:color w:val="808080" w:themeColor="background1" w:themeShade="80"/>
          <w:sz w:val="22"/>
          <w:szCs w:val="22"/>
          <w:lang w:val="en-GB"/>
        </w:rPr>
        <w:t>20</w:t>
      </w:r>
      <w:r w:rsidR="00F1487F">
        <w:rPr>
          <w:rFonts w:ascii="Arial" w:hAnsi="Arial" w:cs="Arial"/>
          <w:color w:val="808080" w:themeColor="background1" w:themeShade="80"/>
          <w:sz w:val="22"/>
          <w:szCs w:val="22"/>
          <w:lang w:val="en-GB"/>
        </w:rPr>
        <w:t xml:space="preserve"> business days from the date of the expert being instructed to prepare it.</w:t>
      </w:r>
    </w:p>
    <w:p w14:paraId="6138A809" w14:textId="77777777" w:rsidR="00F1487F" w:rsidRDefault="00F1487F" w:rsidP="00500956">
      <w:pPr>
        <w:ind w:left="709" w:hanging="709"/>
        <w:jc w:val="both"/>
        <w:rPr>
          <w:rFonts w:ascii="Arial" w:hAnsi="Arial" w:cs="Arial"/>
          <w:color w:val="808080" w:themeColor="background1" w:themeShade="80"/>
          <w:sz w:val="22"/>
          <w:szCs w:val="22"/>
          <w:lang w:val="en-GB"/>
        </w:rPr>
      </w:pPr>
    </w:p>
    <w:p w14:paraId="559349F2" w14:textId="1820CD07" w:rsidR="00F1487F"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ab/>
      </w:r>
      <w:r w:rsidR="00C613DE">
        <w:rPr>
          <w:rFonts w:ascii="Arial" w:hAnsi="Arial" w:cs="Arial"/>
          <w:color w:val="808080" w:themeColor="background1" w:themeShade="80"/>
          <w:sz w:val="22"/>
          <w:szCs w:val="22"/>
          <w:lang w:val="en-GB"/>
        </w:rPr>
        <w:t>I</w:t>
      </w:r>
      <w:r w:rsidR="00F1487F">
        <w:rPr>
          <w:rFonts w:ascii="Arial" w:hAnsi="Arial" w:cs="Arial"/>
          <w:color w:val="808080" w:themeColor="background1" w:themeShade="80"/>
          <w:sz w:val="22"/>
          <w:szCs w:val="22"/>
          <w:lang w:val="en-GB"/>
        </w:rPr>
        <w:t xml:space="preserve">f the Court decides to accept the Preventive Composition, the Court is required to appoint a trustee.  Any creditor may object to the appointment of a trustee within </w:t>
      </w:r>
      <w:r w:rsidR="00627B6D">
        <w:rPr>
          <w:rFonts w:ascii="Arial" w:hAnsi="Arial" w:cs="Arial"/>
          <w:color w:val="808080" w:themeColor="background1" w:themeShade="80"/>
          <w:sz w:val="22"/>
          <w:szCs w:val="22"/>
          <w:lang w:val="en-GB"/>
        </w:rPr>
        <w:t>5</w:t>
      </w:r>
      <w:r w:rsidR="00F1487F">
        <w:rPr>
          <w:rFonts w:ascii="Arial" w:hAnsi="Arial" w:cs="Arial"/>
          <w:color w:val="808080" w:themeColor="background1" w:themeShade="80"/>
          <w:sz w:val="22"/>
          <w:szCs w:val="22"/>
          <w:lang w:val="en-GB"/>
        </w:rPr>
        <w:t xml:space="preserve"> business days of the date of publication of the appointment, the objection is by way of application to Court, which is required to be determined within </w:t>
      </w:r>
      <w:r w:rsidR="00627B6D">
        <w:rPr>
          <w:rFonts w:ascii="Arial" w:hAnsi="Arial" w:cs="Arial"/>
          <w:color w:val="808080" w:themeColor="background1" w:themeShade="80"/>
          <w:sz w:val="22"/>
          <w:szCs w:val="22"/>
          <w:lang w:val="en-GB"/>
        </w:rPr>
        <w:t>5</w:t>
      </w:r>
      <w:r w:rsidR="00F1487F">
        <w:rPr>
          <w:rFonts w:ascii="Arial" w:hAnsi="Arial" w:cs="Arial"/>
          <w:color w:val="808080" w:themeColor="background1" w:themeShade="80"/>
          <w:sz w:val="22"/>
          <w:szCs w:val="22"/>
          <w:lang w:val="en-GB"/>
        </w:rPr>
        <w:t xml:space="preserve"> business days on a final basis.  Any interested party may object to the trustee’s fees and the Court is required to determine any objection within </w:t>
      </w:r>
      <w:r w:rsidR="00627B6D">
        <w:rPr>
          <w:rFonts w:ascii="Arial" w:hAnsi="Arial" w:cs="Arial"/>
          <w:color w:val="808080" w:themeColor="background1" w:themeShade="80"/>
          <w:sz w:val="22"/>
          <w:szCs w:val="22"/>
          <w:lang w:val="en-GB"/>
        </w:rPr>
        <w:t>5</w:t>
      </w:r>
      <w:r w:rsidR="00F1487F">
        <w:rPr>
          <w:rFonts w:ascii="Arial" w:hAnsi="Arial" w:cs="Arial"/>
          <w:color w:val="808080" w:themeColor="background1" w:themeShade="80"/>
          <w:sz w:val="22"/>
          <w:szCs w:val="22"/>
          <w:lang w:val="en-GB"/>
        </w:rPr>
        <w:t xml:space="preserve"> business days of such an application being made.</w:t>
      </w:r>
    </w:p>
    <w:p w14:paraId="79CFC7DB" w14:textId="77777777" w:rsidR="00F1487F" w:rsidRDefault="00F1487F" w:rsidP="00500956">
      <w:pPr>
        <w:ind w:left="709" w:hanging="709"/>
        <w:jc w:val="both"/>
        <w:rPr>
          <w:rFonts w:ascii="Arial" w:hAnsi="Arial" w:cs="Arial"/>
          <w:color w:val="808080" w:themeColor="background1" w:themeShade="80"/>
          <w:sz w:val="22"/>
          <w:szCs w:val="22"/>
          <w:lang w:val="en-GB"/>
        </w:rPr>
      </w:pPr>
    </w:p>
    <w:p w14:paraId="49B2844B" w14:textId="5C17785A" w:rsidR="00F1487F" w:rsidRDefault="00500956" w:rsidP="00500956">
      <w:pPr>
        <w:pStyle w:val="BodyText2"/>
        <w:ind w:left="709" w:hanging="709"/>
      </w:pPr>
      <w:r>
        <w:t>4</w:t>
      </w:r>
      <w:r>
        <w:tab/>
      </w:r>
      <w:r w:rsidR="00D914B2">
        <w:t>U</w:t>
      </w:r>
      <w:r w:rsidR="00F1487F">
        <w:t>pon making the appointment</w:t>
      </w:r>
      <w:r w:rsidR="00224247">
        <w:t xml:space="preserve"> of a trustee, the Court is required to provide all information that it holds about the debtor to the trustee.  The debtor is also required to provide all the information and details related to the proposed procedure within the time frame requested by the trustee.</w:t>
      </w:r>
    </w:p>
    <w:p w14:paraId="0F5DA70D" w14:textId="77777777" w:rsidR="00224247" w:rsidRDefault="00224247" w:rsidP="00500956">
      <w:pPr>
        <w:ind w:left="709" w:hanging="709"/>
        <w:jc w:val="both"/>
        <w:rPr>
          <w:rFonts w:ascii="Arial" w:hAnsi="Arial" w:cs="Arial"/>
          <w:color w:val="808080" w:themeColor="background1" w:themeShade="80"/>
          <w:sz w:val="22"/>
          <w:szCs w:val="22"/>
          <w:lang w:val="en-GB"/>
        </w:rPr>
      </w:pPr>
    </w:p>
    <w:p w14:paraId="16DE64D5" w14:textId="05376363" w:rsidR="0022424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ab/>
      </w:r>
      <w:r w:rsidR="00224247">
        <w:rPr>
          <w:rFonts w:ascii="Arial" w:hAnsi="Arial" w:cs="Arial"/>
          <w:color w:val="808080" w:themeColor="background1" w:themeShade="80"/>
          <w:sz w:val="22"/>
          <w:szCs w:val="22"/>
          <w:lang w:val="en-GB"/>
        </w:rPr>
        <w:t>Upon being appointed, the trustee is required to take an inventory of the debtor’s assets and produce a report of the assets to the Court.  The trustee is also required to produce a report on the debtor’s creditors and submit it to the Court.</w:t>
      </w:r>
    </w:p>
    <w:p w14:paraId="455B474A" w14:textId="77777777" w:rsidR="00224247" w:rsidRDefault="00224247" w:rsidP="00500956">
      <w:pPr>
        <w:ind w:left="709" w:hanging="709"/>
        <w:jc w:val="both"/>
        <w:rPr>
          <w:rFonts w:ascii="Arial" w:hAnsi="Arial" w:cs="Arial"/>
          <w:color w:val="808080" w:themeColor="background1" w:themeShade="80"/>
          <w:sz w:val="22"/>
          <w:szCs w:val="22"/>
          <w:lang w:val="en-GB"/>
        </w:rPr>
      </w:pPr>
    </w:p>
    <w:p w14:paraId="5325C7A5" w14:textId="38EC8BE8" w:rsidR="0022424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ab/>
      </w:r>
      <w:r w:rsidR="00224247">
        <w:rPr>
          <w:rFonts w:ascii="Arial" w:hAnsi="Arial" w:cs="Arial"/>
          <w:color w:val="808080" w:themeColor="background1" w:themeShade="80"/>
          <w:sz w:val="22"/>
          <w:szCs w:val="22"/>
          <w:lang w:val="en-GB"/>
        </w:rPr>
        <w:t>The debtor is required to continue to operate the debtor’s business during the period of any Preventive Composition, under the supervision of the trustee.</w:t>
      </w:r>
    </w:p>
    <w:p w14:paraId="50FB54F4" w14:textId="77777777" w:rsidR="00224247" w:rsidRDefault="00224247" w:rsidP="00500956">
      <w:pPr>
        <w:ind w:left="709" w:hanging="709"/>
        <w:jc w:val="both"/>
        <w:rPr>
          <w:rFonts w:ascii="Arial" w:hAnsi="Arial" w:cs="Arial"/>
          <w:color w:val="808080" w:themeColor="background1" w:themeShade="80"/>
          <w:sz w:val="22"/>
          <w:szCs w:val="22"/>
          <w:lang w:val="en-GB"/>
        </w:rPr>
      </w:pPr>
    </w:p>
    <w:p w14:paraId="1FEE38F2" w14:textId="65C00CEF" w:rsidR="0022424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ab/>
      </w:r>
      <w:r w:rsidR="00224247">
        <w:rPr>
          <w:rFonts w:ascii="Arial" w:hAnsi="Arial" w:cs="Arial"/>
          <w:color w:val="808080" w:themeColor="background1" w:themeShade="80"/>
          <w:sz w:val="22"/>
          <w:szCs w:val="22"/>
          <w:lang w:val="en-GB"/>
        </w:rPr>
        <w:t>The Court may also appoint one or more supervisors from the body of creditors.</w:t>
      </w:r>
    </w:p>
    <w:p w14:paraId="110B54A3" w14:textId="77777777" w:rsidR="00224247" w:rsidRDefault="00224247" w:rsidP="00500956">
      <w:pPr>
        <w:ind w:left="709" w:hanging="709"/>
        <w:jc w:val="both"/>
        <w:rPr>
          <w:rFonts w:ascii="Arial" w:hAnsi="Arial" w:cs="Arial"/>
          <w:color w:val="808080" w:themeColor="background1" w:themeShade="80"/>
          <w:sz w:val="22"/>
          <w:szCs w:val="22"/>
          <w:lang w:val="en-GB"/>
        </w:rPr>
      </w:pPr>
    </w:p>
    <w:p w14:paraId="682FAABC" w14:textId="4F08BB9E" w:rsidR="0022424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8</w:t>
      </w:r>
      <w:r>
        <w:rPr>
          <w:rFonts w:ascii="Arial" w:hAnsi="Arial" w:cs="Arial"/>
          <w:color w:val="808080" w:themeColor="background1" w:themeShade="80"/>
          <w:sz w:val="22"/>
          <w:szCs w:val="22"/>
          <w:lang w:val="en-GB"/>
        </w:rPr>
        <w:tab/>
      </w:r>
      <w:r w:rsidR="00224247">
        <w:rPr>
          <w:rFonts w:ascii="Arial" w:hAnsi="Arial" w:cs="Arial"/>
          <w:color w:val="808080" w:themeColor="background1" w:themeShade="80"/>
          <w:sz w:val="22"/>
          <w:szCs w:val="22"/>
          <w:lang w:val="en-GB"/>
        </w:rPr>
        <w:t xml:space="preserve">Within </w:t>
      </w:r>
      <w:r w:rsidR="00627B6D">
        <w:rPr>
          <w:rFonts w:ascii="Arial" w:hAnsi="Arial" w:cs="Arial"/>
          <w:color w:val="808080" w:themeColor="background1" w:themeShade="80"/>
          <w:sz w:val="22"/>
          <w:szCs w:val="22"/>
          <w:lang w:val="en-GB"/>
        </w:rPr>
        <w:t>5</w:t>
      </w:r>
      <w:r w:rsidR="00224247">
        <w:rPr>
          <w:rFonts w:ascii="Arial" w:hAnsi="Arial" w:cs="Arial"/>
          <w:color w:val="808080" w:themeColor="background1" w:themeShade="80"/>
          <w:sz w:val="22"/>
          <w:szCs w:val="22"/>
          <w:lang w:val="en-GB"/>
        </w:rPr>
        <w:t xml:space="preserve"> business days of the trustee’s appointment, the trustee is required to publish a summary of the Court’s decision to commence the Preventive Composition procedure (all advertisements and publications of notifications by the trustee require the trustee to publish any such notification in two widely read newspapers, one in English and the other in Arabic</w:t>
      </w:r>
      <w:r w:rsidR="00EF4427">
        <w:rPr>
          <w:rFonts w:ascii="Arial" w:hAnsi="Arial" w:cs="Arial"/>
          <w:color w:val="808080" w:themeColor="background1" w:themeShade="80"/>
          <w:sz w:val="22"/>
          <w:szCs w:val="22"/>
          <w:lang w:val="en-GB"/>
        </w:rPr>
        <w:t>)</w:t>
      </w:r>
      <w:r w:rsidR="00224247">
        <w:rPr>
          <w:rFonts w:ascii="Arial" w:hAnsi="Arial" w:cs="Arial"/>
          <w:color w:val="808080" w:themeColor="background1" w:themeShade="80"/>
          <w:sz w:val="22"/>
          <w:szCs w:val="22"/>
          <w:lang w:val="en-GB"/>
        </w:rPr>
        <w:t>.  The notice given by the trustee must also invite creditors to file</w:t>
      </w:r>
      <w:r w:rsidR="00C320B2">
        <w:rPr>
          <w:rFonts w:ascii="Arial" w:hAnsi="Arial" w:cs="Arial"/>
          <w:color w:val="808080" w:themeColor="background1" w:themeShade="80"/>
          <w:sz w:val="22"/>
          <w:szCs w:val="22"/>
          <w:lang w:val="en-GB"/>
        </w:rPr>
        <w:t xml:space="preserve"> claims within </w:t>
      </w:r>
      <w:r w:rsidR="00627B6D">
        <w:rPr>
          <w:rFonts w:ascii="Arial" w:hAnsi="Arial" w:cs="Arial"/>
          <w:color w:val="808080" w:themeColor="background1" w:themeShade="80"/>
          <w:sz w:val="22"/>
          <w:szCs w:val="22"/>
          <w:lang w:val="en-GB"/>
        </w:rPr>
        <w:t>20</w:t>
      </w:r>
      <w:r w:rsidR="00C320B2">
        <w:rPr>
          <w:rFonts w:ascii="Arial" w:hAnsi="Arial" w:cs="Arial"/>
          <w:color w:val="808080" w:themeColor="background1" w:themeShade="80"/>
          <w:sz w:val="22"/>
          <w:szCs w:val="22"/>
          <w:lang w:val="en-GB"/>
        </w:rPr>
        <w:t xml:space="preserve"> business days from date of publication.  The trustee is also required to notify all known creditors with known addresses within the same time period.  The creditors are required to provide any documents </w:t>
      </w:r>
      <w:r w:rsidR="00E65B7F">
        <w:rPr>
          <w:rFonts w:ascii="Arial" w:hAnsi="Arial" w:cs="Arial"/>
          <w:color w:val="808080" w:themeColor="background1" w:themeShade="80"/>
          <w:sz w:val="22"/>
          <w:szCs w:val="22"/>
          <w:lang w:val="en-GB"/>
        </w:rPr>
        <w:t>verifying their claims to the trustee, along with the details thereof, within the period stated.</w:t>
      </w:r>
    </w:p>
    <w:p w14:paraId="65E83030" w14:textId="77777777" w:rsidR="00E65B7F" w:rsidRDefault="00E65B7F" w:rsidP="00500956">
      <w:pPr>
        <w:ind w:left="709" w:hanging="709"/>
        <w:jc w:val="both"/>
        <w:rPr>
          <w:rFonts w:ascii="Arial" w:hAnsi="Arial" w:cs="Arial"/>
          <w:color w:val="808080" w:themeColor="background1" w:themeShade="80"/>
          <w:sz w:val="22"/>
          <w:szCs w:val="22"/>
          <w:lang w:val="en-GB"/>
        </w:rPr>
      </w:pPr>
    </w:p>
    <w:p w14:paraId="29E1A2EA" w14:textId="58E2F4D4" w:rsidR="00E65B7F"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9</w:t>
      </w:r>
      <w:r>
        <w:rPr>
          <w:rFonts w:ascii="Arial" w:hAnsi="Arial" w:cs="Arial"/>
          <w:color w:val="808080" w:themeColor="background1" w:themeShade="80"/>
          <w:sz w:val="22"/>
          <w:szCs w:val="22"/>
          <w:lang w:val="en-GB"/>
        </w:rPr>
        <w:tab/>
      </w:r>
      <w:r w:rsidR="00E65B7F">
        <w:rPr>
          <w:rFonts w:ascii="Arial" w:hAnsi="Arial" w:cs="Arial"/>
          <w:color w:val="808080" w:themeColor="background1" w:themeShade="80"/>
          <w:sz w:val="22"/>
          <w:szCs w:val="22"/>
          <w:lang w:val="en-GB"/>
        </w:rPr>
        <w:t xml:space="preserve">After the expiry of the period for lodging claims, the trustee is required to prepare a list of claimants, including details of the debts and supporting information in relation thereto, the trustee’s views as to whether to accept or reject the claims and any proposal regarding repayment.  The trustee is required to lodge the list concerned with the Court within </w:t>
      </w:r>
      <w:r w:rsidR="00627B6D">
        <w:rPr>
          <w:rFonts w:ascii="Arial" w:hAnsi="Arial" w:cs="Arial"/>
          <w:color w:val="808080" w:themeColor="background1" w:themeShade="80"/>
          <w:sz w:val="22"/>
          <w:szCs w:val="22"/>
          <w:lang w:val="en-GB"/>
        </w:rPr>
        <w:t>10</w:t>
      </w:r>
      <w:r w:rsidR="00E65B7F">
        <w:rPr>
          <w:rFonts w:ascii="Arial" w:hAnsi="Arial" w:cs="Arial"/>
          <w:color w:val="808080" w:themeColor="background1" w:themeShade="80"/>
          <w:sz w:val="22"/>
          <w:szCs w:val="22"/>
          <w:lang w:val="en-GB"/>
        </w:rPr>
        <w:t xml:space="preserve"> business days from date of the period of lodging of claims.</w:t>
      </w:r>
    </w:p>
    <w:p w14:paraId="63A5AEF0" w14:textId="77777777" w:rsidR="00E65B7F" w:rsidRDefault="00E65B7F" w:rsidP="00500956">
      <w:pPr>
        <w:ind w:left="709" w:hanging="709"/>
        <w:jc w:val="both"/>
        <w:rPr>
          <w:rFonts w:ascii="Arial" w:hAnsi="Arial" w:cs="Arial"/>
          <w:color w:val="808080" w:themeColor="background1" w:themeShade="80"/>
          <w:sz w:val="22"/>
          <w:szCs w:val="22"/>
          <w:lang w:val="en-GB"/>
        </w:rPr>
      </w:pPr>
    </w:p>
    <w:p w14:paraId="1BBD24D2" w14:textId="15D75969" w:rsidR="00E65B7F"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10</w:t>
      </w:r>
      <w:r>
        <w:rPr>
          <w:rFonts w:ascii="Arial" w:hAnsi="Arial" w:cs="Arial"/>
          <w:color w:val="808080" w:themeColor="background1" w:themeShade="80"/>
          <w:sz w:val="22"/>
          <w:szCs w:val="22"/>
          <w:lang w:val="en-GB"/>
        </w:rPr>
        <w:tab/>
      </w:r>
      <w:r w:rsidR="00E65B7F">
        <w:rPr>
          <w:rFonts w:ascii="Arial" w:hAnsi="Arial" w:cs="Arial"/>
          <w:color w:val="808080" w:themeColor="background1" w:themeShade="80"/>
          <w:sz w:val="22"/>
          <w:szCs w:val="22"/>
          <w:lang w:val="en-GB"/>
        </w:rPr>
        <w:t>The Court is responsible for finally determining the list of creditors.  The debtor and creditor, whether the creditor has been accepted or not, may object to the list by way of application</w:t>
      </w:r>
      <w:r w:rsidR="00097A16">
        <w:rPr>
          <w:rFonts w:ascii="Arial" w:hAnsi="Arial" w:cs="Arial"/>
          <w:color w:val="808080" w:themeColor="background1" w:themeShade="80"/>
          <w:sz w:val="22"/>
          <w:szCs w:val="22"/>
          <w:lang w:val="en-GB"/>
        </w:rPr>
        <w:t xml:space="preserve"> to the Court within </w:t>
      </w:r>
      <w:r w:rsidR="00627B6D">
        <w:rPr>
          <w:rFonts w:ascii="Arial" w:hAnsi="Arial" w:cs="Arial"/>
          <w:color w:val="808080" w:themeColor="background1" w:themeShade="80"/>
          <w:sz w:val="22"/>
          <w:szCs w:val="22"/>
          <w:lang w:val="en-GB"/>
        </w:rPr>
        <w:t>7</w:t>
      </w:r>
      <w:r w:rsidR="00097A16">
        <w:rPr>
          <w:rFonts w:ascii="Arial" w:hAnsi="Arial" w:cs="Arial"/>
          <w:color w:val="808080" w:themeColor="background1" w:themeShade="80"/>
          <w:sz w:val="22"/>
          <w:szCs w:val="22"/>
          <w:lang w:val="en-GB"/>
        </w:rPr>
        <w:t xml:space="preserve"> business days from publication of the list.  The Court is required to determine any application within </w:t>
      </w:r>
      <w:r w:rsidR="00627B6D">
        <w:rPr>
          <w:rFonts w:ascii="Arial" w:hAnsi="Arial" w:cs="Arial"/>
          <w:color w:val="808080" w:themeColor="background1" w:themeShade="80"/>
          <w:sz w:val="22"/>
          <w:szCs w:val="22"/>
          <w:lang w:val="en-GB"/>
        </w:rPr>
        <w:t>10</w:t>
      </w:r>
      <w:r w:rsidR="00097A16">
        <w:rPr>
          <w:rFonts w:ascii="Arial" w:hAnsi="Arial" w:cs="Arial"/>
          <w:color w:val="808080" w:themeColor="background1" w:themeShade="80"/>
          <w:sz w:val="22"/>
          <w:szCs w:val="22"/>
          <w:lang w:val="en-GB"/>
        </w:rPr>
        <w:t xml:space="preserve"> business</w:t>
      </w:r>
      <w:r w:rsidR="00CB3F86">
        <w:rPr>
          <w:rFonts w:ascii="Arial" w:hAnsi="Arial" w:cs="Arial"/>
          <w:color w:val="808080" w:themeColor="background1" w:themeShade="80"/>
          <w:sz w:val="22"/>
          <w:szCs w:val="22"/>
          <w:lang w:val="en-GB"/>
        </w:rPr>
        <w:t xml:space="preserve"> days of the application.</w:t>
      </w:r>
    </w:p>
    <w:p w14:paraId="3DAF10CE" w14:textId="77777777" w:rsidR="00CB3F86" w:rsidRDefault="00CB3F86" w:rsidP="00F1487F">
      <w:pPr>
        <w:jc w:val="both"/>
        <w:rPr>
          <w:rFonts w:ascii="Arial" w:hAnsi="Arial" w:cs="Arial"/>
          <w:color w:val="808080" w:themeColor="background1" w:themeShade="80"/>
          <w:sz w:val="22"/>
          <w:szCs w:val="22"/>
          <w:lang w:val="en-GB"/>
        </w:rPr>
      </w:pPr>
    </w:p>
    <w:p w14:paraId="16625217" w14:textId="018DD64F" w:rsidR="00CB3F86"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11</w:t>
      </w:r>
      <w:r>
        <w:rPr>
          <w:rFonts w:ascii="Arial" w:hAnsi="Arial" w:cs="Arial"/>
          <w:color w:val="808080" w:themeColor="background1" w:themeShade="80"/>
          <w:sz w:val="22"/>
          <w:szCs w:val="22"/>
          <w:lang w:val="en-GB"/>
        </w:rPr>
        <w:tab/>
      </w:r>
      <w:r w:rsidR="00CB3F86">
        <w:rPr>
          <w:rFonts w:ascii="Arial" w:hAnsi="Arial" w:cs="Arial"/>
          <w:color w:val="808080" w:themeColor="background1" w:themeShade="80"/>
          <w:sz w:val="22"/>
          <w:szCs w:val="22"/>
          <w:lang w:val="en-GB"/>
        </w:rPr>
        <w:t>The Preventive Composition</w:t>
      </w:r>
      <w:r w:rsidR="007E271A">
        <w:rPr>
          <w:rFonts w:ascii="Arial" w:hAnsi="Arial" w:cs="Arial"/>
          <w:color w:val="808080" w:themeColor="background1" w:themeShade="80"/>
          <w:sz w:val="22"/>
          <w:szCs w:val="22"/>
          <w:lang w:val="en-GB"/>
        </w:rPr>
        <w:t xml:space="preserve"> scheme must be submitted to the Court within 45 business days from date of publication of the decision initiating the Preventive Composition procedure.  The debtor is required to assist the trustee to prepare a Preventive Composition scheme.  At the request of the debtor or trustee, the Court may extend this period for periods of up to 20 business days.</w:t>
      </w:r>
    </w:p>
    <w:p w14:paraId="7D0A0DA1" w14:textId="77777777" w:rsidR="007E271A" w:rsidRDefault="007E271A" w:rsidP="00500956">
      <w:pPr>
        <w:ind w:left="709" w:hanging="709"/>
        <w:jc w:val="both"/>
        <w:rPr>
          <w:rFonts w:ascii="Arial" w:hAnsi="Arial" w:cs="Arial"/>
          <w:color w:val="808080" w:themeColor="background1" w:themeShade="80"/>
          <w:sz w:val="22"/>
          <w:szCs w:val="22"/>
          <w:lang w:val="en-GB"/>
        </w:rPr>
      </w:pPr>
    </w:p>
    <w:p w14:paraId="425D7574" w14:textId="39633AEA" w:rsidR="007E271A"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12</w:t>
      </w:r>
      <w:r>
        <w:rPr>
          <w:rFonts w:ascii="Arial" w:hAnsi="Arial" w:cs="Arial"/>
          <w:color w:val="808080" w:themeColor="background1" w:themeShade="80"/>
          <w:sz w:val="22"/>
          <w:szCs w:val="22"/>
          <w:lang w:val="en-GB"/>
        </w:rPr>
        <w:tab/>
      </w:r>
      <w:r w:rsidR="007E271A">
        <w:rPr>
          <w:rFonts w:ascii="Arial" w:hAnsi="Arial" w:cs="Arial"/>
          <w:color w:val="808080" w:themeColor="background1" w:themeShade="80"/>
          <w:sz w:val="22"/>
          <w:szCs w:val="22"/>
          <w:lang w:val="en-GB"/>
        </w:rPr>
        <w:t>Within 10 business days</w:t>
      </w:r>
      <w:r w:rsidR="00591D67">
        <w:rPr>
          <w:rFonts w:ascii="Arial" w:hAnsi="Arial" w:cs="Arial"/>
          <w:color w:val="808080" w:themeColor="background1" w:themeShade="80"/>
          <w:sz w:val="22"/>
          <w:szCs w:val="22"/>
          <w:lang w:val="en-GB"/>
        </w:rPr>
        <w:t xml:space="preserve"> from the date of submission of the scheme, the Court is required to review the draft to confirm that it takes account of all interested parties.  If the Court is satisfied with the terms of the proposed scheme, it is required to direct the trustee to issue invitations (by way of public advertisements, as well as any means directed by the Court) within 5 business days, to be given to the debtor’s creditors for purposes of attending the creditors meeting to discuss the proposed scheme.  The trustee is required to provide the creditors with a copy of the proposed scheme.  The meeting is to be held within 15 working days of the date of direction to invite the creditors.</w:t>
      </w:r>
    </w:p>
    <w:p w14:paraId="4F395E3F" w14:textId="77777777" w:rsidR="00591D67" w:rsidRDefault="00591D67" w:rsidP="00500956">
      <w:pPr>
        <w:ind w:left="709" w:hanging="709"/>
        <w:jc w:val="both"/>
        <w:rPr>
          <w:rFonts w:ascii="Arial" w:hAnsi="Arial" w:cs="Arial"/>
          <w:color w:val="808080" w:themeColor="background1" w:themeShade="80"/>
          <w:sz w:val="22"/>
          <w:szCs w:val="22"/>
          <w:lang w:val="en-GB"/>
        </w:rPr>
      </w:pPr>
    </w:p>
    <w:p w14:paraId="749C9F7C" w14:textId="2ED7EEEA" w:rsidR="00591D6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13</w:t>
      </w:r>
      <w:r>
        <w:rPr>
          <w:rFonts w:ascii="Arial" w:hAnsi="Arial" w:cs="Arial"/>
          <w:color w:val="808080" w:themeColor="background1" w:themeShade="80"/>
          <w:sz w:val="22"/>
          <w:szCs w:val="22"/>
          <w:lang w:val="en-GB"/>
        </w:rPr>
        <w:tab/>
      </w:r>
      <w:r w:rsidR="00591D67">
        <w:rPr>
          <w:rFonts w:ascii="Arial" w:hAnsi="Arial" w:cs="Arial"/>
          <w:color w:val="808080" w:themeColor="background1" w:themeShade="80"/>
          <w:sz w:val="22"/>
          <w:szCs w:val="22"/>
          <w:lang w:val="en-GB"/>
        </w:rPr>
        <w:t>At the creditors meeting, the trustee and the debtor are required to explain the proposed Preventive Composition scheme.</w:t>
      </w:r>
    </w:p>
    <w:p w14:paraId="379F5660" w14:textId="77777777" w:rsidR="00591D67" w:rsidRDefault="00591D67" w:rsidP="00500956">
      <w:pPr>
        <w:ind w:left="709" w:hanging="709"/>
        <w:jc w:val="both"/>
        <w:rPr>
          <w:rFonts w:ascii="Arial" w:hAnsi="Arial" w:cs="Arial"/>
          <w:color w:val="808080" w:themeColor="background1" w:themeShade="80"/>
          <w:sz w:val="22"/>
          <w:szCs w:val="22"/>
          <w:lang w:val="en-GB"/>
        </w:rPr>
      </w:pPr>
    </w:p>
    <w:p w14:paraId="78F7BFDB" w14:textId="1BF1AF44" w:rsidR="00591D6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14</w:t>
      </w:r>
      <w:r>
        <w:rPr>
          <w:rFonts w:ascii="Arial" w:hAnsi="Arial" w:cs="Arial"/>
          <w:color w:val="808080" w:themeColor="background1" w:themeShade="80"/>
          <w:sz w:val="22"/>
          <w:szCs w:val="22"/>
          <w:lang w:val="en-GB"/>
        </w:rPr>
        <w:tab/>
      </w:r>
      <w:r w:rsidR="00591D67">
        <w:rPr>
          <w:rFonts w:ascii="Arial" w:hAnsi="Arial" w:cs="Arial"/>
          <w:color w:val="808080" w:themeColor="background1" w:themeShade="80"/>
          <w:sz w:val="22"/>
          <w:szCs w:val="22"/>
          <w:lang w:val="en-GB"/>
        </w:rPr>
        <w:t xml:space="preserve">Only creditors whose votes have been admitted may vote on the scheme, except that the Court may direct that the creditors whose debts have been admitted on an interim basis, if proposed by the trustee, </w:t>
      </w:r>
      <w:r w:rsidR="00757BD0">
        <w:rPr>
          <w:rFonts w:ascii="Arial" w:hAnsi="Arial" w:cs="Arial"/>
          <w:color w:val="808080" w:themeColor="background1" w:themeShade="80"/>
          <w:sz w:val="22"/>
          <w:szCs w:val="22"/>
          <w:lang w:val="en-GB"/>
        </w:rPr>
        <w:t xml:space="preserve">may vote </w:t>
      </w:r>
      <w:r w:rsidR="00591D67">
        <w:rPr>
          <w:rFonts w:ascii="Arial" w:hAnsi="Arial" w:cs="Arial"/>
          <w:color w:val="808080" w:themeColor="background1" w:themeShade="80"/>
          <w:sz w:val="22"/>
          <w:szCs w:val="22"/>
          <w:lang w:val="en-GB"/>
        </w:rPr>
        <w:t>subject to any terms and conditions imposed by the Court.  Secured creditors may not vote on the scheme, unless they have surrendered their securities.</w:t>
      </w:r>
    </w:p>
    <w:p w14:paraId="0A35FF78" w14:textId="77777777" w:rsidR="00591D67" w:rsidRDefault="00591D67" w:rsidP="00500956">
      <w:pPr>
        <w:ind w:left="709" w:hanging="709"/>
        <w:jc w:val="both"/>
        <w:rPr>
          <w:rFonts w:ascii="Arial" w:hAnsi="Arial" w:cs="Arial"/>
          <w:color w:val="808080" w:themeColor="background1" w:themeShade="80"/>
          <w:sz w:val="22"/>
          <w:szCs w:val="22"/>
          <w:lang w:val="en-GB"/>
        </w:rPr>
      </w:pPr>
    </w:p>
    <w:p w14:paraId="250297C8" w14:textId="588C24CD" w:rsidR="00591D67"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15</w:t>
      </w:r>
      <w:r>
        <w:rPr>
          <w:rFonts w:ascii="Arial" w:hAnsi="Arial" w:cs="Arial"/>
          <w:color w:val="808080" w:themeColor="background1" w:themeShade="80"/>
          <w:sz w:val="22"/>
          <w:szCs w:val="22"/>
          <w:lang w:val="en-GB"/>
        </w:rPr>
        <w:tab/>
      </w:r>
      <w:r w:rsidR="00591D67">
        <w:rPr>
          <w:rFonts w:ascii="Arial" w:hAnsi="Arial" w:cs="Arial"/>
          <w:color w:val="808080" w:themeColor="background1" w:themeShade="80"/>
          <w:sz w:val="22"/>
          <w:szCs w:val="22"/>
          <w:lang w:val="en-GB"/>
        </w:rPr>
        <w:t>The requisite majority</w:t>
      </w:r>
      <w:r w:rsidR="0076788C">
        <w:rPr>
          <w:rFonts w:ascii="Arial" w:hAnsi="Arial" w:cs="Arial"/>
          <w:color w:val="808080" w:themeColor="background1" w:themeShade="80"/>
          <w:sz w:val="22"/>
          <w:szCs w:val="22"/>
          <w:lang w:val="en-GB"/>
        </w:rPr>
        <w:t xml:space="preserve"> for approval of the draft scheme is a majority of creditors holding two thirds of the debtor’s debt (including those temporarily admitted).</w:t>
      </w:r>
    </w:p>
    <w:p w14:paraId="614AE3A8" w14:textId="77777777" w:rsidR="0076788C" w:rsidRDefault="0076788C" w:rsidP="00500956">
      <w:pPr>
        <w:ind w:left="709" w:hanging="709"/>
        <w:jc w:val="both"/>
        <w:rPr>
          <w:rFonts w:ascii="Arial" w:hAnsi="Arial" w:cs="Arial"/>
          <w:color w:val="808080" w:themeColor="background1" w:themeShade="80"/>
          <w:sz w:val="22"/>
          <w:szCs w:val="22"/>
          <w:lang w:val="en-GB"/>
        </w:rPr>
      </w:pPr>
    </w:p>
    <w:p w14:paraId="2BAC72FD" w14:textId="136CB766" w:rsidR="0076788C"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16</w:t>
      </w:r>
      <w:r>
        <w:rPr>
          <w:rFonts w:ascii="Arial" w:hAnsi="Arial" w:cs="Arial"/>
          <w:color w:val="808080" w:themeColor="background1" w:themeShade="80"/>
          <w:sz w:val="22"/>
          <w:szCs w:val="22"/>
          <w:lang w:val="en-GB"/>
        </w:rPr>
        <w:tab/>
      </w:r>
      <w:r w:rsidR="0076788C">
        <w:rPr>
          <w:rFonts w:ascii="Arial" w:hAnsi="Arial" w:cs="Arial"/>
          <w:color w:val="808080" w:themeColor="background1" w:themeShade="80"/>
          <w:sz w:val="22"/>
          <w:szCs w:val="22"/>
          <w:lang w:val="en-GB"/>
        </w:rPr>
        <w:t>Once the scheme has been approved, the trustee is required to put the draft scheme before the Court within 3 business days, for the Court’s approval or rejection.  Any creditor who voted against the scheme may object to the proposed scheme within a further 3 business days and the Court is required to make a determination within 5 business days from the date of submitting the objection.  The Court’s determination is final on this score.</w:t>
      </w:r>
    </w:p>
    <w:p w14:paraId="15E7D65F" w14:textId="77777777" w:rsidR="0076788C" w:rsidRDefault="0076788C" w:rsidP="00F1487F">
      <w:pPr>
        <w:jc w:val="both"/>
        <w:rPr>
          <w:rFonts w:ascii="Arial" w:hAnsi="Arial" w:cs="Arial"/>
          <w:color w:val="808080" w:themeColor="background1" w:themeShade="80"/>
          <w:sz w:val="22"/>
          <w:szCs w:val="22"/>
          <w:lang w:val="en-GB"/>
        </w:rPr>
      </w:pPr>
    </w:p>
    <w:p w14:paraId="7DCA62EB" w14:textId="4CC47F3F" w:rsidR="0076788C"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17</w:t>
      </w:r>
      <w:r>
        <w:rPr>
          <w:rFonts w:ascii="Arial" w:hAnsi="Arial" w:cs="Arial"/>
          <w:color w:val="808080" w:themeColor="background1" w:themeShade="80"/>
          <w:sz w:val="22"/>
          <w:szCs w:val="22"/>
          <w:lang w:val="en-GB"/>
        </w:rPr>
        <w:tab/>
      </w:r>
      <w:r w:rsidR="0076788C">
        <w:rPr>
          <w:rFonts w:ascii="Arial" w:hAnsi="Arial" w:cs="Arial"/>
          <w:color w:val="808080" w:themeColor="background1" w:themeShade="80"/>
          <w:sz w:val="22"/>
          <w:szCs w:val="22"/>
          <w:lang w:val="en-GB"/>
        </w:rPr>
        <w:t>The Court is required to give any decision approving or rejecting the scheme</w:t>
      </w:r>
      <w:r w:rsidR="005D4E36">
        <w:rPr>
          <w:rFonts w:ascii="Arial" w:hAnsi="Arial" w:cs="Arial"/>
          <w:color w:val="808080" w:themeColor="background1" w:themeShade="80"/>
          <w:sz w:val="22"/>
          <w:szCs w:val="22"/>
          <w:lang w:val="en-GB"/>
        </w:rPr>
        <w:t xml:space="preserve"> urgently.  The Court must be satisfied that all affected creditors will receive at least as much as the creditors would have received if the debtor’s assets had been liquidated on the date of voting on the scheme.</w:t>
      </w:r>
    </w:p>
    <w:p w14:paraId="128ECBE4" w14:textId="77777777" w:rsidR="005D4E36" w:rsidRDefault="005D4E36" w:rsidP="00500956">
      <w:pPr>
        <w:ind w:left="709" w:hanging="709"/>
        <w:jc w:val="both"/>
        <w:rPr>
          <w:rFonts w:ascii="Arial" w:hAnsi="Arial" w:cs="Arial"/>
          <w:color w:val="808080" w:themeColor="background1" w:themeShade="80"/>
          <w:sz w:val="22"/>
          <w:szCs w:val="22"/>
          <w:lang w:val="en-GB"/>
        </w:rPr>
      </w:pPr>
    </w:p>
    <w:p w14:paraId="62157642" w14:textId="295280C2" w:rsidR="005D4E36" w:rsidRPr="00CA448F" w:rsidRDefault="00500956" w:rsidP="00500956">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18</w:t>
      </w:r>
      <w:r>
        <w:rPr>
          <w:rFonts w:ascii="Arial" w:hAnsi="Arial" w:cs="Arial"/>
          <w:color w:val="808080" w:themeColor="background1" w:themeShade="80"/>
          <w:sz w:val="22"/>
          <w:szCs w:val="22"/>
          <w:lang w:val="en-GB"/>
        </w:rPr>
        <w:tab/>
      </w:r>
      <w:r w:rsidR="00650B28">
        <w:rPr>
          <w:rFonts w:ascii="Arial" w:hAnsi="Arial" w:cs="Arial"/>
          <w:color w:val="808080" w:themeColor="background1" w:themeShade="80"/>
          <w:sz w:val="22"/>
          <w:szCs w:val="22"/>
          <w:lang w:val="en-GB"/>
        </w:rPr>
        <w:t>Within 7 business days of the date of approval of the scheme by the Court, the trustee is required to register the Court’s decision confirming the approval in the debtor’s governmental corporate register and publish a summary of the scheme.</w:t>
      </w:r>
    </w:p>
    <w:p w14:paraId="6CDA2848" w14:textId="08483F1B" w:rsidR="00BD1061" w:rsidRPr="00CA448F" w:rsidRDefault="00BD1061" w:rsidP="00F1487F">
      <w:pPr>
        <w:jc w:val="both"/>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w:t>
      </w:r>
      <w:r w:rsidRPr="00CA448F">
        <w:rPr>
          <w:rFonts w:ascii="Arial" w:hAnsi="Arial" w:cs="Arial"/>
          <w:sz w:val="22"/>
          <w:szCs w:val="22"/>
          <w:lang w:val="en-GB"/>
        </w:rPr>
        <w:lastRenderedPageBreak/>
        <w:t xml:space="preserve">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018D5BEE" w14:textId="28824159" w:rsidR="009D3106" w:rsidRDefault="00333A4C" w:rsidP="00DE29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41BDBE7" w14:textId="77777777" w:rsidR="00333A4C" w:rsidRDefault="00333A4C" w:rsidP="00555816">
      <w:pPr>
        <w:ind w:left="720" w:hanging="720"/>
        <w:jc w:val="both"/>
        <w:rPr>
          <w:rFonts w:ascii="Arial" w:hAnsi="Arial" w:cs="Arial"/>
          <w:color w:val="808080" w:themeColor="background1" w:themeShade="80"/>
          <w:sz w:val="22"/>
          <w:szCs w:val="22"/>
          <w:lang w:val="en-GB"/>
        </w:rPr>
      </w:pPr>
    </w:p>
    <w:p w14:paraId="7BD0064E" w14:textId="4CB41145" w:rsidR="00333A4C" w:rsidRDefault="00DE295C"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sidR="00333A4C">
        <w:rPr>
          <w:rFonts w:ascii="Arial" w:hAnsi="Arial" w:cs="Arial"/>
          <w:color w:val="808080" w:themeColor="background1" w:themeShade="80"/>
          <w:sz w:val="22"/>
          <w:szCs w:val="22"/>
          <w:lang w:val="en-GB"/>
        </w:rPr>
        <w:tab/>
        <w:t xml:space="preserve">The Court is required to make an order </w:t>
      </w:r>
      <w:r w:rsidR="00B95951">
        <w:rPr>
          <w:rFonts w:ascii="Arial" w:hAnsi="Arial" w:cs="Arial"/>
          <w:color w:val="808080" w:themeColor="background1" w:themeShade="80"/>
          <w:sz w:val="22"/>
          <w:szCs w:val="22"/>
          <w:lang w:val="en-GB"/>
        </w:rPr>
        <w:t>for the bankruptcy</w:t>
      </w:r>
      <w:r w:rsidR="00333A4C">
        <w:rPr>
          <w:rFonts w:ascii="Arial" w:hAnsi="Arial" w:cs="Arial"/>
          <w:color w:val="808080" w:themeColor="background1" w:themeShade="80"/>
          <w:sz w:val="22"/>
          <w:szCs w:val="22"/>
          <w:lang w:val="en-GB"/>
        </w:rPr>
        <w:t xml:space="preserve"> and the liquidation </w:t>
      </w:r>
      <w:r w:rsidR="00557655">
        <w:rPr>
          <w:rFonts w:ascii="Arial" w:hAnsi="Arial" w:cs="Arial"/>
          <w:color w:val="808080" w:themeColor="background1" w:themeShade="80"/>
          <w:sz w:val="22"/>
          <w:szCs w:val="22"/>
          <w:lang w:val="en-GB"/>
        </w:rPr>
        <w:t>of VGK LLC</w:t>
      </w:r>
      <w:r w:rsidR="00B95951">
        <w:rPr>
          <w:rFonts w:ascii="Arial" w:hAnsi="Arial" w:cs="Arial"/>
          <w:color w:val="808080" w:themeColor="background1" w:themeShade="80"/>
          <w:sz w:val="22"/>
          <w:szCs w:val="22"/>
          <w:lang w:val="en-GB"/>
        </w:rPr>
        <w:t>’s assets</w:t>
      </w:r>
      <w:r w:rsidR="008F08A7">
        <w:rPr>
          <w:rFonts w:ascii="Arial" w:hAnsi="Arial" w:cs="Arial"/>
          <w:color w:val="808080" w:themeColor="background1" w:themeShade="80"/>
          <w:sz w:val="22"/>
          <w:szCs w:val="22"/>
          <w:lang w:val="en-GB"/>
        </w:rPr>
        <w:t xml:space="preserve"> on the basis that the creditors do not approve the restructuring</w:t>
      </w:r>
      <w:r w:rsidR="00B95951">
        <w:rPr>
          <w:rFonts w:ascii="Arial" w:hAnsi="Arial" w:cs="Arial"/>
          <w:color w:val="808080" w:themeColor="background1" w:themeShade="80"/>
          <w:sz w:val="22"/>
          <w:szCs w:val="22"/>
          <w:lang w:val="en-GB"/>
        </w:rPr>
        <w:t>.</w:t>
      </w:r>
    </w:p>
    <w:p w14:paraId="49D0B292" w14:textId="77777777" w:rsidR="00B95951" w:rsidRDefault="00B95951" w:rsidP="00555816">
      <w:pPr>
        <w:ind w:left="720" w:hanging="720"/>
        <w:jc w:val="both"/>
        <w:rPr>
          <w:rFonts w:ascii="Arial" w:hAnsi="Arial" w:cs="Arial"/>
          <w:color w:val="808080" w:themeColor="background1" w:themeShade="80"/>
          <w:sz w:val="22"/>
          <w:szCs w:val="22"/>
          <w:lang w:val="en-GB"/>
        </w:rPr>
      </w:pPr>
    </w:p>
    <w:p w14:paraId="77B31A9E" w14:textId="08722ACC" w:rsidR="00B95951" w:rsidRDefault="00DE295C"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sidR="00B95951">
        <w:rPr>
          <w:rFonts w:ascii="Arial" w:hAnsi="Arial" w:cs="Arial"/>
          <w:color w:val="808080" w:themeColor="background1" w:themeShade="80"/>
          <w:sz w:val="22"/>
          <w:szCs w:val="22"/>
          <w:lang w:val="en-GB"/>
        </w:rPr>
        <w:tab/>
      </w:r>
      <w:r w:rsidR="00B00ED8">
        <w:rPr>
          <w:rFonts w:ascii="Arial" w:hAnsi="Arial" w:cs="Arial"/>
          <w:color w:val="808080" w:themeColor="background1" w:themeShade="80"/>
          <w:sz w:val="22"/>
          <w:szCs w:val="22"/>
          <w:lang w:val="en-GB"/>
        </w:rPr>
        <w:t>If the court make</w:t>
      </w:r>
      <w:r w:rsidR="00C65C8E">
        <w:rPr>
          <w:rFonts w:ascii="Arial" w:hAnsi="Arial" w:cs="Arial"/>
          <w:color w:val="808080" w:themeColor="background1" w:themeShade="80"/>
          <w:sz w:val="22"/>
          <w:szCs w:val="22"/>
          <w:lang w:val="en-GB"/>
        </w:rPr>
        <w:t>s</w:t>
      </w:r>
      <w:r w:rsidR="00B00ED8">
        <w:rPr>
          <w:rFonts w:ascii="Arial" w:hAnsi="Arial" w:cs="Arial"/>
          <w:color w:val="808080" w:themeColor="background1" w:themeShade="80"/>
          <w:sz w:val="22"/>
          <w:szCs w:val="22"/>
          <w:lang w:val="en-GB"/>
        </w:rPr>
        <w:t xml:space="preserve"> a liquidation order, the court is required to </w:t>
      </w:r>
      <w:r w:rsidR="00C65C8E">
        <w:rPr>
          <w:rFonts w:ascii="Arial" w:hAnsi="Arial" w:cs="Arial"/>
          <w:color w:val="808080" w:themeColor="background1" w:themeShade="80"/>
          <w:sz w:val="22"/>
          <w:szCs w:val="22"/>
          <w:lang w:val="en-GB"/>
        </w:rPr>
        <w:t xml:space="preserve">appoint a trustee to undertake the </w:t>
      </w:r>
      <w:r w:rsidR="00786B48">
        <w:rPr>
          <w:rFonts w:ascii="Arial" w:hAnsi="Arial" w:cs="Arial"/>
          <w:color w:val="808080" w:themeColor="background1" w:themeShade="80"/>
          <w:sz w:val="22"/>
          <w:szCs w:val="22"/>
          <w:lang w:val="en-GB"/>
        </w:rPr>
        <w:t>liquidation, although it can order that</w:t>
      </w:r>
      <w:r w:rsidR="00C65C8E">
        <w:rPr>
          <w:rFonts w:ascii="Arial" w:hAnsi="Arial" w:cs="Arial"/>
          <w:color w:val="808080" w:themeColor="background1" w:themeShade="80"/>
          <w:sz w:val="22"/>
          <w:szCs w:val="22"/>
          <w:lang w:val="en-GB"/>
        </w:rPr>
        <w:t xml:space="preserve"> the trustee previously appointed in relation to the failed Preve</w:t>
      </w:r>
      <w:r>
        <w:rPr>
          <w:rFonts w:ascii="Arial" w:hAnsi="Arial" w:cs="Arial"/>
          <w:color w:val="808080" w:themeColor="background1" w:themeShade="80"/>
          <w:sz w:val="22"/>
          <w:szCs w:val="22"/>
          <w:lang w:val="en-GB"/>
        </w:rPr>
        <w:t>ntive Composition should continue in office.</w:t>
      </w:r>
    </w:p>
    <w:p w14:paraId="1EE084F7" w14:textId="77777777" w:rsidR="00786B48" w:rsidRDefault="00786B48" w:rsidP="00555816">
      <w:pPr>
        <w:ind w:left="720" w:hanging="720"/>
        <w:jc w:val="both"/>
        <w:rPr>
          <w:rFonts w:ascii="Arial" w:hAnsi="Arial" w:cs="Arial"/>
          <w:color w:val="808080" w:themeColor="background1" w:themeShade="80"/>
          <w:sz w:val="22"/>
          <w:szCs w:val="22"/>
          <w:lang w:val="en-GB"/>
        </w:rPr>
      </w:pPr>
    </w:p>
    <w:p w14:paraId="2659BBB1" w14:textId="6FC7BD9A" w:rsidR="00786B48" w:rsidRDefault="00786B48"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ab/>
      </w:r>
      <w:r w:rsidR="00884AFA">
        <w:rPr>
          <w:rFonts w:ascii="Arial" w:hAnsi="Arial" w:cs="Arial"/>
          <w:color w:val="808080" w:themeColor="background1" w:themeShade="80"/>
          <w:sz w:val="22"/>
          <w:szCs w:val="22"/>
          <w:lang w:val="en-GB"/>
        </w:rPr>
        <w:t xml:space="preserve">After the liquidation order has been granted, the appointed trustee must advertise </w:t>
      </w:r>
      <w:r w:rsidR="00513492">
        <w:rPr>
          <w:rFonts w:ascii="Arial" w:hAnsi="Arial" w:cs="Arial"/>
          <w:color w:val="808080" w:themeColor="background1" w:themeShade="80"/>
          <w:sz w:val="22"/>
          <w:szCs w:val="22"/>
          <w:lang w:val="en-GB"/>
        </w:rPr>
        <w:t>his appoin</w:t>
      </w:r>
      <w:r w:rsidR="00804A00">
        <w:rPr>
          <w:rFonts w:ascii="Arial" w:hAnsi="Arial" w:cs="Arial"/>
          <w:color w:val="808080" w:themeColor="background1" w:themeShade="80"/>
          <w:sz w:val="22"/>
          <w:szCs w:val="22"/>
          <w:lang w:val="en-GB"/>
        </w:rPr>
        <w:t>tment within 3 days. VGK LLC’s</w:t>
      </w:r>
      <w:r w:rsidR="00513492">
        <w:rPr>
          <w:rFonts w:ascii="Arial" w:hAnsi="Arial" w:cs="Arial"/>
          <w:color w:val="808080" w:themeColor="background1" w:themeShade="80"/>
          <w:sz w:val="22"/>
          <w:szCs w:val="22"/>
          <w:lang w:val="en-GB"/>
        </w:rPr>
        <w:t xml:space="preserve"> correspondence must state that </w:t>
      </w:r>
      <w:r w:rsidR="00804A00">
        <w:rPr>
          <w:rFonts w:ascii="Arial" w:hAnsi="Arial" w:cs="Arial"/>
          <w:color w:val="808080" w:themeColor="background1" w:themeShade="80"/>
          <w:sz w:val="22"/>
          <w:szCs w:val="22"/>
          <w:lang w:val="en-GB"/>
        </w:rPr>
        <w:t xml:space="preserve">it is subject to bankruptcy. </w:t>
      </w:r>
      <w:r w:rsidR="000C48AF">
        <w:rPr>
          <w:rFonts w:ascii="Arial" w:hAnsi="Arial" w:cs="Arial"/>
          <w:color w:val="808080" w:themeColor="background1" w:themeShade="80"/>
          <w:sz w:val="22"/>
          <w:szCs w:val="22"/>
          <w:lang w:val="en-GB"/>
        </w:rPr>
        <w:t>The trustee</w:t>
      </w:r>
      <w:r w:rsidR="00B66263">
        <w:rPr>
          <w:rFonts w:ascii="Arial" w:hAnsi="Arial" w:cs="Arial"/>
          <w:color w:val="808080" w:themeColor="background1" w:themeShade="80"/>
          <w:sz w:val="22"/>
          <w:szCs w:val="22"/>
          <w:lang w:val="en-GB"/>
        </w:rPr>
        <w:t xml:space="preserve"> is required to report to the court monthly on the </w:t>
      </w:r>
      <w:r w:rsidR="000C48AF">
        <w:rPr>
          <w:rFonts w:ascii="Arial" w:hAnsi="Arial" w:cs="Arial"/>
          <w:color w:val="808080" w:themeColor="background1" w:themeShade="80"/>
          <w:sz w:val="22"/>
          <w:szCs w:val="22"/>
          <w:lang w:val="en-GB"/>
        </w:rPr>
        <w:t>progress</w:t>
      </w:r>
      <w:r w:rsidR="00B66263">
        <w:rPr>
          <w:rFonts w:ascii="Arial" w:hAnsi="Arial" w:cs="Arial"/>
          <w:color w:val="808080" w:themeColor="background1" w:themeShade="80"/>
          <w:sz w:val="22"/>
          <w:szCs w:val="22"/>
          <w:lang w:val="en-GB"/>
        </w:rPr>
        <w:t xml:space="preserve"> of the liquidation</w:t>
      </w:r>
      <w:r w:rsidR="000C48AF">
        <w:rPr>
          <w:rFonts w:ascii="Arial" w:hAnsi="Arial" w:cs="Arial"/>
          <w:color w:val="808080" w:themeColor="background1" w:themeShade="80"/>
          <w:sz w:val="22"/>
          <w:szCs w:val="22"/>
          <w:lang w:val="en-GB"/>
        </w:rPr>
        <w:t xml:space="preserve"> of the debtor’s assets and in relation to the bankruptcy. </w:t>
      </w:r>
    </w:p>
    <w:p w14:paraId="5CC1ADDC" w14:textId="77777777" w:rsidR="000C48AF" w:rsidRDefault="000C48AF" w:rsidP="00555816">
      <w:pPr>
        <w:ind w:left="720" w:hanging="720"/>
        <w:jc w:val="both"/>
        <w:rPr>
          <w:rFonts w:ascii="Arial" w:hAnsi="Arial" w:cs="Arial"/>
          <w:color w:val="808080" w:themeColor="background1" w:themeShade="80"/>
          <w:sz w:val="22"/>
          <w:szCs w:val="22"/>
          <w:lang w:val="en-GB"/>
        </w:rPr>
      </w:pPr>
    </w:p>
    <w:p w14:paraId="0D37C6F0" w14:textId="4B0DAEAE" w:rsidR="000C48AF" w:rsidRDefault="000C48AF"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ab/>
      </w:r>
      <w:r w:rsidR="009A3AE1">
        <w:rPr>
          <w:rFonts w:ascii="Arial" w:hAnsi="Arial" w:cs="Arial"/>
          <w:color w:val="808080" w:themeColor="background1" w:themeShade="80"/>
          <w:sz w:val="22"/>
          <w:szCs w:val="22"/>
          <w:lang w:val="en-GB"/>
        </w:rPr>
        <w:t xml:space="preserve">Creditors including staff and </w:t>
      </w:r>
      <w:r w:rsidR="004F3437">
        <w:rPr>
          <w:rFonts w:ascii="Arial" w:hAnsi="Arial" w:cs="Arial"/>
          <w:color w:val="808080" w:themeColor="background1" w:themeShade="80"/>
          <w:sz w:val="22"/>
          <w:szCs w:val="22"/>
          <w:lang w:val="en-GB"/>
        </w:rPr>
        <w:t>the shareholder who is owed the purchase price for the restaurant must lodge their claims with the trustee within 10 business days from date of judgment</w:t>
      </w:r>
      <w:r w:rsidR="00011C2D">
        <w:rPr>
          <w:rFonts w:ascii="Arial" w:hAnsi="Arial" w:cs="Arial"/>
          <w:color w:val="808080" w:themeColor="background1" w:themeShade="80"/>
          <w:sz w:val="22"/>
          <w:szCs w:val="22"/>
          <w:lang w:val="en-GB"/>
        </w:rPr>
        <w:t>. The trust must consider the claims made</w:t>
      </w:r>
      <w:r w:rsidR="00C96496">
        <w:rPr>
          <w:rFonts w:ascii="Arial" w:hAnsi="Arial" w:cs="Arial"/>
          <w:color w:val="808080" w:themeColor="background1" w:themeShade="80"/>
          <w:sz w:val="22"/>
          <w:szCs w:val="22"/>
          <w:lang w:val="en-GB"/>
        </w:rPr>
        <w:t>, unless the debtors assets are insufficient to pay legal fees and secured creditors.</w:t>
      </w:r>
    </w:p>
    <w:p w14:paraId="1859E0B1" w14:textId="77777777" w:rsidR="00C96496" w:rsidRDefault="00C96496" w:rsidP="00555816">
      <w:pPr>
        <w:ind w:left="720" w:hanging="720"/>
        <w:jc w:val="both"/>
        <w:rPr>
          <w:rFonts w:ascii="Arial" w:hAnsi="Arial" w:cs="Arial"/>
          <w:color w:val="808080" w:themeColor="background1" w:themeShade="80"/>
          <w:sz w:val="22"/>
          <w:szCs w:val="22"/>
          <w:lang w:val="en-GB"/>
        </w:rPr>
      </w:pPr>
    </w:p>
    <w:p w14:paraId="66F334E1" w14:textId="4A9413FD" w:rsidR="00C96496" w:rsidRDefault="00C96496"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ab/>
      </w:r>
      <w:r w:rsidR="001151AC">
        <w:rPr>
          <w:rFonts w:ascii="Arial" w:hAnsi="Arial" w:cs="Arial"/>
          <w:color w:val="808080" w:themeColor="background1" w:themeShade="80"/>
          <w:sz w:val="22"/>
          <w:szCs w:val="22"/>
          <w:lang w:val="en-GB"/>
        </w:rPr>
        <w:t>Following bankruptcy, the trustee is required to liquidate all of the assets of VGK LLC</w:t>
      </w:r>
      <w:r w:rsidR="007A73EB">
        <w:rPr>
          <w:rFonts w:ascii="Arial" w:hAnsi="Arial" w:cs="Arial"/>
          <w:color w:val="808080" w:themeColor="background1" w:themeShade="80"/>
          <w:sz w:val="22"/>
          <w:szCs w:val="22"/>
          <w:lang w:val="en-GB"/>
        </w:rPr>
        <w:t xml:space="preserve"> by public auction, under the court’s supervision. </w:t>
      </w:r>
    </w:p>
    <w:p w14:paraId="632D1DD2" w14:textId="77777777" w:rsidR="00457A91" w:rsidRDefault="00457A91" w:rsidP="00555816">
      <w:pPr>
        <w:ind w:left="720" w:hanging="720"/>
        <w:jc w:val="both"/>
        <w:rPr>
          <w:rFonts w:ascii="Arial" w:hAnsi="Arial" w:cs="Arial"/>
          <w:color w:val="808080" w:themeColor="background1" w:themeShade="80"/>
          <w:sz w:val="22"/>
          <w:szCs w:val="22"/>
          <w:lang w:val="en-GB"/>
        </w:rPr>
      </w:pPr>
    </w:p>
    <w:p w14:paraId="54DDFD4B" w14:textId="145549FC" w:rsidR="00457A91" w:rsidRDefault="00457A91"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ab/>
        <w:t xml:space="preserve">The trustee is required to notify the court, </w:t>
      </w:r>
      <w:r w:rsidR="002565B1">
        <w:rPr>
          <w:rFonts w:ascii="Arial" w:hAnsi="Arial" w:cs="Arial"/>
          <w:color w:val="808080" w:themeColor="background1" w:themeShade="80"/>
          <w:sz w:val="22"/>
          <w:szCs w:val="22"/>
          <w:lang w:val="en-GB"/>
        </w:rPr>
        <w:t xml:space="preserve">any supervisors and the debtor of the substance of any proposal </w:t>
      </w:r>
      <w:r w:rsidR="00681F99">
        <w:rPr>
          <w:rFonts w:ascii="Arial" w:hAnsi="Arial" w:cs="Arial"/>
          <w:color w:val="808080" w:themeColor="background1" w:themeShade="80"/>
          <w:sz w:val="22"/>
          <w:szCs w:val="22"/>
          <w:lang w:val="en-GB"/>
        </w:rPr>
        <w:t>received for</w:t>
      </w:r>
      <w:r w:rsidR="002565B1">
        <w:rPr>
          <w:rFonts w:ascii="Arial" w:hAnsi="Arial" w:cs="Arial"/>
          <w:color w:val="808080" w:themeColor="background1" w:themeShade="80"/>
          <w:sz w:val="22"/>
          <w:szCs w:val="22"/>
          <w:lang w:val="en-GB"/>
        </w:rPr>
        <w:t xml:space="preserve"> the purchase of the debtor’s business. </w:t>
      </w:r>
      <w:r w:rsidR="00815567">
        <w:rPr>
          <w:rFonts w:ascii="Arial" w:hAnsi="Arial" w:cs="Arial"/>
          <w:color w:val="808080" w:themeColor="background1" w:themeShade="80"/>
          <w:sz w:val="22"/>
          <w:szCs w:val="22"/>
          <w:lang w:val="en-GB"/>
        </w:rPr>
        <w:t xml:space="preserve">The </w:t>
      </w:r>
      <w:r w:rsidR="008313A5">
        <w:rPr>
          <w:rFonts w:ascii="Arial" w:hAnsi="Arial" w:cs="Arial"/>
          <w:color w:val="808080" w:themeColor="background1" w:themeShade="80"/>
          <w:sz w:val="22"/>
          <w:szCs w:val="22"/>
          <w:lang w:val="en-GB"/>
        </w:rPr>
        <w:t xml:space="preserve">court may determine any objection which may be raised </w:t>
      </w:r>
      <w:r w:rsidR="00864788">
        <w:rPr>
          <w:rFonts w:ascii="Arial" w:hAnsi="Arial" w:cs="Arial"/>
          <w:color w:val="808080" w:themeColor="background1" w:themeShade="80"/>
          <w:sz w:val="22"/>
          <w:szCs w:val="22"/>
          <w:lang w:val="en-GB"/>
        </w:rPr>
        <w:t xml:space="preserve">by </w:t>
      </w:r>
      <w:r w:rsidR="008313A5">
        <w:rPr>
          <w:rFonts w:ascii="Arial" w:hAnsi="Arial" w:cs="Arial"/>
          <w:color w:val="808080" w:themeColor="background1" w:themeShade="80"/>
          <w:sz w:val="22"/>
          <w:szCs w:val="22"/>
          <w:lang w:val="en-GB"/>
        </w:rPr>
        <w:t xml:space="preserve">an interested party in relation to the proposed sale. </w:t>
      </w:r>
      <w:r w:rsidR="00864788">
        <w:rPr>
          <w:rFonts w:ascii="Arial" w:hAnsi="Arial" w:cs="Arial"/>
          <w:color w:val="808080" w:themeColor="background1" w:themeShade="80"/>
          <w:sz w:val="22"/>
          <w:szCs w:val="22"/>
          <w:lang w:val="en-GB"/>
        </w:rPr>
        <w:t xml:space="preserve">The debtor and certain related parties are precluded from purchasing </w:t>
      </w:r>
      <w:r w:rsidR="00F907DB">
        <w:rPr>
          <w:rFonts w:ascii="Arial" w:hAnsi="Arial" w:cs="Arial"/>
          <w:color w:val="808080" w:themeColor="background1" w:themeShade="80"/>
          <w:sz w:val="22"/>
          <w:szCs w:val="22"/>
          <w:lang w:val="en-GB"/>
        </w:rPr>
        <w:t>the debtors assets from the trustee.</w:t>
      </w:r>
    </w:p>
    <w:p w14:paraId="4D002DC3" w14:textId="77777777" w:rsidR="002743D4" w:rsidRDefault="002743D4" w:rsidP="00555816">
      <w:pPr>
        <w:ind w:left="720" w:hanging="720"/>
        <w:jc w:val="both"/>
        <w:rPr>
          <w:rFonts w:ascii="Arial" w:hAnsi="Arial" w:cs="Arial"/>
          <w:color w:val="808080" w:themeColor="background1" w:themeShade="80"/>
          <w:sz w:val="22"/>
          <w:szCs w:val="22"/>
          <w:lang w:val="en-GB"/>
        </w:rPr>
      </w:pPr>
    </w:p>
    <w:p w14:paraId="1AE87738" w14:textId="02C9F8BE" w:rsidR="002743D4" w:rsidRDefault="002743D4"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ab/>
        <w:t xml:space="preserve">The liquidation sale proceeds must be distributed </w:t>
      </w:r>
      <w:r w:rsidR="00A834D7">
        <w:rPr>
          <w:rFonts w:ascii="Arial" w:hAnsi="Arial" w:cs="Arial"/>
          <w:color w:val="808080" w:themeColor="background1" w:themeShade="80"/>
          <w:sz w:val="22"/>
          <w:szCs w:val="22"/>
          <w:lang w:val="en-GB"/>
        </w:rPr>
        <w:t>by the trustee</w:t>
      </w:r>
      <w:r>
        <w:rPr>
          <w:rFonts w:ascii="Arial" w:hAnsi="Arial" w:cs="Arial"/>
          <w:color w:val="808080" w:themeColor="background1" w:themeShade="80"/>
          <w:sz w:val="22"/>
          <w:szCs w:val="22"/>
          <w:lang w:val="en-GB"/>
        </w:rPr>
        <w:t xml:space="preserve"> to the</w:t>
      </w:r>
      <w:r w:rsidR="00592E2A">
        <w:rPr>
          <w:rFonts w:ascii="Arial" w:hAnsi="Arial" w:cs="Arial"/>
          <w:color w:val="808080" w:themeColor="background1" w:themeShade="80"/>
          <w:sz w:val="22"/>
          <w:szCs w:val="22"/>
          <w:lang w:val="en-GB"/>
        </w:rPr>
        <w:t xml:space="preserve"> creditors in order of preference stipulated in law, subject to the court approval </w:t>
      </w:r>
      <w:r w:rsidR="00BA53DE">
        <w:rPr>
          <w:rFonts w:ascii="Arial" w:hAnsi="Arial" w:cs="Arial"/>
          <w:color w:val="808080" w:themeColor="background1" w:themeShade="80"/>
          <w:sz w:val="22"/>
          <w:szCs w:val="22"/>
          <w:lang w:val="en-GB"/>
        </w:rPr>
        <w:t xml:space="preserve">for the distribution and approval of payment priorities. Claims for debts </w:t>
      </w:r>
      <w:r w:rsidR="00E124D0">
        <w:rPr>
          <w:rFonts w:ascii="Arial" w:hAnsi="Arial" w:cs="Arial"/>
          <w:color w:val="808080" w:themeColor="background1" w:themeShade="80"/>
          <w:sz w:val="22"/>
          <w:szCs w:val="22"/>
          <w:lang w:val="en-GB"/>
        </w:rPr>
        <w:t>which have not been admitted are to be hel</w:t>
      </w:r>
      <w:r w:rsidR="00A834D7">
        <w:rPr>
          <w:rFonts w:ascii="Arial" w:hAnsi="Arial" w:cs="Arial"/>
          <w:color w:val="808080" w:themeColor="background1" w:themeShade="80"/>
          <w:sz w:val="22"/>
          <w:szCs w:val="22"/>
          <w:lang w:val="en-GB"/>
        </w:rPr>
        <w:t>d</w:t>
      </w:r>
      <w:r w:rsidR="00E124D0">
        <w:rPr>
          <w:rFonts w:ascii="Arial" w:hAnsi="Arial" w:cs="Arial"/>
          <w:color w:val="808080" w:themeColor="background1" w:themeShade="80"/>
          <w:sz w:val="22"/>
          <w:szCs w:val="22"/>
          <w:lang w:val="en-GB"/>
        </w:rPr>
        <w:t xml:space="preserve"> by </w:t>
      </w:r>
      <w:r w:rsidR="00A834D7">
        <w:rPr>
          <w:rFonts w:ascii="Arial" w:hAnsi="Arial" w:cs="Arial"/>
          <w:color w:val="808080" w:themeColor="background1" w:themeShade="80"/>
          <w:sz w:val="22"/>
          <w:szCs w:val="22"/>
          <w:lang w:val="en-GB"/>
        </w:rPr>
        <w:t xml:space="preserve">court </w:t>
      </w:r>
      <w:r w:rsidR="00E124D0">
        <w:rPr>
          <w:rFonts w:ascii="Arial" w:hAnsi="Arial" w:cs="Arial"/>
          <w:color w:val="808080" w:themeColor="background1" w:themeShade="80"/>
          <w:sz w:val="22"/>
          <w:szCs w:val="22"/>
          <w:lang w:val="en-GB"/>
        </w:rPr>
        <w:t>the pending determination of the claims. The proceeds of the assets sold subject to secu</w:t>
      </w:r>
      <w:r w:rsidR="006E1660">
        <w:rPr>
          <w:rFonts w:ascii="Arial" w:hAnsi="Arial" w:cs="Arial"/>
          <w:color w:val="808080" w:themeColor="background1" w:themeShade="80"/>
          <w:sz w:val="22"/>
          <w:szCs w:val="22"/>
          <w:lang w:val="en-GB"/>
        </w:rPr>
        <w:t>rity interes</w:t>
      </w:r>
      <w:r w:rsidR="00E124D0">
        <w:rPr>
          <w:rFonts w:ascii="Arial" w:hAnsi="Arial" w:cs="Arial"/>
          <w:color w:val="808080" w:themeColor="background1" w:themeShade="80"/>
          <w:sz w:val="22"/>
          <w:szCs w:val="22"/>
          <w:lang w:val="en-GB"/>
        </w:rPr>
        <w:t xml:space="preserve">t are to be applied </w:t>
      </w:r>
      <w:r w:rsidR="006E1660">
        <w:rPr>
          <w:rFonts w:ascii="Arial" w:hAnsi="Arial" w:cs="Arial"/>
          <w:color w:val="808080" w:themeColor="background1" w:themeShade="80"/>
          <w:sz w:val="22"/>
          <w:szCs w:val="22"/>
          <w:lang w:val="en-GB"/>
        </w:rPr>
        <w:t xml:space="preserve">to pay the secured creditor concerned. Thus the sale proceeds of the restaurant site will be paid to the shareholder </w:t>
      </w:r>
      <w:r w:rsidR="00A834D7">
        <w:rPr>
          <w:rFonts w:ascii="Arial" w:hAnsi="Arial" w:cs="Arial"/>
          <w:color w:val="808080" w:themeColor="background1" w:themeShade="80"/>
          <w:sz w:val="22"/>
          <w:szCs w:val="22"/>
          <w:lang w:val="en-GB"/>
        </w:rPr>
        <w:t xml:space="preserve">who </w:t>
      </w:r>
      <w:r w:rsidR="006E1660">
        <w:rPr>
          <w:rFonts w:ascii="Arial" w:hAnsi="Arial" w:cs="Arial"/>
          <w:color w:val="808080" w:themeColor="background1" w:themeShade="80"/>
          <w:sz w:val="22"/>
          <w:szCs w:val="22"/>
          <w:lang w:val="en-GB"/>
        </w:rPr>
        <w:t xml:space="preserve">is </w:t>
      </w:r>
      <w:r w:rsidR="00A51877">
        <w:rPr>
          <w:rFonts w:ascii="Arial" w:hAnsi="Arial" w:cs="Arial"/>
          <w:color w:val="808080" w:themeColor="background1" w:themeShade="80"/>
          <w:sz w:val="22"/>
          <w:szCs w:val="22"/>
          <w:lang w:val="en-GB"/>
        </w:rPr>
        <w:t>owed the purchase price for the restaurant site over which he has a mortgage, less the trustees fees.</w:t>
      </w:r>
      <w:r w:rsidR="00162EA9">
        <w:rPr>
          <w:rFonts w:ascii="Arial" w:hAnsi="Arial" w:cs="Arial"/>
          <w:color w:val="808080" w:themeColor="background1" w:themeShade="80"/>
          <w:sz w:val="22"/>
          <w:szCs w:val="22"/>
          <w:lang w:val="en-GB"/>
        </w:rPr>
        <w:t xml:space="preserve"> </w:t>
      </w:r>
      <w:r w:rsidR="008A19EE">
        <w:rPr>
          <w:rFonts w:ascii="Arial" w:hAnsi="Arial" w:cs="Arial"/>
          <w:color w:val="808080" w:themeColor="background1" w:themeShade="80"/>
          <w:sz w:val="22"/>
          <w:szCs w:val="22"/>
          <w:lang w:val="en-GB"/>
        </w:rPr>
        <w:t>Any surplus after</w:t>
      </w:r>
      <w:r w:rsidR="00162EA9">
        <w:rPr>
          <w:rFonts w:ascii="Arial" w:hAnsi="Arial" w:cs="Arial"/>
          <w:color w:val="808080" w:themeColor="background1" w:themeShade="80"/>
          <w:sz w:val="22"/>
          <w:szCs w:val="22"/>
          <w:lang w:val="en-GB"/>
        </w:rPr>
        <w:t xml:space="preserve"> the </w:t>
      </w:r>
      <w:r w:rsidR="008A19EE">
        <w:rPr>
          <w:rFonts w:ascii="Arial" w:hAnsi="Arial" w:cs="Arial"/>
          <w:color w:val="808080" w:themeColor="background1" w:themeShade="80"/>
          <w:sz w:val="22"/>
          <w:szCs w:val="22"/>
          <w:lang w:val="en-GB"/>
        </w:rPr>
        <w:t>sale of the assets</w:t>
      </w:r>
      <w:r w:rsidR="00162EA9">
        <w:rPr>
          <w:rFonts w:ascii="Arial" w:hAnsi="Arial" w:cs="Arial"/>
          <w:color w:val="808080" w:themeColor="background1" w:themeShade="80"/>
          <w:sz w:val="22"/>
          <w:szCs w:val="22"/>
          <w:lang w:val="en-GB"/>
        </w:rPr>
        <w:t xml:space="preserve"> must be paid to VGK LLC.</w:t>
      </w:r>
    </w:p>
    <w:p w14:paraId="7DD23BA6" w14:textId="77777777" w:rsidR="0083219F" w:rsidRDefault="0083219F" w:rsidP="00555816">
      <w:pPr>
        <w:ind w:left="720" w:hanging="720"/>
        <w:jc w:val="both"/>
        <w:rPr>
          <w:rFonts w:ascii="Arial" w:hAnsi="Arial" w:cs="Arial"/>
          <w:color w:val="808080" w:themeColor="background1" w:themeShade="80"/>
          <w:sz w:val="22"/>
          <w:szCs w:val="22"/>
          <w:lang w:val="en-GB"/>
        </w:rPr>
      </w:pPr>
    </w:p>
    <w:p w14:paraId="05473F54" w14:textId="4F483E8C" w:rsidR="0083219F" w:rsidRDefault="0083219F" w:rsidP="00555816">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8</w:t>
      </w:r>
      <w:r>
        <w:rPr>
          <w:rFonts w:ascii="Arial" w:hAnsi="Arial" w:cs="Arial"/>
          <w:color w:val="808080" w:themeColor="background1" w:themeShade="80"/>
          <w:sz w:val="22"/>
          <w:szCs w:val="22"/>
          <w:lang w:val="en-GB"/>
        </w:rPr>
        <w:tab/>
        <w:t xml:space="preserve">In relation to the other assets, the order of priority is the payment of court costs and the trustees costs, unpaid wages and </w:t>
      </w:r>
      <w:r w:rsidR="00352741">
        <w:rPr>
          <w:rFonts w:ascii="Arial" w:hAnsi="Arial" w:cs="Arial"/>
          <w:color w:val="808080" w:themeColor="background1" w:themeShade="80"/>
          <w:sz w:val="22"/>
          <w:szCs w:val="22"/>
          <w:lang w:val="en-GB"/>
        </w:rPr>
        <w:t xml:space="preserve">salary up to a maximum of 3 months salary </w:t>
      </w:r>
      <w:r w:rsidR="00E2279C">
        <w:rPr>
          <w:rFonts w:ascii="Arial" w:hAnsi="Arial" w:cs="Arial"/>
          <w:color w:val="808080" w:themeColor="background1" w:themeShade="80"/>
          <w:sz w:val="22"/>
          <w:szCs w:val="22"/>
          <w:lang w:val="en-GB"/>
        </w:rPr>
        <w:t>(thi</w:t>
      </w:r>
      <w:r w:rsidR="00352741">
        <w:rPr>
          <w:rFonts w:ascii="Arial" w:hAnsi="Arial" w:cs="Arial"/>
          <w:color w:val="808080" w:themeColor="background1" w:themeShade="80"/>
          <w:sz w:val="22"/>
          <w:szCs w:val="22"/>
          <w:lang w:val="en-GB"/>
        </w:rPr>
        <w:t xml:space="preserve">s would </w:t>
      </w:r>
      <w:r w:rsidR="00E2279C">
        <w:rPr>
          <w:rFonts w:ascii="Arial" w:hAnsi="Arial" w:cs="Arial"/>
          <w:color w:val="808080" w:themeColor="background1" w:themeShade="80"/>
          <w:sz w:val="22"/>
          <w:szCs w:val="22"/>
          <w:lang w:val="en-GB"/>
        </w:rPr>
        <w:t xml:space="preserve">thus </w:t>
      </w:r>
      <w:r w:rsidR="00352741">
        <w:rPr>
          <w:rFonts w:ascii="Arial" w:hAnsi="Arial" w:cs="Arial"/>
          <w:color w:val="808080" w:themeColor="background1" w:themeShade="80"/>
          <w:sz w:val="22"/>
          <w:szCs w:val="22"/>
          <w:lang w:val="en-GB"/>
        </w:rPr>
        <w:t xml:space="preserve">apply </w:t>
      </w:r>
      <w:r w:rsidR="00E42C48">
        <w:rPr>
          <w:rFonts w:ascii="Arial" w:hAnsi="Arial" w:cs="Arial"/>
          <w:color w:val="808080" w:themeColor="background1" w:themeShade="80"/>
          <w:sz w:val="22"/>
          <w:szCs w:val="22"/>
          <w:lang w:val="en-GB"/>
        </w:rPr>
        <w:t>VGK LLC’s unpaid staff</w:t>
      </w:r>
      <w:r w:rsidR="00E2279C">
        <w:rPr>
          <w:rFonts w:ascii="Arial" w:hAnsi="Arial" w:cs="Arial"/>
          <w:color w:val="808080" w:themeColor="background1" w:themeShade="80"/>
          <w:sz w:val="22"/>
          <w:szCs w:val="22"/>
          <w:lang w:val="en-GB"/>
        </w:rPr>
        <w:t>), alimony debts under a judgme</w:t>
      </w:r>
      <w:r w:rsidR="00E42C48">
        <w:rPr>
          <w:rFonts w:ascii="Arial" w:hAnsi="Arial" w:cs="Arial"/>
          <w:color w:val="808080" w:themeColor="background1" w:themeShade="80"/>
          <w:sz w:val="22"/>
          <w:szCs w:val="22"/>
          <w:lang w:val="en-GB"/>
        </w:rPr>
        <w:t xml:space="preserve">nt against the debtor, amounts due to </w:t>
      </w:r>
      <w:r w:rsidR="009D23E1">
        <w:rPr>
          <w:rFonts w:ascii="Arial" w:hAnsi="Arial" w:cs="Arial"/>
          <w:color w:val="808080" w:themeColor="background1" w:themeShade="80"/>
          <w:sz w:val="22"/>
          <w:szCs w:val="22"/>
          <w:lang w:val="en-GB"/>
        </w:rPr>
        <w:t xml:space="preserve">governmental bodies and the costs incurred in supplying the </w:t>
      </w:r>
      <w:r w:rsidR="00E2279C">
        <w:rPr>
          <w:rFonts w:ascii="Arial" w:hAnsi="Arial" w:cs="Arial"/>
          <w:color w:val="808080" w:themeColor="background1" w:themeShade="80"/>
          <w:sz w:val="22"/>
          <w:szCs w:val="22"/>
          <w:lang w:val="en-GB"/>
        </w:rPr>
        <w:t>debtor</w:t>
      </w:r>
      <w:r w:rsidR="009D23E1">
        <w:rPr>
          <w:rFonts w:ascii="Arial" w:hAnsi="Arial" w:cs="Arial"/>
          <w:color w:val="808080" w:themeColor="background1" w:themeShade="80"/>
          <w:sz w:val="22"/>
          <w:szCs w:val="22"/>
          <w:lang w:val="en-GB"/>
        </w:rPr>
        <w:t xml:space="preserve"> with goods and services following the commencement of the bankruptcy. </w:t>
      </w:r>
    </w:p>
    <w:p w14:paraId="1BAF68A1" w14:textId="77777777" w:rsidR="005A7C7A" w:rsidRDefault="005A7C7A" w:rsidP="00555816">
      <w:pPr>
        <w:ind w:left="720" w:hanging="720"/>
        <w:jc w:val="both"/>
        <w:rPr>
          <w:rFonts w:ascii="Arial" w:hAnsi="Arial" w:cs="Arial"/>
          <w:color w:val="808080" w:themeColor="background1" w:themeShade="80"/>
          <w:sz w:val="22"/>
          <w:szCs w:val="22"/>
          <w:lang w:val="en-GB"/>
        </w:rPr>
      </w:pPr>
    </w:p>
    <w:p w14:paraId="4DBB2753" w14:textId="22E257B2" w:rsidR="009D3106" w:rsidRDefault="005A7C7A" w:rsidP="0007600C">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9</w:t>
      </w:r>
      <w:r>
        <w:rPr>
          <w:rFonts w:ascii="Arial" w:hAnsi="Arial" w:cs="Arial"/>
          <w:color w:val="808080" w:themeColor="background1" w:themeShade="80"/>
          <w:sz w:val="22"/>
          <w:szCs w:val="22"/>
          <w:lang w:val="en-GB"/>
        </w:rPr>
        <w:tab/>
      </w:r>
      <w:r w:rsidR="00864507">
        <w:rPr>
          <w:rFonts w:ascii="Arial" w:hAnsi="Arial" w:cs="Arial"/>
          <w:color w:val="808080" w:themeColor="background1" w:themeShade="80"/>
          <w:sz w:val="22"/>
          <w:szCs w:val="22"/>
          <w:lang w:val="en-GB"/>
        </w:rPr>
        <w:t>Following</w:t>
      </w:r>
      <w:r>
        <w:rPr>
          <w:rFonts w:ascii="Arial" w:hAnsi="Arial" w:cs="Arial"/>
          <w:color w:val="808080" w:themeColor="background1" w:themeShade="80"/>
          <w:sz w:val="22"/>
          <w:szCs w:val="22"/>
          <w:lang w:val="en-GB"/>
        </w:rPr>
        <w:t xml:space="preserve"> the liquidation </w:t>
      </w:r>
      <w:r w:rsidR="00285BBE">
        <w:rPr>
          <w:rFonts w:ascii="Arial" w:hAnsi="Arial" w:cs="Arial"/>
          <w:color w:val="808080" w:themeColor="background1" w:themeShade="80"/>
          <w:sz w:val="22"/>
          <w:szCs w:val="22"/>
          <w:lang w:val="en-GB"/>
        </w:rPr>
        <w:t xml:space="preserve">of the debtor’s assets </w:t>
      </w:r>
      <w:r>
        <w:rPr>
          <w:rFonts w:ascii="Arial" w:hAnsi="Arial" w:cs="Arial"/>
          <w:color w:val="808080" w:themeColor="background1" w:themeShade="80"/>
          <w:sz w:val="22"/>
          <w:szCs w:val="22"/>
          <w:lang w:val="en-GB"/>
        </w:rPr>
        <w:t xml:space="preserve">the court must make an order </w:t>
      </w:r>
      <w:r w:rsidR="00285BBE">
        <w:rPr>
          <w:rFonts w:ascii="Arial" w:hAnsi="Arial" w:cs="Arial"/>
          <w:color w:val="808080" w:themeColor="background1" w:themeShade="80"/>
          <w:sz w:val="22"/>
          <w:szCs w:val="22"/>
          <w:lang w:val="en-GB"/>
        </w:rPr>
        <w:t xml:space="preserve">confirming the conclusion of the liquidation procedure, including the final list of creditors </w:t>
      </w:r>
      <w:r w:rsidR="00864507">
        <w:rPr>
          <w:rFonts w:ascii="Arial" w:hAnsi="Arial" w:cs="Arial"/>
          <w:color w:val="808080" w:themeColor="background1" w:themeShade="80"/>
          <w:sz w:val="22"/>
          <w:szCs w:val="22"/>
          <w:lang w:val="en-GB"/>
        </w:rPr>
        <w:t xml:space="preserve">and the amounts remaining unpaid. </w:t>
      </w:r>
      <w:r w:rsidR="0007600C">
        <w:rPr>
          <w:rFonts w:ascii="Arial" w:hAnsi="Arial" w:cs="Arial"/>
          <w:color w:val="808080" w:themeColor="background1" w:themeShade="80"/>
          <w:sz w:val="22"/>
          <w:szCs w:val="22"/>
          <w:lang w:val="en-GB"/>
        </w:rPr>
        <w:t>The decision must be advertised. The trustee must return all the documents to the debtor after the completion of the liquidation</w:t>
      </w:r>
      <w:r w:rsidR="001755E2">
        <w:rPr>
          <w:rFonts w:ascii="Arial" w:hAnsi="Arial" w:cs="Arial"/>
          <w:color w:val="808080" w:themeColor="background1" w:themeShade="80"/>
          <w:sz w:val="22"/>
          <w:szCs w:val="22"/>
          <w:lang w:val="en-GB"/>
        </w:rPr>
        <w:t xml:space="preserve"> and an</w:t>
      </w:r>
      <w:r w:rsidR="003D4CFC">
        <w:rPr>
          <w:rFonts w:ascii="Arial" w:hAnsi="Arial" w:cs="Arial"/>
          <w:color w:val="808080" w:themeColor="background1" w:themeShade="80"/>
          <w:sz w:val="22"/>
          <w:szCs w:val="22"/>
          <w:lang w:val="en-GB"/>
        </w:rPr>
        <w:t>y creditor may enforce any debt remaining unpaid (as admitted in bankruptcy) against the remaining assets of the debtor.</w:t>
      </w:r>
    </w:p>
    <w:p w14:paraId="755ED967" w14:textId="77777777" w:rsidR="00D72350" w:rsidRDefault="00D72350" w:rsidP="0007600C">
      <w:pPr>
        <w:ind w:left="720" w:hanging="720"/>
        <w:jc w:val="both"/>
        <w:rPr>
          <w:rFonts w:ascii="Arial" w:hAnsi="Arial" w:cs="Arial"/>
          <w:color w:val="808080" w:themeColor="background1" w:themeShade="80"/>
          <w:sz w:val="22"/>
          <w:szCs w:val="22"/>
          <w:lang w:val="en-GB"/>
        </w:rPr>
      </w:pPr>
    </w:p>
    <w:p w14:paraId="52C7399B" w14:textId="7ADB74B5" w:rsidR="00D72350" w:rsidRPr="00CA448F" w:rsidRDefault="00D72350" w:rsidP="0007600C">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10</w:t>
      </w:r>
      <w:r>
        <w:rPr>
          <w:rFonts w:ascii="Arial" w:hAnsi="Arial" w:cs="Arial"/>
          <w:color w:val="808080" w:themeColor="background1" w:themeShade="80"/>
          <w:sz w:val="22"/>
          <w:szCs w:val="22"/>
          <w:lang w:val="en-GB"/>
        </w:rPr>
        <w:tab/>
        <w:t xml:space="preserve">VGK LLC can ask the court to terminate the bankruptcy </w:t>
      </w:r>
      <w:r w:rsidR="001755E2">
        <w:rPr>
          <w:rFonts w:ascii="Arial" w:hAnsi="Arial" w:cs="Arial"/>
          <w:color w:val="808080" w:themeColor="background1" w:themeShade="80"/>
          <w:sz w:val="22"/>
          <w:szCs w:val="22"/>
          <w:lang w:val="en-GB"/>
        </w:rPr>
        <w:t xml:space="preserve">if the grounds for bankruptcy no longer exist. </w:t>
      </w: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58B1458F" w14:textId="2D7F2DAC" w:rsidR="00CF7980" w:rsidRDefault="002707D1" w:rsidP="00CF7980">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r w:rsidR="0078135F" w:rsidRPr="0078135F">
        <w:rPr>
          <w:rFonts w:ascii="Arial" w:hAnsi="Arial" w:cs="Arial"/>
          <w:i/>
          <w:color w:val="808080" w:themeColor="background1" w:themeShade="80"/>
          <w:sz w:val="22"/>
          <w:szCs w:val="22"/>
          <w:lang w:val="en-GB"/>
        </w:rPr>
        <w:t>Inter alia</w:t>
      </w:r>
      <w:r w:rsidR="0078135F">
        <w:rPr>
          <w:rFonts w:ascii="Arial" w:hAnsi="Arial" w:cs="Arial"/>
          <w:color w:val="808080" w:themeColor="background1" w:themeShade="80"/>
          <w:sz w:val="22"/>
          <w:szCs w:val="22"/>
          <w:lang w:val="en-GB"/>
        </w:rPr>
        <w:t>, t</w:t>
      </w:r>
      <w:r>
        <w:rPr>
          <w:rFonts w:ascii="Arial" w:hAnsi="Arial" w:cs="Arial"/>
          <w:color w:val="808080" w:themeColor="background1" w:themeShade="80"/>
          <w:sz w:val="22"/>
          <w:szCs w:val="22"/>
          <w:lang w:val="en-GB"/>
        </w:rPr>
        <w:t xml:space="preserve">he creditors </w:t>
      </w:r>
      <w:r w:rsidR="009E7593">
        <w:rPr>
          <w:rFonts w:ascii="Arial" w:hAnsi="Arial" w:cs="Arial"/>
          <w:color w:val="808080" w:themeColor="background1" w:themeShade="80"/>
          <w:sz w:val="22"/>
          <w:szCs w:val="22"/>
          <w:lang w:val="en-GB"/>
        </w:rPr>
        <w:t>(with a debt</w:t>
      </w:r>
      <w:r w:rsidR="0078135F">
        <w:rPr>
          <w:rFonts w:ascii="Arial" w:hAnsi="Arial" w:cs="Arial"/>
          <w:color w:val="808080" w:themeColor="background1" w:themeShade="80"/>
          <w:sz w:val="22"/>
          <w:szCs w:val="22"/>
          <w:lang w:val="en-GB"/>
        </w:rPr>
        <w:t xml:space="preserve"> of $2,000) </w:t>
      </w:r>
      <w:r>
        <w:rPr>
          <w:rFonts w:ascii="Arial" w:hAnsi="Arial" w:cs="Arial"/>
          <w:color w:val="808080" w:themeColor="background1" w:themeShade="80"/>
          <w:sz w:val="22"/>
          <w:szCs w:val="22"/>
          <w:lang w:val="en-GB"/>
        </w:rPr>
        <w:t xml:space="preserve">can apply </w:t>
      </w:r>
      <w:r w:rsidR="007C15FB">
        <w:rPr>
          <w:rFonts w:ascii="Arial" w:hAnsi="Arial" w:cs="Arial"/>
          <w:color w:val="808080" w:themeColor="background1" w:themeShade="80"/>
          <w:sz w:val="22"/>
          <w:szCs w:val="22"/>
          <w:lang w:val="en-GB"/>
        </w:rPr>
        <w:t xml:space="preserve">to court </w:t>
      </w:r>
      <w:r>
        <w:rPr>
          <w:rFonts w:ascii="Arial" w:hAnsi="Arial" w:cs="Arial"/>
          <w:color w:val="808080" w:themeColor="background1" w:themeShade="80"/>
          <w:sz w:val="22"/>
          <w:szCs w:val="22"/>
          <w:lang w:val="en-GB"/>
        </w:rPr>
        <w:t xml:space="preserve">for the compulsory winding up of </w:t>
      </w:r>
      <w:r w:rsidR="006A6B7C">
        <w:rPr>
          <w:rFonts w:ascii="Arial" w:hAnsi="Arial" w:cs="Arial"/>
          <w:color w:val="808080" w:themeColor="background1" w:themeShade="80"/>
          <w:sz w:val="22"/>
          <w:szCs w:val="22"/>
          <w:lang w:val="en-GB"/>
        </w:rPr>
        <w:t>VGK.</w:t>
      </w:r>
      <w:r w:rsidR="00643653">
        <w:rPr>
          <w:rFonts w:ascii="Arial" w:hAnsi="Arial" w:cs="Arial"/>
          <w:color w:val="808080" w:themeColor="background1" w:themeShade="80"/>
          <w:sz w:val="22"/>
          <w:szCs w:val="22"/>
          <w:lang w:val="en-GB"/>
        </w:rPr>
        <w:t xml:space="preserve"> </w:t>
      </w:r>
    </w:p>
    <w:p w14:paraId="0BD028FB" w14:textId="77777777" w:rsidR="00CF7980" w:rsidRDefault="00CF7980" w:rsidP="00CF7980">
      <w:pPr>
        <w:ind w:left="720" w:hanging="720"/>
        <w:rPr>
          <w:rFonts w:ascii="Arial" w:hAnsi="Arial" w:cs="Arial"/>
          <w:color w:val="808080" w:themeColor="background1" w:themeShade="80"/>
          <w:sz w:val="22"/>
          <w:szCs w:val="22"/>
          <w:lang w:val="en-GB"/>
        </w:rPr>
      </w:pPr>
    </w:p>
    <w:p w14:paraId="385F7F1A" w14:textId="4BC0D656" w:rsidR="00640623" w:rsidRDefault="00CF7980" w:rsidP="00CF7980">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r>
      <w:r w:rsidR="00643653">
        <w:rPr>
          <w:rFonts w:ascii="Arial" w:hAnsi="Arial" w:cs="Arial"/>
          <w:color w:val="808080" w:themeColor="background1" w:themeShade="80"/>
          <w:sz w:val="22"/>
          <w:szCs w:val="22"/>
          <w:lang w:val="en-GB"/>
        </w:rPr>
        <w:t>The court can order a compuls</w:t>
      </w:r>
      <w:r>
        <w:rPr>
          <w:rFonts w:ascii="Arial" w:hAnsi="Arial" w:cs="Arial"/>
          <w:color w:val="808080" w:themeColor="background1" w:themeShade="80"/>
          <w:sz w:val="22"/>
          <w:szCs w:val="22"/>
          <w:lang w:val="en-GB"/>
        </w:rPr>
        <w:t xml:space="preserve">ory winding up as VGK is unable to pay its debts. </w:t>
      </w:r>
    </w:p>
    <w:p w14:paraId="4DAF6F7D" w14:textId="77777777" w:rsidR="006A6B7C" w:rsidRDefault="006A6B7C" w:rsidP="00640623">
      <w:pPr>
        <w:rPr>
          <w:rFonts w:ascii="Arial" w:hAnsi="Arial" w:cs="Arial"/>
          <w:color w:val="808080" w:themeColor="background1" w:themeShade="80"/>
          <w:sz w:val="22"/>
          <w:szCs w:val="22"/>
          <w:lang w:val="en-GB"/>
        </w:rPr>
      </w:pPr>
    </w:p>
    <w:p w14:paraId="7C921792" w14:textId="48C39BF4" w:rsidR="006A6B7C" w:rsidRDefault="00CF7980" w:rsidP="009A1C95">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sidR="006A6B7C">
        <w:rPr>
          <w:rFonts w:ascii="Arial" w:hAnsi="Arial" w:cs="Arial"/>
          <w:color w:val="808080" w:themeColor="background1" w:themeShade="80"/>
          <w:sz w:val="22"/>
          <w:szCs w:val="22"/>
          <w:lang w:val="en-GB"/>
        </w:rPr>
        <w:tab/>
      </w:r>
      <w:r w:rsidR="004C0DED">
        <w:rPr>
          <w:rFonts w:ascii="Arial" w:hAnsi="Arial" w:cs="Arial"/>
          <w:color w:val="808080" w:themeColor="background1" w:themeShade="80"/>
          <w:sz w:val="22"/>
          <w:szCs w:val="22"/>
          <w:lang w:val="en-GB"/>
        </w:rPr>
        <w:t>An appointed liquidator would be responsible for the winding up</w:t>
      </w:r>
      <w:r w:rsidR="009A1C95">
        <w:rPr>
          <w:rFonts w:ascii="Arial" w:hAnsi="Arial" w:cs="Arial"/>
          <w:color w:val="808080" w:themeColor="background1" w:themeShade="80"/>
          <w:sz w:val="22"/>
          <w:szCs w:val="22"/>
          <w:lang w:val="en-GB"/>
        </w:rPr>
        <w:t xml:space="preserve"> and he will step into the directors’ shoes. </w:t>
      </w:r>
    </w:p>
    <w:p w14:paraId="0B54096A" w14:textId="77777777" w:rsidR="005C3B9C" w:rsidRDefault="005C3B9C" w:rsidP="009A1C95">
      <w:pPr>
        <w:ind w:left="720" w:hanging="720"/>
        <w:rPr>
          <w:rFonts w:ascii="Arial" w:hAnsi="Arial" w:cs="Arial"/>
          <w:color w:val="808080" w:themeColor="background1" w:themeShade="80"/>
          <w:sz w:val="22"/>
          <w:szCs w:val="22"/>
          <w:lang w:val="en-GB"/>
        </w:rPr>
      </w:pPr>
    </w:p>
    <w:p w14:paraId="4A56E2BF" w14:textId="35ABC245" w:rsidR="00DB2EF3" w:rsidRDefault="00DB2EF3" w:rsidP="009A1C95">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ab/>
      </w:r>
      <w:r w:rsidR="00CF6866">
        <w:rPr>
          <w:rFonts w:ascii="Arial" w:hAnsi="Arial" w:cs="Arial"/>
          <w:color w:val="808080" w:themeColor="background1" w:themeShade="80"/>
          <w:sz w:val="22"/>
          <w:szCs w:val="22"/>
          <w:lang w:val="en-GB"/>
        </w:rPr>
        <w:t>Creditor</w:t>
      </w:r>
      <w:r w:rsidR="002478E4">
        <w:rPr>
          <w:rFonts w:ascii="Arial" w:hAnsi="Arial" w:cs="Arial"/>
          <w:color w:val="808080" w:themeColor="background1" w:themeShade="80"/>
          <w:sz w:val="22"/>
          <w:szCs w:val="22"/>
          <w:lang w:val="en-GB"/>
        </w:rPr>
        <w:t>s</w:t>
      </w:r>
      <w:r w:rsidR="00CF6866">
        <w:rPr>
          <w:rFonts w:ascii="Arial" w:hAnsi="Arial" w:cs="Arial"/>
          <w:color w:val="808080" w:themeColor="background1" w:themeShade="80"/>
          <w:sz w:val="22"/>
          <w:szCs w:val="22"/>
          <w:lang w:val="en-GB"/>
        </w:rPr>
        <w:t xml:space="preserve"> who want </w:t>
      </w:r>
      <w:r w:rsidR="002478E4">
        <w:rPr>
          <w:rFonts w:ascii="Arial" w:hAnsi="Arial" w:cs="Arial"/>
          <w:color w:val="808080" w:themeColor="background1" w:themeShade="80"/>
          <w:sz w:val="22"/>
          <w:szCs w:val="22"/>
          <w:lang w:val="en-GB"/>
        </w:rPr>
        <w:t xml:space="preserve">to </w:t>
      </w:r>
      <w:r w:rsidR="00CF6866">
        <w:rPr>
          <w:rFonts w:ascii="Arial" w:hAnsi="Arial" w:cs="Arial"/>
          <w:color w:val="808080" w:themeColor="background1" w:themeShade="80"/>
          <w:sz w:val="22"/>
          <w:szCs w:val="22"/>
          <w:lang w:val="en-GB"/>
        </w:rPr>
        <w:t xml:space="preserve">recover monies owing to them </w:t>
      </w:r>
      <w:r w:rsidR="002478E4">
        <w:rPr>
          <w:rFonts w:ascii="Arial" w:hAnsi="Arial" w:cs="Arial"/>
          <w:color w:val="808080" w:themeColor="background1" w:themeShade="80"/>
          <w:sz w:val="22"/>
          <w:szCs w:val="22"/>
          <w:lang w:val="en-GB"/>
        </w:rPr>
        <w:t xml:space="preserve">must submit </w:t>
      </w:r>
      <w:r w:rsidR="00685B33">
        <w:rPr>
          <w:rFonts w:ascii="Arial" w:hAnsi="Arial" w:cs="Arial"/>
          <w:color w:val="808080" w:themeColor="background1" w:themeShade="80"/>
          <w:sz w:val="22"/>
          <w:szCs w:val="22"/>
          <w:lang w:val="en-GB"/>
        </w:rPr>
        <w:t xml:space="preserve">in writing </w:t>
      </w:r>
      <w:r w:rsidR="002478E4">
        <w:rPr>
          <w:rFonts w:ascii="Arial" w:hAnsi="Arial" w:cs="Arial"/>
          <w:color w:val="808080" w:themeColor="background1" w:themeShade="80"/>
          <w:sz w:val="22"/>
          <w:szCs w:val="22"/>
          <w:lang w:val="en-GB"/>
        </w:rPr>
        <w:t>claims for the amount</w:t>
      </w:r>
      <w:r w:rsidR="001E1A8E">
        <w:rPr>
          <w:rFonts w:ascii="Arial" w:hAnsi="Arial" w:cs="Arial"/>
          <w:color w:val="808080" w:themeColor="background1" w:themeShade="80"/>
          <w:sz w:val="22"/>
          <w:szCs w:val="22"/>
          <w:lang w:val="en-GB"/>
        </w:rPr>
        <w:t xml:space="preserve">s owing, with supporting documentation to enable the </w:t>
      </w:r>
      <w:r w:rsidR="00685B33">
        <w:rPr>
          <w:rFonts w:ascii="Arial" w:hAnsi="Arial" w:cs="Arial"/>
          <w:color w:val="808080" w:themeColor="background1" w:themeShade="80"/>
          <w:sz w:val="22"/>
          <w:szCs w:val="22"/>
          <w:lang w:val="en-GB"/>
        </w:rPr>
        <w:t>liquidator</w:t>
      </w:r>
      <w:r w:rsidR="001E1A8E">
        <w:rPr>
          <w:rFonts w:ascii="Arial" w:hAnsi="Arial" w:cs="Arial"/>
          <w:color w:val="808080" w:themeColor="background1" w:themeShade="80"/>
          <w:sz w:val="22"/>
          <w:szCs w:val="22"/>
          <w:lang w:val="en-GB"/>
        </w:rPr>
        <w:t xml:space="preserve"> to verify accordingly. </w:t>
      </w:r>
      <w:r w:rsidR="002478E4">
        <w:rPr>
          <w:rFonts w:ascii="Arial" w:hAnsi="Arial" w:cs="Arial"/>
          <w:color w:val="808080" w:themeColor="background1" w:themeShade="80"/>
          <w:sz w:val="22"/>
          <w:szCs w:val="22"/>
          <w:lang w:val="en-GB"/>
        </w:rPr>
        <w:t xml:space="preserve"> </w:t>
      </w:r>
    </w:p>
    <w:p w14:paraId="33B9117E" w14:textId="77777777" w:rsidR="00890D55" w:rsidRDefault="00890D55" w:rsidP="009A1C95">
      <w:pPr>
        <w:ind w:left="720" w:hanging="720"/>
        <w:rPr>
          <w:rFonts w:ascii="Arial" w:hAnsi="Arial" w:cs="Arial"/>
          <w:color w:val="808080" w:themeColor="background1" w:themeShade="80"/>
          <w:sz w:val="22"/>
          <w:szCs w:val="22"/>
          <w:lang w:val="en-GB"/>
        </w:rPr>
      </w:pPr>
    </w:p>
    <w:p w14:paraId="5DE0CE03" w14:textId="5AB027C3" w:rsidR="00890D55" w:rsidRDefault="00890D55" w:rsidP="009A1C95">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ab/>
        <w:t xml:space="preserve">A secured creditor can only prove a claim </w:t>
      </w:r>
      <w:r w:rsidR="002E7C76">
        <w:rPr>
          <w:rFonts w:ascii="Arial" w:hAnsi="Arial" w:cs="Arial"/>
          <w:color w:val="808080" w:themeColor="background1" w:themeShade="80"/>
          <w:sz w:val="22"/>
          <w:szCs w:val="22"/>
          <w:lang w:val="en-GB"/>
        </w:rPr>
        <w:t>for</w:t>
      </w:r>
      <w:r>
        <w:rPr>
          <w:rFonts w:ascii="Arial" w:hAnsi="Arial" w:cs="Arial"/>
          <w:color w:val="808080" w:themeColor="background1" w:themeShade="80"/>
          <w:sz w:val="22"/>
          <w:szCs w:val="22"/>
          <w:lang w:val="en-GB"/>
        </w:rPr>
        <w:t xml:space="preserve"> the balance </w:t>
      </w:r>
      <w:r w:rsidR="002E7C76">
        <w:rPr>
          <w:rFonts w:ascii="Arial" w:hAnsi="Arial" w:cs="Arial"/>
          <w:color w:val="808080" w:themeColor="background1" w:themeShade="80"/>
          <w:sz w:val="22"/>
          <w:szCs w:val="22"/>
          <w:lang w:val="en-GB"/>
        </w:rPr>
        <w:t>owing or estimated would be remain owing following the realisation of any secured interest.</w:t>
      </w:r>
    </w:p>
    <w:p w14:paraId="5BBB3486" w14:textId="77777777" w:rsidR="0098499A" w:rsidRDefault="0098499A" w:rsidP="009A1C95">
      <w:pPr>
        <w:ind w:left="720" w:hanging="720"/>
        <w:rPr>
          <w:rFonts w:ascii="Arial" w:hAnsi="Arial" w:cs="Arial"/>
          <w:color w:val="808080" w:themeColor="background1" w:themeShade="80"/>
          <w:sz w:val="22"/>
          <w:szCs w:val="22"/>
          <w:lang w:val="en-GB"/>
        </w:rPr>
      </w:pPr>
    </w:p>
    <w:p w14:paraId="37DACF39" w14:textId="791DFC0F" w:rsidR="0098499A" w:rsidRPr="00CA448F" w:rsidRDefault="0098499A" w:rsidP="009A1C95">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ab/>
        <w:t>The liquidator may admit or reject claims</w:t>
      </w:r>
      <w:r w:rsidR="00F8127A">
        <w:rPr>
          <w:rFonts w:ascii="Arial" w:hAnsi="Arial" w:cs="Arial"/>
          <w:color w:val="808080" w:themeColor="background1" w:themeShade="80"/>
          <w:sz w:val="22"/>
          <w:szCs w:val="22"/>
          <w:lang w:val="en-GB"/>
        </w:rPr>
        <w:t xml:space="preserve">. </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D56E" w14:textId="77777777" w:rsidR="009253CA" w:rsidRDefault="009253CA" w:rsidP="00241B44">
      <w:r>
        <w:separator/>
      </w:r>
    </w:p>
  </w:endnote>
  <w:endnote w:type="continuationSeparator" w:id="0">
    <w:p w14:paraId="6CA8CA49" w14:textId="77777777" w:rsidR="009253CA" w:rsidRDefault="009253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9253CA" w:rsidRPr="00FC7B47" w:rsidRDefault="009253C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8</w:t>
        </w:r>
        <w:r w:rsidRPr="00697EA1">
          <w:rPr>
            <w:rStyle w:val="PageNumber"/>
            <w:rFonts w:ascii="Arial" w:hAnsi="Arial" w:cs="Arial"/>
            <w:b/>
            <w:sz w:val="22"/>
            <w:szCs w:val="22"/>
          </w:rPr>
          <w:fldChar w:fldCharType="end"/>
        </w:r>
      </w:p>
    </w:sdtContent>
  </w:sdt>
  <w:p w14:paraId="43F7CECF" w14:textId="77777777" w:rsidR="009253CA" w:rsidRPr="00FC7B47" w:rsidRDefault="009253C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253CA" w:rsidRPr="009B4976" w:rsidRDefault="009253CA" w:rsidP="009253C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D6154">
          <w:rPr>
            <w:rStyle w:val="PageNumber"/>
            <w:rFonts w:ascii="Arial" w:hAnsi="Arial" w:cs="Arial"/>
            <w:b/>
            <w:bCs/>
            <w:noProof/>
            <w:sz w:val="18"/>
            <w:szCs w:val="18"/>
          </w:rPr>
          <w:t>4</w:t>
        </w:r>
        <w:r w:rsidRPr="0010593A">
          <w:rPr>
            <w:rStyle w:val="PageNumber"/>
            <w:rFonts w:ascii="Arial" w:hAnsi="Arial" w:cs="Arial"/>
            <w:b/>
            <w:bCs/>
            <w:sz w:val="18"/>
            <w:szCs w:val="18"/>
          </w:rPr>
          <w:fldChar w:fldCharType="end"/>
        </w:r>
      </w:p>
    </w:sdtContent>
  </w:sdt>
  <w:p w14:paraId="1F59BECD" w14:textId="4E710BB4" w:rsidR="009253CA" w:rsidRPr="009B4976" w:rsidRDefault="00AC04AF" w:rsidP="009B4976">
    <w:pPr>
      <w:pStyle w:val="Footer"/>
      <w:ind w:right="360"/>
      <w:rPr>
        <w:rFonts w:ascii="Arial" w:hAnsi="Arial" w:cs="Arial"/>
        <w:sz w:val="18"/>
        <w:szCs w:val="18"/>
        <w:lang w:val="en-GB"/>
      </w:rPr>
    </w:pPr>
    <w:r>
      <w:rPr>
        <w:rFonts w:ascii="Arial" w:hAnsi="Arial" w:cs="Arial"/>
        <w:sz w:val="18"/>
        <w:szCs w:val="18"/>
        <w:lang w:val="en-GB"/>
      </w:rPr>
      <w:t>202021IFU-289</w:t>
    </w:r>
    <w:r w:rsidR="009253CA" w:rsidRPr="009B4976">
      <w:rPr>
        <w:rFonts w:ascii="Arial" w:hAnsi="Arial" w:cs="Arial"/>
        <w:sz w:val="18"/>
        <w:szCs w:val="18"/>
        <w:lang w:val="en-GB"/>
      </w:rPr>
      <w:t>.assessment</w:t>
    </w:r>
    <w:r w:rsidR="009253CA">
      <w:rPr>
        <w:rFonts w:ascii="Arial" w:hAnsi="Arial" w:cs="Arial"/>
        <w:sz w:val="18"/>
        <w:szCs w:val="18"/>
        <w:lang w:val="en-GB"/>
      </w:rPr>
      <w:t>7E.docx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EE72" w14:textId="77777777" w:rsidR="009253CA" w:rsidRDefault="009253CA" w:rsidP="00241B44">
      <w:r>
        <w:separator/>
      </w:r>
    </w:p>
  </w:footnote>
  <w:footnote w:type="continuationSeparator" w:id="0">
    <w:p w14:paraId="0978DCDA" w14:textId="77777777" w:rsidR="009253CA" w:rsidRDefault="009253CA" w:rsidP="00241B44">
      <w:r>
        <w:continuationSeparator/>
      </w:r>
    </w:p>
  </w:footnote>
  <w:footnote w:id="1">
    <w:p w14:paraId="6B49D6E5" w14:textId="48D5B94E" w:rsidR="009253CA" w:rsidRDefault="009253CA">
      <w:pPr>
        <w:pStyle w:val="FootnoteText"/>
      </w:pPr>
      <w:r>
        <w:rPr>
          <w:rStyle w:val="FootnoteReference"/>
        </w:rPr>
        <w:footnoteRef/>
      </w:r>
      <w:r>
        <w:t xml:space="preserve"> Bankruptcy Law, article 105 </w:t>
      </w:r>
    </w:p>
  </w:footnote>
  <w:footnote w:id="2">
    <w:p w14:paraId="71ED1A62" w14:textId="0ED31B44" w:rsidR="009253CA" w:rsidRPr="001311BB" w:rsidRDefault="009253CA">
      <w:pPr>
        <w:pStyle w:val="FootnoteText"/>
      </w:pPr>
      <w:r>
        <w:rPr>
          <w:rStyle w:val="FootnoteReference"/>
        </w:rPr>
        <w:footnoteRef/>
      </w:r>
      <w:r>
        <w:t xml:space="preserve"> </w:t>
      </w:r>
      <w:r>
        <w:rPr>
          <w:i/>
        </w:rPr>
        <w:t>Idem</w:t>
      </w:r>
      <w:r>
        <w:t>, article 79</w:t>
      </w:r>
    </w:p>
  </w:footnote>
  <w:footnote w:id="3">
    <w:p w14:paraId="50E7B1C9" w14:textId="2934F685" w:rsidR="009253CA" w:rsidRPr="00E66482" w:rsidRDefault="009253CA">
      <w:pPr>
        <w:pStyle w:val="FootnoteText"/>
      </w:pPr>
      <w:r>
        <w:rPr>
          <w:rStyle w:val="FootnoteReference"/>
        </w:rPr>
        <w:footnoteRef/>
      </w:r>
      <w:r>
        <w:t xml:space="preserve"> </w:t>
      </w:r>
      <w:r>
        <w:rPr>
          <w:i/>
        </w:rPr>
        <w:t>Idem</w:t>
      </w:r>
      <w:r>
        <w:t>, article 80</w:t>
      </w:r>
    </w:p>
  </w:footnote>
  <w:footnote w:id="4">
    <w:p w14:paraId="03D61846" w14:textId="008899E8" w:rsidR="009253CA" w:rsidRPr="00E66482" w:rsidRDefault="009253CA">
      <w:pPr>
        <w:pStyle w:val="FootnoteText"/>
      </w:pPr>
      <w:r>
        <w:rPr>
          <w:rStyle w:val="FootnoteReference"/>
        </w:rPr>
        <w:footnoteRef/>
      </w:r>
      <w:r>
        <w:t xml:space="preserve"> </w:t>
      </w:r>
      <w:r>
        <w:rPr>
          <w:i/>
        </w:rPr>
        <w:t>Idem</w:t>
      </w:r>
      <w:r>
        <w:t>, article 81</w:t>
      </w:r>
    </w:p>
  </w:footnote>
  <w:footnote w:id="5">
    <w:p w14:paraId="495D561B" w14:textId="5109BE36" w:rsidR="009253CA" w:rsidRPr="006E597A" w:rsidRDefault="009253CA">
      <w:pPr>
        <w:pStyle w:val="FootnoteText"/>
      </w:pPr>
      <w:r>
        <w:rPr>
          <w:rStyle w:val="FootnoteReference"/>
        </w:rPr>
        <w:footnoteRef/>
      </w:r>
      <w:r>
        <w:t xml:space="preserve"> </w:t>
      </w:r>
      <w:r>
        <w:rPr>
          <w:i/>
        </w:rPr>
        <w:t>Idem</w:t>
      </w:r>
      <w:r>
        <w:t>, article 86</w:t>
      </w:r>
    </w:p>
  </w:footnote>
  <w:footnote w:id="6">
    <w:p w14:paraId="21165257" w14:textId="16F1352E" w:rsidR="009253CA" w:rsidRPr="00FC26E8" w:rsidRDefault="009253CA">
      <w:pPr>
        <w:pStyle w:val="FootnoteText"/>
      </w:pPr>
      <w:r>
        <w:rPr>
          <w:rStyle w:val="FootnoteReference"/>
        </w:rPr>
        <w:footnoteRef/>
      </w:r>
      <w:r>
        <w:t xml:space="preserve"> </w:t>
      </w:r>
      <w:r>
        <w:rPr>
          <w:i/>
        </w:rPr>
        <w:t>Idem</w:t>
      </w:r>
      <w:r>
        <w:t>, article 85</w:t>
      </w:r>
    </w:p>
  </w:footnote>
  <w:footnote w:id="7">
    <w:p w14:paraId="5D5744BF" w14:textId="587837B9" w:rsidR="009253CA" w:rsidRPr="005558ED" w:rsidRDefault="009253CA">
      <w:pPr>
        <w:pStyle w:val="FootnoteText"/>
      </w:pPr>
      <w:r>
        <w:rPr>
          <w:rStyle w:val="FootnoteReference"/>
        </w:rPr>
        <w:footnoteRef/>
      </w:r>
      <w:r>
        <w:t xml:space="preserve"> </w:t>
      </w:r>
      <w:r>
        <w:rPr>
          <w:i/>
        </w:rPr>
        <w:t>Idem</w:t>
      </w:r>
      <w:r>
        <w:t>, article 87</w:t>
      </w:r>
    </w:p>
  </w:footnote>
  <w:footnote w:id="8">
    <w:p w14:paraId="20C5FD7F" w14:textId="0ECD502A" w:rsidR="009253CA" w:rsidRPr="00847B22" w:rsidRDefault="009253CA">
      <w:pPr>
        <w:pStyle w:val="FootnoteText"/>
      </w:pPr>
      <w:r>
        <w:rPr>
          <w:rStyle w:val="FootnoteReference"/>
        </w:rPr>
        <w:footnoteRef/>
      </w:r>
      <w:r>
        <w:t xml:space="preserve"> </w:t>
      </w:r>
      <w:r>
        <w:rPr>
          <w:i/>
        </w:rPr>
        <w:t>Idem</w:t>
      </w:r>
      <w:r>
        <w:t>, article 88</w:t>
      </w:r>
    </w:p>
  </w:footnote>
  <w:footnote w:id="9">
    <w:p w14:paraId="15FC3B31" w14:textId="70775649" w:rsidR="009253CA" w:rsidRPr="00357A7C" w:rsidRDefault="009253CA">
      <w:pPr>
        <w:pStyle w:val="FootnoteText"/>
      </w:pPr>
      <w:r>
        <w:rPr>
          <w:rStyle w:val="FootnoteReference"/>
        </w:rPr>
        <w:footnoteRef/>
      </w:r>
      <w:r>
        <w:t xml:space="preserve"> </w:t>
      </w:r>
      <w:r>
        <w:rPr>
          <w:i/>
        </w:rPr>
        <w:t>Idem</w:t>
      </w:r>
      <w:r>
        <w:t>, article 94</w:t>
      </w:r>
    </w:p>
  </w:footnote>
  <w:footnote w:id="10">
    <w:p w14:paraId="6432A545" w14:textId="05FB65F2" w:rsidR="009253CA" w:rsidRPr="00071C51" w:rsidRDefault="009253CA">
      <w:pPr>
        <w:pStyle w:val="FootnoteText"/>
      </w:pPr>
      <w:r>
        <w:rPr>
          <w:rStyle w:val="FootnoteReference"/>
        </w:rPr>
        <w:footnoteRef/>
      </w:r>
      <w:r>
        <w:t xml:space="preserve"> </w:t>
      </w:r>
      <w:r>
        <w:rPr>
          <w:i/>
        </w:rPr>
        <w:t>Idem</w:t>
      </w:r>
      <w:r>
        <w:t>, article 94</w:t>
      </w:r>
    </w:p>
  </w:footnote>
  <w:footnote w:id="11">
    <w:p w14:paraId="52779BF4" w14:textId="2214074D" w:rsidR="009253CA" w:rsidRPr="00AE508E" w:rsidRDefault="009253CA">
      <w:pPr>
        <w:pStyle w:val="FootnoteText"/>
      </w:pPr>
      <w:r>
        <w:rPr>
          <w:rStyle w:val="FootnoteReference"/>
        </w:rPr>
        <w:footnoteRef/>
      </w:r>
      <w:r>
        <w:t xml:space="preserve"> </w:t>
      </w:r>
      <w:r>
        <w:rPr>
          <w:i/>
        </w:rPr>
        <w:t>Idem</w:t>
      </w:r>
      <w:r>
        <w:t>, article 98</w:t>
      </w:r>
    </w:p>
  </w:footnote>
  <w:footnote w:id="12">
    <w:p w14:paraId="341687ED" w14:textId="39E9FF5E" w:rsidR="009253CA" w:rsidRPr="007D6F9B" w:rsidRDefault="009253CA">
      <w:pPr>
        <w:pStyle w:val="FootnoteText"/>
      </w:pPr>
      <w:r>
        <w:rPr>
          <w:rStyle w:val="FootnoteReference"/>
        </w:rPr>
        <w:footnoteRef/>
      </w:r>
      <w:r>
        <w:t xml:space="preserve"> </w:t>
      </w:r>
      <w:r>
        <w:rPr>
          <w:i/>
        </w:rPr>
        <w:t>Idem</w:t>
      </w:r>
      <w:r>
        <w:t>, article 99</w:t>
      </w:r>
    </w:p>
  </w:footnote>
  <w:footnote w:id="13">
    <w:p w14:paraId="01526BB7" w14:textId="3B009C81" w:rsidR="009253CA" w:rsidRPr="00B663BF" w:rsidRDefault="009253CA">
      <w:pPr>
        <w:pStyle w:val="FootnoteText"/>
      </w:pPr>
      <w:r>
        <w:rPr>
          <w:rStyle w:val="FootnoteReference"/>
        </w:rPr>
        <w:footnoteRef/>
      </w:r>
      <w:r>
        <w:t xml:space="preserve"> </w:t>
      </w:r>
      <w:r>
        <w:rPr>
          <w:i/>
        </w:rPr>
        <w:t>Idem</w:t>
      </w:r>
      <w:r>
        <w:t>, article 103</w:t>
      </w:r>
    </w:p>
  </w:footnote>
  <w:footnote w:id="14">
    <w:p w14:paraId="600003F4" w14:textId="350840B8" w:rsidR="009253CA" w:rsidRPr="00323CC5" w:rsidRDefault="009253CA">
      <w:pPr>
        <w:pStyle w:val="FootnoteText"/>
      </w:pPr>
      <w:r>
        <w:rPr>
          <w:rStyle w:val="FootnoteReference"/>
        </w:rPr>
        <w:footnoteRef/>
      </w:r>
      <w:r>
        <w:t xml:space="preserve"> </w:t>
      </w:r>
      <w:r>
        <w:rPr>
          <w:i/>
        </w:rPr>
        <w:t>Idem</w:t>
      </w:r>
      <w:r>
        <w:t>, article 104</w:t>
      </w:r>
    </w:p>
  </w:footnote>
  <w:footnote w:id="15">
    <w:p w14:paraId="00A02681" w14:textId="2DAE797B" w:rsidR="009253CA" w:rsidRPr="00D47863" w:rsidRDefault="009253CA">
      <w:pPr>
        <w:pStyle w:val="FootnoteText"/>
      </w:pPr>
      <w:r>
        <w:rPr>
          <w:rStyle w:val="FootnoteReference"/>
        </w:rPr>
        <w:footnoteRef/>
      </w:r>
      <w:r>
        <w:t xml:space="preserve"> </w:t>
      </w:r>
      <w:r>
        <w:rPr>
          <w:i/>
        </w:rPr>
        <w:t>Idem</w:t>
      </w:r>
      <w:r>
        <w:t>, article 114</w:t>
      </w:r>
    </w:p>
  </w:footnote>
  <w:footnote w:id="16">
    <w:p w14:paraId="11262DFC" w14:textId="348367A5" w:rsidR="009253CA" w:rsidRPr="00B95AB4" w:rsidRDefault="009253CA">
      <w:pPr>
        <w:pStyle w:val="FootnoteText"/>
      </w:pPr>
      <w:r>
        <w:rPr>
          <w:rStyle w:val="FootnoteReference"/>
        </w:rPr>
        <w:footnoteRef/>
      </w:r>
      <w:r>
        <w:t xml:space="preserve"> </w:t>
      </w:r>
      <w:r>
        <w:rPr>
          <w:i/>
        </w:rPr>
        <w:t>Idem</w:t>
      </w:r>
      <w:r>
        <w:t>, article 114</w:t>
      </w:r>
    </w:p>
  </w:footnote>
  <w:footnote w:id="17">
    <w:p w14:paraId="163242E3" w14:textId="1F888F73" w:rsidR="009253CA" w:rsidRPr="0060361D" w:rsidRDefault="009253CA">
      <w:pPr>
        <w:pStyle w:val="FootnoteText"/>
      </w:pPr>
      <w:r>
        <w:rPr>
          <w:rStyle w:val="FootnoteReference"/>
        </w:rPr>
        <w:footnoteRef/>
      </w:r>
      <w:r>
        <w:t xml:space="preserve"> </w:t>
      </w:r>
      <w:r>
        <w:rPr>
          <w:i/>
        </w:rPr>
        <w:t>Idem</w:t>
      </w:r>
      <w:r>
        <w:t>, article 112</w:t>
      </w:r>
    </w:p>
  </w:footnote>
  <w:footnote w:id="18">
    <w:p w14:paraId="6D343BEE" w14:textId="4FF95BD2" w:rsidR="009253CA" w:rsidRPr="0060361D" w:rsidRDefault="009253CA">
      <w:pPr>
        <w:pStyle w:val="FootnoteText"/>
      </w:pPr>
      <w:r>
        <w:rPr>
          <w:rStyle w:val="FootnoteReference"/>
        </w:rPr>
        <w:footnoteRef/>
      </w:r>
      <w:r>
        <w:t xml:space="preserve"> </w:t>
      </w:r>
      <w:r>
        <w:rPr>
          <w:i/>
        </w:rPr>
        <w:t>Idem</w:t>
      </w:r>
      <w:r>
        <w:t>, article 115</w:t>
      </w:r>
    </w:p>
  </w:footnote>
  <w:footnote w:id="19">
    <w:p w14:paraId="5C1936F1" w14:textId="500FCEBD" w:rsidR="009253CA" w:rsidRPr="009253CA" w:rsidRDefault="009253CA">
      <w:pPr>
        <w:pStyle w:val="FootnoteText"/>
      </w:pPr>
      <w:r>
        <w:rPr>
          <w:rStyle w:val="FootnoteReference"/>
        </w:rPr>
        <w:footnoteRef/>
      </w:r>
      <w:r>
        <w:t xml:space="preserve"> </w:t>
      </w:r>
      <w:r>
        <w:rPr>
          <w:i/>
        </w:rPr>
        <w:t>Idem</w:t>
      </w:r>
      <w:r>
        <w:t>, article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907"/>
    <w:rsid w:val="00007BF3"/>
    <w:rsid w:val="00007C38"/>
    <w:rsid w:val="00010BA0"/>
    <w:rsid w:val="00011C2D"/>
    <w:rsid w:val="00020557"/>
    <w:rsid w:val="00021FC2"/>
    <w:rsid w:val="000250C7"/>
    <w:rsid w:val="000265C1"/>
    <w:rsid w:val="00026F16"/>
    <w:rsid w:val="00031498"/>
    <w:rsid w:val="00037621"/>
    <w:rsid w:val="00044D46"/>
    <w:rsid w:val="00045088"/>
    <w:rsid w:val="00045904"/>
    <w:rsid w:val="000502FD"/>
    <w:rsid w:val="00051572"/>
    <w:rsid w:val="00065166"/>
    <w:rsid w:val="00071C51"/>
    <w:rsid w:val="0007600C"/>
    <w:rsid w:val="00080D2E"/>
    <w:rsid w:val="00082609"/>
    <w:rsid w:val="000851CC"/>
    <w:rsid w:val="00085C85"/>
    <w:rsid w:val="00087F21"/>
    <w:rsid w:val="00093BE8"/>
    <w:rsid w:val="00097A16"/>
    <w:rsid w:val="000A1DC3"/>
    <w:rsid w:val="000A407B"/>
    <w:rsid w:val="000A68ED"/>
    <w:rsid w:val="000B5FF1"/>
    <w:rsid w:val="000B609F"/>
    <w:rsid w:val="000C48AF"/>
    <w:rsid w:val="000D55A8"/>
    <w:rsid w:val="000E4841"/>
    <w:rsid w:val="000E4FA3"/>
    <w:rsid w:val="000E6A12"/>
    <w:rsid w:val="000F1677"/>
    <w:rsid w:val="000F3D6C"/>
    <w:rsid w:val="00101707"/>
    <w:rsid w:val="00102CC9"/>
    <w:rsid w:val="0010593A"/>
    <w:rsid w:val="00111F83"/>
    <w:rsid w:val="0011473D"/>
    <w:rsid w:val="001151AC"/>
    <w:rsid w:val="00115C85"/>
    <w:rsid w:val="00122F36"/>
    <w:rsid w:val="00123855"/>
    <w:rsid w:val="00126A4D"/>
    <w:rsid w:val="00130419"/>
    <w:rsid w:val="001311BB"/>
    <w:rsid w:val="00136839"/>
    <w:rsid w:val="0014171F"/>
    <w:rsid w:val="0014622C"/>
    <w:rsid w:val="00152348"/>
    <w:rsid w:val="0015456D"/>
    <w:rsid w:val="00155FA2"/>
    <w:rsid w:val="00161F1B"/>
    <w:rsid w:val="00162829"/>
    <w:rsid w:val="00162EA9"/>
    <w:rsid w:val="00173A3F"/>
    <w:rsid w:val="001755E2"/>
    <w:rsid w:val="00180548"/>
    <w:rsid w:val="00180AC4"/>
    <w:rsid w:val="00180CCE"/>
    <w:rsid w:val="0018267A"/>
    <w:rsid w:val="00182779"/>
    <w:rsid w:val="001830DF"/>
    <w:rsid w:val="00185B27"/>
    <w:rsid w:val="00186993"/>
    <w:rsid w:val="001966D9"/>
    <w:rsid w:val="001A007A"/>
    <w:rsid w:val="001A1E2D"/>
    <w:rsid w:val="001A45DB"/>
    <w:rsid w:val="001A7E9A"/>
    <w:rsid w:val="001B0F70"/>
    <w:rsid w:val="001B5016"/>
    <w:rsid w:val="001C181F"/>
    <w:rsid w:val="001C45FC"/>
    <w:rsid w:val="001D0469"/>
    <w:rsid w:val="001D0A61"/>
    <w:rsid w:val="001D29C0"/>
    <w:rsid w:val="001D4862"/>
    <w:rsid w:val="001E1A8E"/>
    <w:rsid w:val="001E25B9"/>
    <w:rsid w:val="001E49E0"/>
    <w:rsid w:val="001E7B5A"/>
    <w:rsid w:val="001F7412"/>
    <w:rsid w:val="0020090A"/>
    <w:rsid w:val="00202DFE"/>
    <w:rsid w:val="00205A03"/>
    <w:rsid w:val="0020725B"/>
    <w:rsid w:val="002073B6"/>
    <w:rsid w:val="00207C3D"/>
    <w:rsid w:val="002110F1"/>
    <w:rsid w:val="00221D20"/>
    <w:rsid w:val="00224247"/>
    <w:rsid w:val="00224E71"/>
    <w:rsid w:val="00226CB6"/>
    <w:rsid w:val="002356EA"/>
    <w:rsid w:val="00240C69"/>
    <w:rsid w:val="0024116D"/>
    <w:rsid w:val="00241B44"/>
    <w:rsid w:val="00241FA3"/>
    <w:rsid w:val="002426EF"/>
    <w:rsid w:val="00245EFB"/>
    <w:rsid w:val="002478E4"/>
    <w:rsid w:val="0025386E"/>
    <w:rsid w:val="002565B1"/>
    <w:rsid w:val="0026338D"/>
    <w:rsid w:val="002638B0"/>
    <w:rsid w:val="0026647A"/>
    <w:rsid w:val="002668D3"/>
    <w:rsid w:val="002677FF"/>
    <w:rsid w:val="002707D1"/>
    <w:rsid w:val="002722CA"/>
    <w:rsid w:val="0027299F"/>
    <w:rsid w:val="002743D4"/>
    <w:rsid w:val="00274BC3"/>
    <w:rsid w:val="00284EBE"/>
    <w:rsid w:val="00285BBE"/>
    <w:rsid w:val="002903A7"/>
    <w:rsid w:val="0029433F"/>
    <w:rsid w:val="00294829"/>
    <w:rsid w:val="0029690F"/>
    <w:rsid w:val="00297C8A"/>
    <w:rsid w:val="002A2A60"/>
    <w:rsid w:val="002A37BB"/>
    <w:rsid w:val="002A521D"/>
    <w:rsid w:val="002B1C45"/>
    <w:rsid w:val="002C13C8"/>
    <w:rsid w:val="002C1EC5"/>
    <w:rsid w:val="002C2FDA"/>
    <w:rsid w:val="002C3547"/>
    <w:rsid w:val="002D0021"/>
    <w:rsid w:val="002D299D"/>
    <w:rsid w:val="002D3473"/>
    <w:rsid w:val="002E7C76"/>
    <w:rsid w:val="002F1956"/>
    <w:rsid w:val="002F3440"/>
    <w:rsid w:val="002F75A3"/>
    <w:rsid w:val="00303C2F"/>
    <w:rsid w:val="00305E53"/>
    <w:rsid w:val="00307D85"/>
    <w:rsid w:val="003144EF"/>
    <w:rsid w:val="00320701"/>
    <w:rsid w:val="00323CC5"/>
    <w:rsid w:val="00326292"/>
    <w:rsid w:val="00326415"/>
    <w:rsid w:val="00330937"/>
    <w:rsid w:val="00330F31"/>
    <w:rsid w:val="00333A4C"/>
    <w:rsid w:val="00334648"/>
    <w:rsid w:val="0033768C"/>
    <w:rsid w:val="00337938"/>
    <w:rsid w:val="00340769"/>
    <w:rsid w:val="00341AA6"/>
    <w:rsid w:val="003508D1"/>
    <w:rsid w:val="00352741"/>
    <w:rsid w:val="0035434A"/>
    <w:rsid w:val="00357A7C"/>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B7347"/>
    <w:rsid w:val="003C0156"/>
    <w:rsid w:val="003C4471"/>
    <w:rsid w:val="003C6597"/>
    <w:rsid w:val="003D0A6D"/>
    <w:rsid w:val="003D4CFC"/>
    <w:rsid w:val="003E0B16"/>
    <w:rsid w:val="003E67D1"/>
    <w:rsid w:val="003F739C"/>
    <w:rsid w:val="004015B9"/>
    <w:rsid w:val="0040332F"/>
    <w:rsid w:val="00404329"/>
    <w:rsid w:val="00405DC1"/>
    <w:rsid w:val="00412107"/>
    <w:rsid w:val="00415F1F"/>
    <w:rsid w:val="0042108F"/>
    <w:rsid w:val="00421839"/>
    <w:rsid w:val="004300F1"/>
    <w:rsid w:val="00430FED"/>
    <w:rsid w:val="00434A8C"/>
    <w:rsid w:val="00437297"/>
    <w:rsid w:val="004402DC"/>
    <w:rsid w:val="00444284"/>
    <w:rsid w:val="00445CE6"/>
    <w:rsid w:val="00447F7F"/>
    <w:rsid w:val="004534C2"/>
    <w:rsid w:val="0045446F"/>
    <w:rsid w:val="00454E2B"/>
    <w:rsid w:val="0045683E"/>
    <w:rsid w:val="00457A91"/>
    <w:rsid w:val="00477C72"/>
    <w:rsid w:val="00481D6B"/>
    <w:rsid w:val="00484B29"/>
    <w:rsid w:val="00491675"/>
    <w:rsid w:val="00493855"/>
    <w:rsid w:val="00495E79"/>
    <w:rsid w:val="004A2D83"/>
    <w:rsid w:val="004A57DD"/>
    <w:rsid w:val="004A7B51"/>
    <w:rsid w:val="004A7D71"/>
    <w:rsid w:val="004A7EF3"/>
    <w:rsid w:val="004B11FD"/>
    <w:rsid w:val="004B23A2"/>
    <w:rsid w:val="004B289E"/>
    <w:rsid w:val="004C0DED"/>
    <w:rsid w:val="004D1A5A"/>
    <w:rsid w:val="004D2FFF"/>
    <w:rsid w:val="004D3721"/>
    <w:rsid w:val="004D64F9"/>
    <w:rsid w:val="004E3A6B"/>
    <w:rsid w:val="004E622C"/>
    <w:rsid w:val="004F3437"/>
    <w:rsid w:val="004F5FDF"/>
    <w:rsid w:val="004F7A4B"/>
    <w:rsid w:val="00500956"/>
    <w:rsid w:val="00503068"/>
    <w:rsid w:val="00504765"/>
    <w:rsid w:val="00510995"/>
    <w:rsid w:val="00513492"/>
    <w:rsid w:val="005177FE"/>
    <w:rsid w:val="0052263B"/>
    <w:rsid w:val="00524728"/>
    <w:rsid w:val="005331CA"/>
    <w:rsid w:val="00537032"/>
    <w:rsid w:val="00537970"/>
    <w:rsid w:val="00540E3A"/>
    <w:rsid w:val="0054293F"/>
    <w:rsid w:val="00544127"/>
    <w:rsid w:val="005463A9"/>
    <w:rsid w:val="00553EB2"/>
    <w:rsid w:val="00555816"/>
    <w:rsid w:val="005558ED"/>
    <w:rsid w:val="00557655"/>
    <w:rsid w:val="00560534"/>
    <w:rsid w:val="0056391B"/>
    <w:rsid w:val="005650E2"/>
    <w:rsid w:val="00567AD7"/>
    <w:rsid w:val="00573E5C"/>
    <w:rsid w:val="00575B2D"/>
    <w:rsid w:val="005833D0"/>
    <w:rsid w:val="005846F3"/>
    <w:rsid w:val="005854B7"/>
    <w:rsid w:val="0058622F"/>
    <w:rsid w:val="005906C2"/>
    <w:rsid w:val="005919BD"/>
    <w:rsid w:val="00591D67"/>
    <w:rsid w:val="00592E2A"/>
    <w:rsid w:val="00592F82"/>
    <w:rsid w:val="005A0CCA"/>
    <w:rsid w:val="005A6FF2"/>
    <w:rsid w:val="005A726D"/>
    <w:rsid w:val="005A7C7A"/>
    <w:rsid w:val="005B67AC"/>
    <w:rsid w:val="005B79F4"/>
    <w:rsid w:val="005C3B9C"/>
    <w:rsid w:val="005D16DD"/>
    <w:rsid w:val="005D43E0"/>
    <w:rsid w:val="005D4E36"/>
    <w:rsid w:val="005D58A3"/>
    <w:rsid w:val="005E0DC1"/>
    <w:rsid w:val="005E1B79"/>
    <w:rsid w:val="005E4AD4"/>
    <w:rsid w:val="005E6076"/>
    <w:rsid w:val="005E7008"/>
    <w:rsid w:val="005F026D"/>
    <w:rsid w:val="005F1424"/>
    <w:rsid w:val="005F2AEA"/>
    <w:rsid w:val="005F2D0B"/>
    <w:rsid w:val="005F4B31"/>
    <w:rsid w:val="005F50F8"/>
    <w:rsid w:val="005F53AD"/>
    <w:rsid w:val="005F7C6B"/>
    <w:rsid w:val="0060361D"/>
    <w:rsid w:val="00610388"/>
    <w:rsid w:val="00610AC7"/>
    <w:rsid w:val="00612CA5"/>
    <w:rsid w:val="006153EC"/>
    <w:rsid w:val="00621A17"/>
    <w:rsid w:val="00627B6D"/>
    <w:rsid w:val="00627CC9"/>
    <w:rsid w:val="00627E7B"/>
    <w:rsid w:val="00630542"/>
    <w:rsid w:val="00632469"/>
    <w:rsid w:val="00632E44"/>
    <w:rsid w:val="00634622"/>
    <w:rsid w:val="00636808"/>
    <w:rsid w:val="00640623"/>
    <w:rsid w:val="00641515"/>
    <w:rsid w:val="00643653"/>
    <w:rsid w:val="00650B28"/>
    <w:rsid w:val="00651151"/>
    <w:rsid w:val="00654C2F"/>
    <w:rsid w:val="00657087"/>
    <w:rsid w:val="006639DB"/>
    <w:rsid w:val="006645D6"/>
    <w:rsid w:val="006661EF"/>
    <w:rsid w:val="00677AEB"/>
    <w:rsid w:val="00680EF2"/>
    <w:rsid w:val="00681F99"/>
    <w:rsid w:val="00685B33"/>
    <w:rsid w:val="00687A1D"/>
    <w:rsid w:val="00697EA1"/>
    <w:rsid w:val="006A2646"/>
    <w:rsid w:val="006A6530"/>
    <w:rsid w:val="006A6B7C"/>
    <w:rsid w:val="006B435A"/>
    <w:rsid w:val="006B4C64"/>
    <w:rsid w:val="006B503E"/>
    <w:rsid w:val="006C146A"/>
    <w:rsid w:val="006C3D2E"/>
    <w:rsid w:val="006D6BD5"/>
    <w:rsid w:val="006E0D50"/>
    <w:rsid w:val="006E1660"/>
    <w:rsid w:val="006E481A"/>
    <w:rsid w:val="006E5298"/>
    <w:rsid w:val="006E597A"/>
    <w:rsid w:val="006F41CC"/>
    <w:rsid w:val="006F4A78"/>
    <w:rsid w:val="006F58B3"/>
    <w:rsid w:val="006F734A"/>
    <w:rsid w:val="00700D83"/>
    <w:rsid w:val="0070415A"/>
    <w:rsid w:val="00704852"/>
    <w:rsid w:val="007074E9"/>
    <w:rsid w:val="00713DA4"/>
    <w:rsid w:val="00714BF1"/>
    <w:rsid w:val="00721383"/>
    <w:rsid w:val="0072681C"/>
    <w:rsid w:val="0073158B"/>
    <w:rsid w:val="00732D5D"/>
    <w:rsid w:val="007333CC"/>
    <w:rsid w:val="0073399A"/>
    <w:rsid w:val="00737C86"/>
    <w:rsid w:val="00740DAD"/>
    <w:rsid w:val="00756116"/>
    <w:rsid w:val="007563B9"/>
    <w:rsid w:val="007566B8"/>
    <w:rsid w:val="00757BD0"/>
    <w:rsid w:val="007603F5"/>
    <w:rsid w:val="00764DB0"/>
    <w:rsid w:val="0076764D"/>
    <w:rsid w:val="0076788C"/>
    <w:rsid w:val="0077431E"/>
    <w:rsid w:val="0077498C"/>
    <w:rsid w:val="007809BC"/>
    <w:rsid w:val="0078135F"/>
    <w:rsid w:val="00784128"/>
    <w:rsid w:val="00786B48"/>
    <w:rsid w:val="00787BCC"/>
    <w:rsid w:val="00793173"/>
    <w:rsid w:val="007A0057"/>
    <w:rsid w:val="007A2A33"/>
    <w:rsid w:val="007A73EB"/>
    <w:rsid w:val="007A7EA9"/>
    <w:rsid w:val="007B2469"/>
    <w:rsid w:val="007B4F09"/>
    <w:rsid w:val="007B58FF"/>
    <w:rsid w:val="007B5C89"/>
    <w:rsid w:val="007C15FB"/>
    <w:rsid w:val="007C1FCC"/>
    <w:rsid w:val="007C6201"/>
    <w:rsid w:val="007D6F9B"/>
    <w:rsid w:val="007D7C92"/>
    <w:rsid w:val="007E1154"/>
    <w:rsid w:val="007E271A"/>
    <w:rsid w:val="007E6BA4"/>
    <w:rsid w:val="007E6F41"/>
    <w:rsid w:val="007F41F8"/>
    <w:rsid w:val="007F659B"/>
    <w:rsid w:val="00803040"/>
    <w:rsid w:val="0080454E"/>
    <w:rsid w:val="00804A00"/>
    <w:rsid w:val="00804C32"/>
    <w:rsid w:val="00806302"/>
    <w:rsid w:val="00806E0A"/>
    <w:rsid w:val="00807119"/>
    <w:rsid w:val="00815567"/>
    <w:rsid w:val="00815F57"/>
    <w:rsid w:val="00821EDC"/>
    <w:rsid w:val="00822751"/>
    <w:rsid w:val="0082483F"/>
    <w:rsid w:val="008279C0"/>
    <w:rsid w:val="00830004"/>
    <w:rsid w:val="00830097"/>
    <w:rsid w:val="008313A5"/>
    <w:rsid w:val="0083219F"/>
    <w:rsid w:val="00847B22"/>
    <w:rsid w:val="0086334C"/>
    <w:rsid w:val="00864507"/>
    <w:rsid w:val="00864788"/>
    <w:rsid w:val="00867701"/>
    <w:rsid w:val="00871E9B"/>
    <w:rsid w:val="008723F3"/>
    <w:rsid w:val="00876F56"/>
    <w:rsid w:val="00881DE6"/>
    <w:rsid w:val="008837A6"/>
    <w:rsid w:val="00884AFA"/>
    <w:rsid w:val="00890D55"/>
    <w:rsid w:val="0089145D"/>
    <w:rsid w:val="008A19EE"/>
    <w:rsid w:val="008A4DF2"/>
    <w:rsid w:val="008A6CFE"/>
    <w:rsid w:val="008B403D"/>
    <w:rsid w:val="008B5333"/>
    <w:rsid w:val="008B6223"/>
    <w:rsid w:val="008C2BD9"/>
    <w:rsid w:val="008C66E0"/>
    <w:rsid w:val="008D1432"/>
    <w:rsid w:val="008E3339"/>
    <w:rsid w:val="008E56A5"/>
    <w:rsid w:val="008E646E"/>
    <w:rsid w:val="008F08A7"/>
    <w:rsid w:val="008F20FC"/>
    <w:rsid w:val="008F5FFE"/>
    <w:rsid w:val="0090239E"/>
    <w:rsid w:val="00905A43"/>
    <w:rsid w:val="00912C79"/>
    <w:rsid w:val="009164DD"/>
    <w:rsid w:val="00921B8C"/>
    <w:rsid w:val="00922A3A"/>
    <w:rsid w:val="009253CA"/>
    <w:rsid w:val="00942123"/>
    <w:rsid w:val="00951B67"/>
    <w:rsid w:val="0095207B"/>
    <w:rsid w:val="00953349"/>
    <w:rsid w:val="009613D0"/>
    <w:rsid w:val="00962045"/>
    <w:rsid w:val="00965804"/>
    <w:rsid w:val="00971CDF"/>
    <w:rsid w:val="00973D65"/>
    <w:rsid w:val="00980E61"/>
    <w:rsid w:val="0098499A"/>
    <w:rsid w:val="00991428"/>
    <w:rsid w:val="00991D88"/>
    <w:rsid w:val="00992676"/>
    <w:rsid w:val="009954B2"/>
    <w:rsid w:val="00996691"/>
    <w:rsid w:val="009A1C95"/>
    <w:rsid w:val="009A3AB7"/>
    <w:rsid w:val="009A3AE1"/>
    <w:rsid w:val="009A49E9"/>
    <w:rsid w:val="009B0723"/>
    <w:rsid w:val="009B07AD"/>
    <w:rsid w:val="009B0883"/>
    <w:rsid w:val="009B15E2"/>
    <w:rsid w:val="009B4976"/>
    <w:rsid w:val="009C0B8E"/>
    <w:rsid w:val="009C1BC8"/>
    <w:rsid w:val="009C2442"/>
    <w:rsid w:val="009D0811"/>
    <w:rsid w:val="009D0EE1"/>
    <w:rsid w:val="009D23E1"/>
    <w:rsid w:val="009D3106"/>
    <w:rsid w:val="009D3340"/>
    <w:rsid w:val="009D6501"/>
    <w:rsid w:val="009E2AEB"/>
    <w:rsid w:val="009E2E27"/>
    <w:rsid w:val="009E45DF"/>
    <w:rsid w:val="009E4DE3"/>
    <w:rsid w:val="009E6997"/>
    <w:rsid w:val="009E7593"/>
    <w:rsid w:val="009F275E"/>
    <w:rsid w:val="00A0366D"/>
    <w:rsid w:val="00A04143"/>
    <w:rsid w:val="00A047EE"/>
    <w:rsid w:val="00A2274A"/>
    <w:rsid w:val="00A235B7"/>
    <w:rsid w:val="00A27A7A"/>
    <w:rsid w:val="00A334F9"/>
    <w:rsid w:val="00A34ABE"/>
    <w:rsid w:val="00A407EF"/>
    <w:rsid w:val="00A44D15"/>
    <w:rsid w:val="00A44EE1"/>
    <w:rsid w:val="00A46B4C"/>
    <w:rsid w:val="00A5117B"/>
    <w:rsid w:val="00A51877"/>
    <w:rsid w:val="00A55A47"/>
    <w:rsid w:val="00A56D34"/>
    <w:rsid w:val="00A60074"/>
    <w:rsid w:val="00A6627C"/>
    <w:rsid w:val="00A71019"/>
    <w:rsid w:val="00A81029"/>
    <w:rsid w:val="00A834D7"/>
    <w:rsid w:val="00A845F5"/>
    <w:rsid w:val="00A96489"/>
    <w:rsid w:val="00AB2425"/>
    <w:rsid w:val="00AB685C"/>
    <w:rsid w:val="00AB6C2D"/>
    <w:rsid w:val="00AC04AF"/>
    <w:rsid w:val="00AC08F7"/>
    <w:rsid w:val="00AC3839"/>
    <w:rsid w:val="00AC7082"/>
    <w:rsid w:val="00AD4BE8"/>
    <w:rsid w:val="00AD6154"/>
    <w:rsid w:val="00AD6545"/>
    <w:rsid w:val="00AE1A12"/>
    <w:rsid w:val="00AE508E"/>
    <w:rsid w:val="00AF228E"/>
    <w:rsid w:val="00AF771B"/>
    <w:rsid w:val="00B007F7"/>
    <w:rsid w:val="00B00ED8"/>
    <w:rsid w:val="00B016A8"/>
    <w:rsid w:val="00B14819"/>
    <w:rsid w:val="00B15E2F"/>
    <w:rsid w:val="00B17AA9"/>
    <w:rsid w:val="00B22A28"/>
    <w:rsid w:val="00B22E51"/>
    <w:rsid w:val="00B2589E"/>
    <w:rsid w:val="00B44713"/>
    <w:rsid w:val="00B46C4B"/>
    <w:rsid w:val="00B51B95"/>
    <w:rsid w:val="00B52047"/>
    <w:rsid w:val="00B56103"/>
    <w:rsid w:val="00B64929"/>
    <w:rsid w:val="00B66263"/>
    <w:rsid w:val="00B663BF"/>
    <w:rsid w:val="00B71885"/>
    <w:rsid w:val="00B736DF"/>
    <w:rsid w:val="00B743D6"/>
    <w:rsid w:val="00B74FBD"/>
    <w:rsid w:val="00B77F46"/>
    <w:rsid w:val="00B82586"/>
    <w:rsid w:val="00B829A3"/>
    <w:rsid w:val="00B86DB1"/>
    <w:rsid w:val="00B87869"/>
    <w:rsid w:val="00B90B05"/>
    <w:rsid w:val="00B94841"/>
    <w:rsid w:val="00B95951"/>
    <w:rsid w:val="00B95AB4"/>
    <w:rsid w:val="00B960A8"/>
    <w:rsid w:val="00B9639B"/>
    <w:rsid w:val="00BA06CC"/>
    <w:rsid w:val="00BA53DE"/>
    <w:rsid w:val="00BB0F2B"/>
    <w:rsid w:val="00BC006C"/>
    <w:rsid w:val="00BD1061"/>
    <w:rsid w:val="00BD5C7A"/>
    <w:rsid w:val="00BD7133"/>
    <w:rsid w:val="00BE0C4E"/>
    <w:rsid w:val="00BE4FF3"/>
    <w:rsid w:val="00BE5D2E"/>
    <w:rsid w:val="00BF50F7"/>
    <w:rsid w:val="00BF7738"/>
    <w:rsid w:val="00C01F3F"/>
    <w:rsid w:val="00C02F29"/>
    <w:rsid w:val="00C0588C"/>
    <w:rsid w:val="00C17718"/>
    <w:rsid w:val="00C2018C"/>
    <w:rsid w:val="00C20AFE"/>
    <w:rsid w:val="00C22A25"/>
    <w:rsid w:val="00C24907"/>
    <w:rsid w:val="00C320B2"/>
    <w:rsid w:val="00C35671"/>
    <w:rsid w:val="00C35B77"/>
    <w:rsid w:val="00C376EB"/>
    <w:rsid w:val="00C46A92"/>
    <w:rsid w:val="00C46EC1"/>
    <w:rsid w:val="00C52796"/>
    <w:rsid w:val="00C53E2C"/>
    <w:rsid w:val="00C550C8"/>
    <w:rsid w:val="00C55824"/>
    <w:rsid w:val="00C56B61"/>
    <w:rsid w:val="00C606C3"/>
    <w:rsid w:val="00C613DE"/>
    <w:rsid w:val="00C620F4"/>
    <w:rsid w:val="00C65C8E"/>
    <w:rsid w:val="00C72848"/>
    <w:rsid w:val="00C7736C"/>
    <w:rsid w:val="00C77784"/>
    <w:rsid w:val="00C82D87"/>
    <w:rsid w:val="00C8712A"/>
    <w:rsid w:val="00C902C8"/>
    <w:rsid w:val="00C919D1"/>
    <w:rsid w:val="00C929BF"/>
    <w:rsid w:val="00C963D3"/>
    <w:rsid w:val="00C96496"/>
    <w:rsid w:val="00CA448F"/>
    <w:rsid w:val="00CA4F9F"/>
    <w:rsid w:val="00CB1983"/>
    <w:rsid w:val="00CB2CBB"/>
    <w:rsid w:val="00CB3F86"/>
    <w:rsid w:val="00CB7CAC"/>
    <w:rsid w:val="00CC4C9B"/>
    <w:rsid w:val="00CC5335"/>
    <w:rsid w:val="00CC5451"/>
    <w:rsid w:val="00CC5BA4"/>
    <w:rsid w:val="00CD4998"/>
    <w:rsid w:val="00CD707C"/>
    <w:rsid w:val="00CE1035"/>
    <w:rsid w:val="00CE6E50"/>
    <w:rsid w:val="00CF0079"/>
    <w:rsid w:val="00CF2819"/>
    <w:rsid w:val="00CF4F9D"/>
    <w:rsid w:val="00CF590E"/>
    <w:rsid w:val="00CF6866"/>
    <w:rsid w:val="00CF70DC"/>
    <w:rsid w:val="00CF7980"/>
    <w:rsid w:val="00CF7A99"/>
    <w:rsid w:val="00D06723"/>
    <w:rsid w:val="00D148DC"/>
    <w:rsid w:val="00D17FDC"/>
    <w:rsid w:val="00D21D8C"/>
    <w:rsid w:val="00D40569"/>
    <w:rsid w:val="00D41FDB"/>
    <w:rsid w:val="00D43A3C"/>
    <w:rsid w:val="00D47863"/>
    <w:rsid w:val="00D53719"/>
    <w:rsid w:val="00D63EFD"/>
    <w:rsid w:val="00D72350"/>
    <w:rsid w:val="00D73F9B"/>
    <w:rsid w:val="00D83191"/>
    <w:rsid w:val="00D83F0F"/>
    <w:rsid w:val="00D84752"/>
    <w:rsid w:val="00D86B3B"/>
    <w:rsid w:val="00D8748A"/>
    <w:rsid w:val="00D878AF"/>
    <w:rsid w:val="00D914B2"/>
    <w:rsid w:val="00D93196"/>
    <w:rsid w:val="00DA0DC0"/>
    <w:rsid w:val="00DA1581"/>
    <w:rsid w:val="00DA4D42"/>
    <w:rsid w:val="00DB243C"/>
    <w:rsid w:val="00DB2955"/>
    <w:rsid w:val="00DB2EF3"/>
    <w:rsid w:val="00DB482A"/>
    <w:rsid w:val="00DB50FB"/>
    <w:rsid w:val="00DB56F2"/>
    <w:rsid w:val="00DB6EF5"/>
    <w:rsid w:val="00DC3089"/>
    <w:rsid w:val="00DC3CA0"/>
    <w:rsid w:val="00DC4420"/>
    <w:rsid w:val="00DD0802"/>
    <w:rsid w:val="00DD2E11"/>
    <w:rsid w:val="00DE03AF"/>
    <w:rsid w:val="00DE121C"/>
    <w:rsid w:val="00DE295C"/>
    <w:rsid w:val="00DE3A7C"/>
    <w:rsid w:val="00DE3E4A"/>
    <w:rsid w:val="00DE6633"/>
    <w:rsid w:val="00DE71A2"/>
    <w:rsid w:val="00DE7516"/>
    <w:rsid w:val="00DE7B11"/>
    <w:rsid w:val="00DF314B"/>
    <w:rsid w:val="00DF6112"/>
    <w:rsid w:val="00DF75F8"/>
    <w:rsid w:val="00DF7A3A"/>
    <w:rsid w:val="00E00C00"/>
    <w:rsid w:val="00E01AA6"/>
    <w:rsid w:val="00E07C5A"/>
    <w:rsid w:val="00E124D0"/>
    <w:rsid w:val="00E15BA9"/>
    <w:rsid w:val="00E20F31"/>
    <w:rsid w:val="00E2279C"/>
    <w:rsid w:val="00E26E19"/>
    <w:rsid w:val="00E27899"/>
    <w:rsid w:val="00E31DF3"/>
    <w:rsid w:val="00E40F28"/>
    <w:rsid w:val="00E42C48"/>
    <w:rsid w:val="00E450A4"/>
    <w:rsid w:val="00E506BE"/>
    <w:rsid w:val="00E51C69"/>
    <w:rsid w:val="00E55547"/>
    <w:rsid w:val="00E62FE8"/>
    <w:rsid w:val="00E6302B"/>
    <w:rsid w:val="00E64015"/>
    <w:rsid w:val="00E6452F"/>
    <w:rsid w:val="00E64F45"/>
    <w:rsid w:val="00E653B1"/>
    <w:rsid w:val="00E65B7F"/>
    <w:rsid w:val="00E66482"/>
    <w:rsid w:val="00E6742D"/>
    <w:rsid w:val="00E71CB0"/>
    <w:rsid w:val="00E74ECD"/>
    <w:rsid w:val="00E77C3D"/>
    <w:rsid w:val="00E90991"/>
    <w:rsid w:val="00E909F0"/>
    <w:rsid w:val="00E90D47"/>
    <w:rsid w:val="00E93993"/>
    <w:rsid w:val="00E9597C"/>
    <w:rsid w:val="00E968BE"/>
    <w:rsid w:val="00EA0913"/>
    <w:rsid w:val="00EA5B00"/>
    <w:rsid w:val="00EB08A1"/>
    <w:rsid w:val="00EB146B"/>
    <w:rsid w:val="00EB45AC"/>
    <w:rsid w:val="00EC1E6D"/>
    <w:rsid w:val="00EC441F"/>
    <w:rsid w:val="00EC4755"/>
    <w:rsid w:val="00ED0BC4"/>
    <w:rsid w:val="00ED447D"/>
    <w:rsid w:val="00EE0B41"/>
    <w:rsid w:val="00EE1E8B"/>
    <w:rsid w:val="00EE4971"/>
    <w:rsid w:val="00EE6CB0"/>
    <w:rsid w:val="00EF090E"/>
    <w:rsid w:val="00EF4427"/>
    <w:rsid w:val="00EF5572"/>
    <w:rsid w:val="00F033DA"/>
    <w:rsid w:val="00F10646"/>
    <w:rsid w:val="00F13691"/>
    <w:rsid w:val="00F13FB1"/>
    <w:rsid w:val="00F1487F"/>
    <w:rsid w:val="00F27CD8"/>
    <w:rsid w:val="00F30351"/>
    <w:rsid w:val="00F3323E"/>
    <w:rsid w:val="00F3366C"/>
    <w:rsid w:val="00F341F4"/>
    <w:rsid w:val="00F34F9D"/>
    <w:rsid w:val="00F35CCE"/>
    <w:rsid w:val="00F5524B"/>
    <w:rsid w:val="00F5620F"/>
    <w:rsid w:val="00F60538"/>
    <w:rsid w:val="00F607EE"/>
    <w:rsid w:val="00F61DD2"/>
    <w:rsid w:val="00F66AFF"/>
    <w:rsid w:val="00F71433"/>
    <w:rsid w:val="00F76A65"/>
    <w:rsid w:val="00F80E9B"/>
    <w:rsid w:val="00F8127A"/>
    <w:rsid w:val="00F823E3"/>
    <w:rsid w:val="00F8668C"/>
    <w:rsid w:val="00F907DB"/>
    <w:rsid w:val="00F9362A"/>
    <w:rsid w:val="00F97C5B"/>
    <w:rsid w:val="00FA3D50"/>
    <w:rsid w:val="00FB3E20"/>
    <w:rsid w:val="00FB7FBD"/>
    <w:rsid w:val="00FC26E8"/>
    <w:rsid w:val="00FC374A"/>
    <w:rsid w:val="00FC45AB"/>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2F229"/>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C929BF"/>
    <w:pPr>
      <w:keepNext/>
      <w:outlineLvl w:val="0"/>
    </w:pPr>
    <w:rPr>
      <w:rFonts w:ascii="Arial" w:hAnsi="Arial" w:cs="Arial"/>
      <w:i/>
      <w:color w:val="808080" w:themeColor="background1" w:themeShade="80"/>
      <w:sz w:val="22"/>
      <w:szCs w:val="22"/>
    </w:rPr>
  </w:style>
  <w:style w:type="paragraph" w:styleId="Heading2">
    <w:name w:val="heading 2"/>
    <w:basedOn w:val="Normal"/>
    <w:next w:val="Normal"/>
    <w:link w:val="Heading2Char"/>
    <w:uiPriority w:val="9"/>
    <w:unhideWhenUsed/>
    <w:qFormat/>
    <w:rsid w:val="00E40F28"/>
    <w:pPr>
      <w:keepNext/>
      <w:ind w:left="709" w:hanging="709"/>
      <w:jc w:val="both"/>
      <w:outlineLvl w:val="1"/>
    </w:pPr>
    <w:rPr>
      <w:rFonts w:ascii="Arial" w:hAnsi="Arial" w:cs="Arial"/>
      <w:i/>
      <w:color w:val="808080" w:themeColor="background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99"/>
    <w:unhideWhenUsed/>
    <w:rsid w:val="00051572"/>
    <w:rPr>
      <w:rFonts w:ascii="Arial" w:hAnsi="Arial" w:cs="Arial"/>
      <w:color w:val="808080" w:themeColor="background1" w:themeShade="80"/>
      <w:sz w:val="22"/>
      <w:szCs w:val="22"/>
      <w:lang w:val="en-GB"/>
    </w:rPr>
  </w:style>
  <w:style w:type="character" w:customStyle="1" w:styleId="BodyTextChar">
    <w:name w:val="Body Text Char"/>
    <w:basedOn w:val="DefaultParagraphFont"/>
    <w:link w:val="BodyText"/>
    <w:uiPriority w:val="99"/>
    <w:rsid w:val="00051572"/>
    <w:rPr>
      <w:rFonts w:ascii="Arial" w:eastAsia="Times New Roman" w:hAnsi="Arial" w:cs="Arial"/>
      <w:color w:val="808080" w:themeColor="background1" w:themeShade="80"/>
      <w:sz w:val="22"/>
      <w:szCs w:val="22"/>
      <w:lang w:val="en-GB"/>
    </w:rPr>
  </w:style>
  <w:style w:type="paragraph" w:styleId="BodyTextIndent">
    <w:name w:val="Body Text Indent"/>
    <w:basedOn w:val="Normal"/>
    <w:link w:val="BodyTextIndentChar"/>
    <w:uiPriority w:val="99"/>
    <w:unhideWhenUsed/>
    <w:rsid w:val="0086334C"/>
    <w:pPr>
      <w:ind w:left="1418" w:hanging="1418"/>
    </w:pPr>
    <w:rPr>
      <w:rFonts w:ascii="Arial" w:hAnsi="Arial" w:cs="Arial"/>
      <w:color w:val="808080" w:themeColor="background1" w:themeShade="80"/>
      <w:sz w:val="22"/>
      <w:szCs w:val="22"/>
      <w:lang w:val="en-GB"/>
    </w:rPr>
  </w:style>
  <w:style w:type="character" w:customStyle="1" w:styleId="BodyTextIndentChar">
    <w:name w:val="Body Text Indent Char"/>
    <w:basedOn w:val="DefaultParagraphFont"/>
    <w:link w:val="BodyTextIndent"/>
    <w:uiPriority w:val="99"/>
    <w:rsid w:val="0086334C"/>
    <w:rPr>
      <w:rFonts w:ascii="Arial" w:eastAsia="Times New Roman" w:hAnsi="Arial" w:cs="Arial"/>
      <w:color w:val="808080" w:themeColor="background1" w:themeShade="80"/>
      <w:sz w:val="22"/>
      <w:szCs w:val="22"/>
      <w:lang w:val="en-GB"/>
    </w:rPr>
  </w:style>
  <w:style w:type="paragraph" w:styleId="BodyTextIndent2">
    <w:name w:val="Body Text Indent 2"/>
    <w:basedOn w:val="Normal"/>
    <w:link w:val="BodyTextIndent2Char"/>
    <w:uiPriority w:val="99"/>
    <w:unhideWhenUsed/>
    <w:rsid w:val="004015B9"/>
    <w:pPr>
      <w:ind w:left="1418" w:hanging="1418"/>
      <w:jc w:val="both"/>
    </w:pPr>
    <w:rPr>
      <w:rFonts w:ascii="Arial" w:hAnsi="Arial" w:cs="Arial"/>
      <w:color w:val="808080" w:themeColor="background1" w:themeShade="80"/>
      <w:sz w:val="22"/>
      <w:szCs w:val="22"/>
    </w:rPr>
  </w:style>
  <w:style w:type="character" w:customStyle="1" w:styleId="BodyTextIndent2Char">
    <w:name w:val="Body Text Indent 2 Char"/>
    <w:basedOn w:val="DefaultParagraphFont"/>
    <w:link w:val="BodyTextIndent2"/>
    <w:uiPriority w:val="99"/>
    <w:rsid w:val="004015B9"/>
    <w:rPr>
      <w:rFonts w:ascii="Arial" w:eastAsia="Times New Roman" w:hAnsi="Arial" w:cs="Arial"/>
      <w:color w:val="808080" w:themeColor="background1" w:themeShade="80"/>
      <w:sz w:val="22"/>
      <w:szCs w:val="22"/>
    </w:rPr>
  </w:style>
  <w:style w:type="character" w:customStyle="1" w:styleId="Heading1Char">
    <w:name w:val="Heading 1 Char"/>
    <w:basedOn w:val="DefaultParagraphFont"/>
    <w:link w:val="Heading1"/>
    <w:uiPriority w:val="9"/>
    <w:rsid w:val="00C929BF"/>
    <w:rPr>
      <w:rFonts w:ascii="Arial" w:eastAsia="Times New Roman" w:hAnsi="Arial" w:cs="Arial"/>
      <w:i/>
      <w:color w:val="808080" w:themeColor="background1" w:themeShade="80"/>
      <w:sz w:val="22"/>
      <w:szCs w:val="22"/>
    </w:rPr>
  </w:style>
  <w:style w:type="character" w:customStyle="1" w:styleId="Heading2Char">
    <w:name w:val="Heading 2 Char"/>
    <w:basedOn w:val="DefaultParagraphFont"/>
    <w:link w:val="Heading2"/>
    <w:uiPriority w:val="9"/>
    <w:rsid w:val="00E40F28"/>
    <w:rPr>
      <w:rFonts w:ascii="Arial" w:eastAsia="Times New Roman" w:hAnsi="Arial" w:cs="Arial"/>
      <w:i/>
      <w:color w:val="808080" w:themeColor="background1" w:themeShade="80"/>
      <w:sz w:val="22"/>
      <w:szCs w:val="22"/>
    </w:rPr>
  </w:style>
  <w:style w:type="paragraph" w:styleId="BodyTextIndent3">
    <w:name w:val="Body Text Indent 3"/>
    <w:basedOn w:val="Normal"/>
    <w:link w:val="BodyTextIndent3Char"/>
    <w:uiPriority w:val="99"/>
    <w:unhideWhenUsed/>
    <w:rsid w:val="007A0057"/>
    <w:pPr>
      <w:ind w:left="709" w:hanging="709"/>
      <w:jc w:val="both"/>
    </w:pPr>
    <w:rPr>
      <w:rFonts w:ascii="Arial" w:hAnsi="Arial" w:cs="Arial"/>
      <w:color w:val="808080" w:themeColor="background1" w:themeShade="80"/>
      <w:sz w:val="22"/>
      <w:szCs w:val="22"/>
    </w:rPr>
  </w:style>
  <w:style w:type="character" w:customStyle="1" w:styleId="BodyTextIndent3Char">
    <w:name w:val="Body Text Indent 3 Char"/>
    <w:basedOn w:val="DefaultParagraphFont"/>
    <w:link w:val="BodyTextIndent3"/>
    <w:uiPriority w:val="99"/>
    <w:rsid w:val="007A0057"/>
    <w:rPr>
      <w:rFonts w:ascii="Arial" w:eastAsia="Times New Roman" w:hAnsi="Arial" w:cs="Arial"/>
      <w:color w:val="808080" w:themeColor="background1" w:themeShade="80"/>
      <w:sz w:val="22"/>
      <w:szCs w:val="22"/>
    </w:rPr>
  </w:style>
  <w:style w:type="paragraph" w:styleId="BodyText2">
    <w:name w:val="Body Text 2"/>
    <w:basedOn w:val="Normal"/>
    <w:link w:val="BodyText2Char"/>
    <w:uiPriority w:val="99"/>
    <w:unhideWhenUsed/>
    <w:rsid w:val="00224247"/>
    <w:pPr>
      <w:jc w:val="both"/>
    </w:pPr>
    <w:rPr>
      <w:rFonts w:ascii="Arial" w:hAnsi="Arial" w:cs="Arial"/>
      <w:color w:val="808080" w:themeColor="background1" w:themeShade="80"/>
      <w:sz w:val="22"/>
      <w:szCs w:val="22"/>
      <w:lang w:val="en-GB"/>
    </w:rPr>
  </w:style>
  <w:style w:type="character" w:customStyle="1" w:styleId="BodyText2Char">
    <w:name w:val="Body Text 2 Char"/>
    <w:basedOn w:val="DefaultParagraphFont"/>
    <w:link w:val="BodyText2"/>
    <w:uiPriority w:val="99"/>
    <w:rsid w:val="00224247"/>
    <w:rPr>
      <w:rFonts w:ascii="Arial" w:eastAsia="Times New Roman" w:hAnsi="Arial" w:cs="Arial"/>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4EE1-5C38-469E-9C0E-49682098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6662</Words>
  <Characters>32982</Characters>
  <Application>Microsoft Office Word</Application>
  <DocSecurity>0</DocSecurity>
  <Lines>845</Lines>
  <Paragraphs>283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2021-07-11T11:22:00Z</cp:lastPrinted>
  <dcterms:created xsi:type="dcterms:W3CDTF">2021-09-06T17:04:00Z</dcterms:created>
  <dcterms:modified xsi:type="dcterms:W3CDTF">2021-09-06T17:04:00Z</dcterms:modified>
</cp:coreProperties>
</file>