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EC31A4" w:rsidRDefault="00846C93" w:rsidP="00864D42">
      <w:pPr>
        <w:pStyle w:val="ListParagraph"/>
        <w:numPr>
          <w:ilvl w:val="0"/>
          <w:numId w:val="33"/>
        </w:numPr>
        <w:ind w:left="426"/>
        <w:jc w:val="both"/>
        <w:rPr>
          <w:rFonts w:ascii="Arial" w:hAnsi="Arial" w:cs="Arial"/>
          <w:sz w:val="22"/>
          <w:szCs w:val="22"/>
          <w:highlight w:val="yellow"/>
          <w:lang w:val="en-GB"/>
        </w:rPr>
      </w:pPr>
      <w:r w:rsidRPr="00EC31A4">
        <w:rPr>
          <w:rFonts w:ascii="Arial" w:hAnsi="Arial" w:cs="Arial"/>
          <w:sz w:val="22"/>
          <w:szCs w:val="22"/>
          <w:highlight w:val="yellow"/>
          <w:lang w:val="en-GB"/>
        </w:rPr>
        <w:t>a</w:t>
      </w:r>
      <w:r w:rsidR="0002240F" w:rsidRPr="00EC31A4">
        <w:rPr>
          <w:rFonts w:ascii="Arial" w:hAnsi="Arial" w:cs="Arial"/>
          <w:sz w:val="22"/>
          <w:szCs w:val="22"/>
          <w:highlight w:val="yellow"/>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BE471B" w:rsidRDefault="0002240F" w:rsidP="00864D42">
      <w:pPr>
        <w:pStyle w:val="ListParagraph"/>
        <w:numPr>
          <w:ilvl w:val="0"/>
          <w:numId w:val="34"/>
        </w:numPr>
        <w:ind w:left="426"/>
        <w:rPr>
          <w:rFonts w:ascii="Arial" w:hAnsi="Arial" w:cs="Arial"/>
          <w:sz w:val="22"/>
          <w:szCs w:val="22"/>
          <w:highlight w:val="yellow"/>
          <w:lang w:val="en-GB"/>
        </w:rPr>
      </w:pPr>
      <w:r w:rsidRPr="00BE471B">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864D42">
      <w:pPr>
        <w:pStyle w:val="ListParagraph"/>
        <w:numPr>
          <w:ilvl w:val="0"/>
          <w:numId w:val="34"/>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oluntary administration:</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DF63CF" w:rsidRDefault="0002240F" w:rsidP="00864D42">
      <w:pPr>
        <w:pStyle w:val="ListParagraph"/>
        <w:numPr>
          <w:ilvl w:val="0"/>
          <w:numId w:val="35"/>
        </w:numPr>
        <w:ind w:left="426"/>
        <w:jc w:val="both"/>
        <w:rPr>
          <w:rFonts w:ascii="Arial" w:hAnsi="Arial" w:cs="Arial"/>
          <w:sz w:val="22"/>
          <w:szCs w:val="22"/>
          <w:highlight w:val="yellow"/>
          <w:lang w:val="en-GB"/>
        </w:rPr>
      </w:pPr>
      <w:r w:rsidRPr="00DF63CF">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864D42">
      <w:pPr>
        <w:pStyle w:val="ListParagraph"/>
        <w:numPr>
          <w:ilvl w:val="0"/>
          <w:numId w:val="36"/>
        </w:numPr>
        <w:ind w:left="426"/>
        <w:jc w:val="both"/>
        <w:rPr>
          <w:rFonts w:ascii="Arial" w:hAnsi="Arial" w:cs="Arial"/>
          <w:sz w:val="22"/>
          <w:szCs w:val="22"/>
          <w:lang w:val="en-GB"/>
        </w:rPr>
      </w:pPr>
      <w:r w:rsidRPr="008B55AE">
        <w:rPr>
          <w:rFonts w:ascii="Arial" w:hAnsi="Arial" w:cs="Arial"/>
          <w:sz w:val="22"/>
          <w:szCs w:val="22"/>
          <w:highlight w:val="yellow"/>
          <w:lang w:val="en-GB"/>
        </w:rPr>
        <w:t>is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 xml:space="preserve">There are </w:t>
      </w:r>
      <w:r w:rsidRPr="00D16411">
        <w:rPr>
          <w:rFonts w:ascii="Arial" w:hAnsi="Arial" w:cs="Arial"/>
          <w:sz w:val="22"/>
          <w:szCs w:val="22"/>
          <w:lang w:val="en-GB"/>
        </w:rPr>
        <w:t>insufficient amounts to meet all creditor claims.</w:t>
      </w:r>
      <w:r w:rsidR="00CF4516" w:rsidRPr="00D16411">
        <w:rPr>
          <w:rFonts w:ascii="Arial" w:hAnsi="Arial" w:cs="Arial"/>
          <w:sz w:val="22"/>
          <w:szCs w:val="22"/>
          <w:lang w:val="en-GB"/>
        </w:rPr>
        <w:t xml:space="preserve"> </w:t>
      </w:r>
      <w:r w:rsidRPr="00D16411">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51457B" w:rsidRDefault="0002240F" w:rsidP="00DF7FB9">
      <w:pPr>
        <w:pStyle w:val="ListParagraph"/>
        <w:numPr>
          <w:ilvl w:val="0"/>
          <w:numId w:val="37"/>
        </w:numPr>
        <w:ind w:left="426"/>
        <w:jc w:val="both"/>
        <w:rPr>
          <w:rFonts w:ascii="Arial" w:hAnsi="Arial" w:cs="Arial"/>
          <w:sz w:val="22"/>
          <w:szCs w:val="22"/>
          <w:highlight w:val="yellow"/>
          <w:lang w:val="en-GB"/>
        </w:rPr>
      </w:pPr>
      <w:r w:rsidRPr="0051457B">
        <w:rPr>
          <w:rFonts w:ascii="Arial" w:hAnsi="Arial" w:cs="Arial"/>
          <w:sz w:val="22"/>
          <w:szCs w:val="22"/>
          <w:highlight w:val="yellow"/>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Default="0002240F" w:rsidP="00DF7FB9">
      <w:pPr>
        <w:pStyle w:val="ListParagraph"/>
        <w:numPr>
          <w:ilvl w:val="0"/>
          <w:numId w:val="38"/>
        </w:numPr>
        <w:ind w:left="426"/>
        <w:jc w:val="both"/>
        <w:rPr>
          <w:rFonts w:ascii="Arial" w:hAnsi="Arial" w:cs="Arial"/>
          <w:sz w:val="22"/>
          <w:szCs w:val="22"/>
          <w:lang w:val="en-GB"/>
        </w:rPr>
      </w:pPr>
      <w:r w:rsidRPr="00780BB5">
        <w:rPr>
          <w:rFonts w:ascii="Arial" w:hAnsi="Arial" w:cs="Arial"/>
          <w:sz w:val="22"/>
          <w:szCs w:val="22"/>
          <w:highlight w:val="yellow"/>
          <w:lang w:val="en-GB"/>
        </w:rPr>
        <w:t>perfect</w:t>
      </w:r>
      <w:r w:rsidR="0079290D" w:rsidRPr="00780BB5">
        <w:rPr>
          <w:rFonts w:ascii="Arial" w:hAnsi="Arial" w:cs="Arial"/>
          <w:sz w:val="22"/>
          <w:szCs w:val="22"/>
          <w:highlight w:val="yellow"/>
          <w:lang w:val="en-GB"/>
        </w:rPr>
        <w:t>s</w:t>
      </w:r>
      <w:r w:rsidRPr="00780BB5">
        <w:rPr>
          <w:rFonts w:ascii="Arial" w:hAnsi="Arial" w:cs="Arial"/>
          <w:sz w:val="22"/>
          <w:szCs w:val="22"/>
          <w:highlight w:val="yellow"/>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79290D" w:rsidRDefault="0002240F" w:rsidP="00C94C09">
      <w:pPr>
        <w:pStyle w:val="ListParagraph"/>
        <w:numPr>
          <w:ilvl w:val="0"/>
          <w:numId w:val="38"/>
        </w:numPr>
        <w:ind w:left="426"/>
        <w:jc w:val="both"/>
        <w:rPr>
          <w:rFonts w:ascii="Arial" w:hAnsi="Arial" w:cs="Arial"/>
          <w:sz w:val="22"/>
          <w:szCs w:val="22"/>
        </w:rPr>
      </w:pPr>
      <w:r w:rsidRPr="0079290D">
        <w:rPr>
          <w:rFonts w:ascii="Arial" w:hAnsi="Arial" w:cs="Arial"/>
          <w:sz w:val="22"/>
          <w:szCs w:val="22"/>
          <w:lang w:val="en-GB"/>
        </w:rPr>
        <w:t>determine</w:t>
      </w:r>
      <w:r w:rsidR="0079290D">
        <w:rPr>
          <w:rFonts w:ascii="Arial" w:hAnsi="Arial" w:cs="Arial"/>
          <w:sz w:val="22"/>
          <w:szCs w:val="22"/>
          <w:lang w:val="en-GB"/>
        </w:rPr>
        <w:t>s</w:t>
      </w:r>
      <w:r w:rsidRPr="0079290D">
        <w:rPr>
          <w:rFonts w:ascii="Arial" w:hAnsi="Arial" w:cs="Arial"/>
          <w:sz w:val="22"/>
          <w:szCs w:val="22"/>
          <w:lang w:val="en-GB"/>
        </w:rPr>
        <w:t xml:space="preserve"> the order of priority between competing security interests</w:t>
      </w:r>
      <w:r w:rsidR="0079290D">
        <w:rPr>
          <w:rFonts w:ascii="Arial" w:hAnsi="Arial" w:cs="Arial"/>
          <w:sz w:val="22"/>
          <w:szCs w:val="22"/>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Pr="006A746A" w:rsidRDefault="00C94C09" w:rsidP="00DF7FB9">
      <w:pPr>
        <w:pStyle w:val="ListParagraph"/>
        <w:numPr>
          <w:ilvl w:val="0"/>
          <w:numId w:val="39"/>
        </w:numPr>
        <w:ind w:left="426"/>
        <w:rPr>
          <w:rFonts w:ascii="Arial" w:hAnsi="Arial" w:cs="Arial"/>
          <w:sz w:val="22"/>
          <w:szCs w:val="22"/>
          <w:highlight w:val="yellow"/>
          <w:lang w:val="en-GB"/>
        </w:rPr>
      </w:pPr>
      <w:r w:rsidRPr="006A746A">
        <w:rPr>
          <w:rFonts w:ascii="Arial" w:hAnsi="Arial" w:cs="Arial"/>
          <w:sz w:val="22"/>
          <w:szCs w:val="22"/>
          <w:highlight w:val="yellow"/>
          <w:lang w:val="en-GB"/>
        </w:rPr>
        <w:t>c</w:t>
      </w:r>
      <w:r w:rsidR="0002240F" w:rsidRPr="006A746A">
        <w:rPr>
          <w:rFonts w:ascii="Arial" w:hAnsi="Arial" w:cs="Arial"/>
          <w:sz w:val="22"/>
          <w:szCs w:val="22"/>
          <w:highlight w:val="yellow"/>
          <w:lang w:val="en-GB"/>
        </w:rPr>
        <w:t>an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F06F14">
        <w:rPr>
          <w:rFonts w:ascii="Arial" w:hAnsi="Arial" w:cs="Arial"/>
          <w:sz w:val="22"/>
          <w:szCs w:val="22"/>
          <w:lang w:val="en-GB"/>
        </w:rPr>
        <w:t>ct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6A746A" w:rsidRDefault="00C94C09" w:rsidP="00DF7FB9">
      <w:pPr>
        <w:pStyle w:val="ListParagraph"/>
        <w:numPr>
          <w:ilvl w:val="0"/>
          <w:numId w:val="39"/>
        </w:numPr>
        <w:ind w:left="426"/>
        <w:rPr>
          <w:rFonts w:ascii="Arial" w:hAnsi="Arial" w:cs="Arial"/>
          <w:sz w:val="22"/>
          <w:szCs w:val="22"/>
          <w:lang w:val="en-GB"/>
        </w:rPr>
      </w:pPr>
      <w:r w:rsidRPr="006A746A">
        <w:rPr>
          <w:rFonts w:ascii="Arial" w:hAnsi="Arial" w:cs="Arial"/>
          <w:sz w:val="22"/>
          <w:szCs w:val="22"/>
          <w:lang w:val="en-GB"/>
        </w:rPr>
        <w:t>p</w:t>
      </w:r>
      <w:r w:rsidR="0002240F" w:rsidRPr="006A746A">
        <w:rPr>
          <w:rFonts w:ascii="Arial" w:hAnsi="Arial" w:cs="Arial"/>
          <w:sz w:val="22"/>
          <w:szCs w:val="22"/>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Pr="006A746A" w:rsidRDefault="0002240F" w:rsidP="00DF7FB9">
      <w:pPr>
        <w:pStyle w:val="ListParagraph"/>
        <w:numPr>
          <w:ilvl w:val="0"/>
          <w:numId w:val="40"/>
        </w:numPr>
        <w:ind w:left="426"/>
        <w:rPr>
          <w:rFonts w:ascii="Arial" w:hAnsi="Arial" w:cs="Arial"/>
          <w:sz w:val="22"/>
          <w:szCs w:val="22"/>
          <w:highlight w:val="yellow"/>
          <w:lang w:val="en-GB"/>
        </w:rPr>
      </w:pPr>
      <w:r w:rsidRPr="006A746A">
        <w:rPr>
          <w:rFonts w:ascii="Arial" w:hAnsi="Arial" w:cs="Arial"/>
          <w:sz w:val="22"/>
          <w:szCs w:val="22"/>
          <w:highlight w:val="yellow"/>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DF7FB9">
      <w:pPr>
        <w:pStyle w:val="ListParagraph"/>
        <w:numPr>
          <w:ilvl w:val="0"/>
          <w:numId w:val="41"/>
        </w:numPr>
        <w:ind w:left="426"/>
        <w:jc w:val="both"/>
        <w:rPr>
          <w:rFonts w:ascii="Arial" w:hAnsi="Arial" w:cs="Arial"/>
          <w:sz w:val="22"/>
          <w:szCs w:val="22"/>
          <w:lang w:val="en-GB"/>
        </w:rPr>
      </w:pPr>
      <w:r w:rsidRPr="00D16A6F">
        <w:rPr>
          <w:rFonts w:ascii="Arial" w:hAnsi="Arial" w:cs="Arial"/>
          <w:sz w:val="22"/>
          <w:szCs w:val="22"/>
          <w:highlight w:val="yellow"/>
          <w:lang w:val="en-GB"/>
        </w:rPr>
        <w:t>h</w:t>
      </w:r>
      <w:r w:rsidR="0002240F" w:rsidRPr="00D16A6F">
        <w:rPr>
          <w:rFonts w:ascii="Arial" w:hAnsi="Arial" w:cs="Arial"/>
          <w:sz w:val="22"/>
          <w:szCs w:val="22"/>
          <w:highlight w:val="yellow"/>
          <w:lang w:val="en-GB"/>
        </w:rPr>
        <w:t>ave 10 working days within which they must elect to enforce their rights under the voluntary administration regime</w:t>
      </w:r>
      <w:r w:rsidR="0002240F" w:rsidRPr="00DF7FB9">
        <w:rPr>
          <w:rFonts w:ascii="Arial" w:hAnsi="Arial" w:cs="Arial"/>
          <w:sz w:val="22"/>
          <w:szCs w:val="22"/>
          <w:lang w:val="en-GB"/>
        </w:rPr>
        <w:t>.</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173E77" w:rsidRDefault="0002240F" w:rsidP="00DF7FB9">
      <w:pPr>
        <w:pStyle w:val="ListParagraph"/>
        <w:numPr>
          <w:ilvl w:val="0"/>
          <w:numId w:val="42"/>
        </w:numPr>
        <w:ind w:left="426"/>
        <w:rPr>
          <w:rFonts w:ascii="Arial" w:hAnsi="Arial" w:cs="Arial"/>
          <w:sz w:val="22"/>
          <w:szCs w:val="22"/>
          <w:highlight w:val="yellow"/>
        </w:rPr>
      </w:pPr>
      <w:r w:rsidRPr="00173E77">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4555248E" w14:textId="51505F65" w:rsidR="00593141" w:rsidRDefault="00593141"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has powers to void certain transactions under the Companies Act.</w:t>
      </w:r>
    </w:p>
    <w:p w14:paraId="2DBCB4F2" w14:textId="77777777" w:rsidR="00593141" w:rsidRDefault="00593141" w:rsidP="00864D42">
      <w:pPr>
        <w:jc w:val="both"/>
        <w:rPr>
          <w:rFonts w:ascii="Arial" w:hAnsi="Arial" w:cs="Arial"/>
          <w:color w:val="7B7B7B" w:themeColor="accent3" w:themeShade="BF"/>
          <w:sz w:val="22"/>
          <w:szCs w:val="22"/>
          <w:lang w:val="en-GB"/>
        </w:rPr>
      </w:pPr>
    </w:p>
    <w:p w14:paraId="534F590A" w14:textId="7E057EFA" w:rsidR="00A20CED" w:rsidRDefault="00FC4B6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can void a transfer for undervalue</w:t>
      </w:r>
      <w:r w:rsidR="00430213">
        <w:rPr>
          <w:rFonts w:ascii="Arial" w:hAnsi="Arial" w:cs="Arial"/>
          <w:color w:val="7B7B7B" w:themeColor="accent3" w:themeShade="BF"/>
          <w:sz w:val="22"/>
          <w:szCs w:val="22"/>
          <w:lang w:val="en-GB"/>
        </w:rPr>
        <w:t xml:space="preserve"> that occurred within 2 years of the liquidation</w:t>
      </w:r>
      <w:r w:rsidR="00D85E00">
        <w:rPr>
          <w:rFonts w:ascii="Arial" w:hAnsi="Arial" w:cs="Arial"/>
          <w:color w:val="7B7B7B" w:themeColor="accent3" w:themeShade="BF"/>
          <w:sz w:val="22"/>
          <w:szCs w:val="22"/>
          <w:lang w:val="en-GB"/>
        </w:rPr>
        <w:t xml:space="preserve"> when the company was insolvent or if the transaction rendered the company insolvent</w:t>
      </w:r>
      <w:r w:rsidR="00430213">
        <w:rPr>
          <w:rFonts w:ascii="Arial" w:hAnsi="Arial" w:cs="Arial"/>
          <w:color w:val="7B7B7B" w:themeColor="accent3" w:themeShade="BF"/>
          <w:sz w:val="22"/>
          <w:szCs w:val="22"/>
          <w:lang w:val="en-GB"/>
        </w:rPr>
        <w:t xml:space="preserve">. </w:t>
      </w:r>
    </w:p>
    <w:p w14:paraId="7D9A9B3D" w14:textId="2F427456" w:rsidR="00FC4B6E" w:rsidRDefault="00FC4B6E" w:rsidP="00864D42">
      <w:pPr>
        <w:jc w:val="both"/>
        <w:rPr>
          <w:rFonts w:ascii="Arial" w:hAnsi="Arial" w:cs="Arial"/>
          <w:color w:val="7B7B7B" w:themeColor="accent3" w:themeShade="BF"/>
          <w:sz w:val="22"/>
          <w:szCs w:val="22"/>
          <w:lang w:val="en-GB"/>
        </w:rPr>
      </w:pPr>
    </w:p>
    <w:p w14:paraId="2375E6C7" w14:textId="0371B6DA" w:rsidR="00FC4B6E" w:rsidRDefault="00593141"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can void a transaction to a related party</w:t>
      </w:r>
      <w:r w:rsidR="00574E7A">
        <w:rPr>
          <w:rFonts w:ascii="Arial" w:hAnsi="Arial" w:cs="Arial"/>
          <w:color w:val="7B7B7B" w:themeColor="accent3" w:themeShade="BF"/>
          <w:sz w:val="22"/>
          <w:szCs w:val="22"/>
          <w:lang w:val="en-GB"/>
        </w:rPr>
        <w:t xml:space="preserve"> that </w:t>
      </w:r>
      <w:r w:rsidR="00AD500F">
        <w:rPr>
          <w:rFonts w:ascii="Arial" w:hAnsi="Arial" w:cs="Arial"/>
          <w:color w:val="7B7B7B" w:themeColor="accent3" w:themeShade="BF"/>
          <w:sz w:val="22"/>
          <w:szCs w:val="22"/>
          <w:lang w:val="en-GB"/>
        </w:rPr>
        <w:t xml:space="preserve">occurred within 3 years of liquidation. The transaction must have been for either </w:t>
      </w:r>
      <w:r w:rsidR="00D85E00">
        <w:rPr>
          <w:rFonts w:ascii="Arial" w:hAnsi="Arial" w:cs="Arial"/>
          <w:color w:val="7B7B7B" w:themeColor="accent3" w:themeShade="BF"/>
          <w:sz w:val="22"/>
          <w:szCs w:val="22"/>
          <w:lang w:val="en-GB"/>
        </w:rPr>
        <w:t>excessive or inadequate value</w:t>
      </w:r>
      <w:r w:rsidR="00AD500F">
        <w:rPr>
          <w:rFonts w:ascii="Arial" w:hAnsi="Arial" w:cs="Arial"/>
          <w:color w:val="7B7B7B" w:themeColor="accent3" w:themeShade="BF"/>
          <w:sz w:val="22"/>
          <w:szCs w:val="22"/>
          <w:lang w:val="en-GB"/>
        </w:rPr>
        <w:t xml:space="preserve">. The transaction did not have to occur at a time </w:t>
      </w:r>
      <w:r w:rsidR="00D85E00">
        <w:rPr>
          <w:rFonts w:ascii="Arial" w:hAnsi="Arial" w:cs="Arial"/>
          <w:color w:val="7B7B7B" w:themeColor="accent3" w:themeShade="BF"/>
          <w:sz w:val="22"/>
          <w:szCs w:val="22"/>
          <w:lang w:val="en-GB"/>
        </w:rPr>
        <w:t>when</w:t>
      </w:r>
      <w:r w:rsidR="00AD500F">
        <w:rPr>
          <w:rFonts w:ascii="Arial" w:hAnsi="Arial" w:cs="Arial"/>
          <w:color w:val="7B7B7B" w:themeColor="accent3" w:themeShade="BF"/>
          <w:sz w:val="22"/>
          <w:szCs w:val="22"/>
          <w:lang w:val="en-GB"/>
        </w:rPr>
        <w:t xml:space="preserve"> the company was insolvent. </w:t>
      </w:r>
    </w:p>
    <w:p w14:paraId="13E1BF1B" w14:textId="566D2E59" w:rsidR="00593141" w:rsidRDefault="00593141" w:rsidP="00864D42">
      <w:pPr>
        <w:jc w:val="both"/>
        <w:rPr>
          <w:rFonts w:ascii="Arial" w:hAnsi="Arial" w:cs="Arial"/>
          <w:color w:val="7B7B7B" w:themeColor="accent3" w:themeShade="BF"/>
          <w:sz w:val="22"/>
          <w:szCs w:val="22"/>
          <w:lang w:val="en-GB"/>
        </w:rPr>
      </w:pPr>
    </w:p>
    <w:p w14:paraId="3597E75F" w14:textId="05627EEF" w:rsidR="00593141" w:rsidRDefault="00593141"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can void insolvent transactions</w:t>
      </w:r>
      <w:r w:rsidR="0096734E">
        <w:rPr>
          <w:rFonts w:ascii="Arial" w:hAnsi="Arial" w:cs="Arial"/>
          <w:color w:val="7B7B7B" w:themeColor="accent3" w:themeShade="BF"/>
          <w:sz w:val="22"/>
          <w:szCs w:val="22"/>
          <w:lang w:val="en-GB"/>
        </w:rPr>
        <w:t xml:space="preserve"> which </w:t>
      </w:r>
      <w:r w:rsidR="006670EF">
        <w:rPr>
          <w:rFonts w:ascii="Arial" w:hAnsi="Arial" w:cs="Arial"/>
          <w:color w:val="7B7B7B" w:themeColor="accent3" w:themeShade="BF"/>
          <w:sz w:val="22"/>
          <w:szCs w:val="22"/>
          <w:lang w:val="en-GB"/>
        </w:rPr>
        <w:t xml:space="preserve">occurred at a time when the company was insolvent and caused the recipient of the transaction to obtain a benefit beyond what they would have received in a liquidation. Following the Covid 19 Act, </w:t>
      </w:r>
      <w:r w:rsidR="00574E7A">
        <w:rPr>
          <w:rFonts w:ascii="Arial" w:hAnsi="Arial" w:cs="Arial"/>
          <w:color w:val="7B7B7B" w:themeColor="accent3" w:themeShade="BF"/>
          <w:sz w:val="22"/>
          <w:szCs w:val="22"/>
          <w:lang w:val="en-GB"/>
        </w:rPr>
        <w:t xml:space="preserve">the review period for such transactions is within 6 months of liquidation, unless the transaction was to a related party, in which case the review period is within 2 years of liquidation. </w:t>
      </w:r>
    </w:p>
    <w:p w14:paraId="4789F7BC" w14:textId="77777777" w:rsidR="00FC4B6E" w:rsidRDefault="00FC4B6E"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315D16E0" w14:textId="0CAA0C32" w:rsidR="00864D42" w:rsidRDefault="00DB5585"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receiver can be privately appointed by a secured creditor</w:t>
      </w:r>
      <w:r w:rsidR="00C04A11">
        <w:rPr>
          <w:rFonts w:ascii="Arial" w:hAnsi="Arial" w:cs="Arial"/>
          <w:color w:val="7B7B7B" w:themeColor="accent3" w:themeShade="BF"/>
          <w:sz w:val="22"/>
          <w:szCs w:val="22"/>
        </w:rPr>
        <w:t xml:space="preserve"> subject to the security agreement in place</w:t>
      </w:r>
      <w:r>
        <w:rPr>
          <w:rFonts w:ascii="Arial" w:hAnsi="Arial" w:cs="Arial"/>
          <w:color w:val="7B7B7B" w:themeColor="accent3" w:themeShade="BF"/>
          <w:sz w:val="22"/>
          <w:szCs w:val="22"/>
        </w:rPr>
        <w:t xml:space="preserve">. </w:t>
      </w:r>
      <w:r w:rsidR="007A1CB6">
        <w:rPr>
          <w:rFonts w:ascii="Arial" w:hAnsi="Arial" w:cs="Arial"/>
          <w:color w:val="7B7B7B" w:themeColor="accent3" w:themeShade="BF"/>
          <w:sz w:val="22"/>
          <w:szCs w:val="22"/>
        </w:rPr>
        <w:t>That is, the security agreement must allow the secured creditor to appoint a receiver in the present circumstances of the company</w:t>
      </w:r>
      <w:r w:rsidR="00B0361C">
        <w:rPr>
          <w:rFonts w:ascii="Arial" w:hAnsi="Arial" w:cs="Arial"/>
          <w:color w:val="7B7B7B" w:themeColor="accent3" w:themeShade="BF"/>
          <w:sz w:val="22"/>
          <w:szCs w:val="22"/>
        </w:rPr>
        <w:t xml:space="preserve"> for a private appointment to occur. </w:t>
      </w:r>
      <w:r>
        <w:rPr>
          <w:rFonts w:ascii="Arial" w:hAnsi="Arial" w:cs="Arial"/>
          <w:color w:val="7B7B7B" w:themeColor="accent3" w:themeShade="BF"/>
          <w:sz w:val="22"/>
          <w:szCs w:val="22"/>
        </w:rPr>
        <w:t>In this case, the receiver acts on the interests of the secured creditor</w:t>
      </w:r>
      <w:r w:rsidR="00C04A11">
        <w:rPr>
          <w:rFonts w:ascii="Arial" w:hAnsi="Arial" w:cs="Arial"/>
          <w:color w:val="7B7B7B" w:themeColor="accent3" w:themeShade="BF"/>
          <w:sz w:val="22"/>
          <w:szCs w:val="22"/>
        </w:rPr>
        <w:t xml:space="preserve">, but must also be aware of </w:t>
      </w:r>
      <w:r w:rsidR="00C54FEF">
        <w:rPr>
          <w:rFonts w:ascii="Arial" w:hAnsi="Arial" w:cs="Arial"/>
          <w:color w:val="7B7B7B" w:themeColor="accent3" w:themeShade="BF"/>
          <w:sz w:val="22"/>
          <w:szCs w:val="22"/>
        </w:rPr>
        <w:t>the interests of other parties</w:t>
      </w:r>
      <w:r>
        <w:rPr>
          <w:rFonts w:ascii="Arial" w:hAnsi="Arial" w:cs="Arial"/>
          <w:color w:val="7B7B7B" w:themeColor="accent3" w:themeShade="BF"/>
          <w:sz w:val="22"/>
          <w:szCs w:val="22"/>
        </w:rPr>
        <w:t xml:space="preserve">. </w:t>
      </w:r>
    </w:p>
    <w:p w14:paraId="31FE55F6" w14:textId="05349DAE" w:rsidR="00C35405" w:rsidRDefault="00C35405" w:rsidP="00864D42">
      <w:pPr>
        <w:ind w:left="720" w:hanging="720"/>
        <w:jc w:val="both"/>
        <w:rPr>
          <w:rFonts w:ascii="Arial" w:hAnsi="Arial" w:cs="Arial"/>
          <w:color w:val="7B7B7B" w:themeColor="accent3" w:themeShade="BF"/>
          <w:sz w:val="22"/>
          <w:szCs w:val="22"/>
        </w:rPr>
      </w:pPr>
    </w:p>
    <w:p w14:paraId="4E91D17C" w14:textId="64A68DB8" w:rsidR="00C35405" w:rsidRDefault="00C35405"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court-appointed rec</w:t>
      </w:r>
      <w:r w:rsidR="00C04A11">
        <w:rPr>
          <w:rFonts w:ascii="Arial" w:hAnsi="Arial" w:cs="Arial"/>
          <w:color w:val="7B7B7B" w:themeColor="accent3" w:themeShade="BF"/>
          <w:sz w:val="22"/>
          <w:szCs w:val="22"/>
        </w:rPr>
        <w:t xml:space="preserve">eiver is supervised by the court and must follow its directions. The receiver acts in the general interest of all stakeholders and is not beholden to the company or any creditor in particular. </w:t>
      </w:r>
    </w:p>
    <w:p w14:paraId="6497ACB9" w14:textId="29CA3017" w:rsidR="00C54FEF" w:rsidRDefault="00C54FEF" w:rsidP="00864D42">
      <w:pPr>
        <w:ind w:left="720" w:hanging="720"/>
        <w:jc w:val="both"/>
        <w:rPr>
          <w:rFonts w:ascii="Arial" w:hAnsi="Arial" w:cs="Arial"/>
          <w:color w:val="7B7B7B" w:themeColor="accent3" w:themeShade="BF"/>
          <w:sz w:val="22"/>
          <w:szCs w:val="22"/>
        </w:rPr>
      </w:pPr>
    </w:p>
    <w:p w14:paraId="4CA3B800" w14:textId="2FECB733" w:rsidR="00C54FEF" w:rsidRDefault="00C54FEF" w:rsidP="00864D42">
      <w:pPr>
        <w:ind w:left="720" w:hanging="720"/>
        <w:jc w:val="both"/>
        <w:rPr>
          <w:rFonts w:ascii="Arial" w:hAnsi="Arial" w:cs="Arial"/>
          <w:sz w:val="22"/>
          <w:szCs w:val="22"/>
          <w:lang w:val="en-GB"/>
        </w:rPr>
      </w:pPr>
      <w:r>
        <w:rPr>
          <w:rFonts w:ascii="Arial" w:hAnsi="Arial" w:cs="Arial"/>
          <w:color w:val="7B7B7B" w:themeColor="accent3" w:themeShade="BF"/>
          <w:sz w:val="22"/>
          <w:szCs w:val="22"/>
        </w:rPr>
        <w:t xml:space="preserve">Receiverships are governed by the Receiverships Act. </w:t>
      </w: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5C130CD7" w14:textId="3A7DD5AF" w:rsidR="00864D42" w:rsidRPr="002A37BB" w:rsidRDefault="001C63F4" w:rsidP="00864D42">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Judgements obtained outside </w:t>
      </w:r>
      <w:r w:rsidR="00F81709">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New Zealand can be enforced in New Zealand under the Reciprocal Enforcement Judgements Act 1934, </w:t>
      </w:r>
      <w:r w:rsidR="007350E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Enforcement of Commonwealth Judgements Under Senior Courts Act 2016, </w:t>
      </w:r>
      <w:r w:rsidR="007350E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Trans-Tasman Proceedings Act 2010, or common law, depending on the jurisdiction of the foreign </w:t>
      </w:r>
      <w:r w:rsidRPr="006A4CB4">
        <w:rPr>
          <w:rFonts w:ascii="Arial" w:hAnsi="Arial" w:cs="Arial"/>
          <w:sz w:val="22"/>
          <w:szCs w:val="22"/>
          <w:lang w:val="en-GB"/>
        </w:rPr>
        <w:t>judgement</w:t>
      </w:r>
      <w:r>
        <w:rPr>
          <w:rFonts w:ascii="Arial" w:hAnsi="Arial" w:cs="Arial"/>
          <w:color w:val="7B7B7B" w:themeColor="accent3" w:themeShade="BF"/>
          <w:sz w:val="22"/>
          <w:szCs w:val="22"/>
          <w:lang w:val="en-GB"/>
        </w:rPr>
        <w:t xml:space="preserve"> and the circumstances surrounding the judgement. </w:t>
      </w:r>
    </w:p>
    <w:p w14:paraId="61E06E3E" w14:textId="11DFDE50" w:rsidR="00864D42" w:rsidRPr="006A4CB4" w:rsidRDefault="00D60FDB" w:rsidP="00864D42">
      <w:pPr>
        <w:jc w:val="both"/>
        <w:rPr>
          <w:rFonts w:ascii="Arial" w:hAnsi="Arial" w:cs="Arial"/>
          <w:bCs/>
          <w:color w:val="7B7B7B" w:themeColor="accent3" w:themeShade="BF"/>
          <w:sz w:val="22"/>
          <w:szCs w:val="22"/>
          <w:lang w:val="en-GB"/>
        </w:rPr>
      </w:pPr>
      <w:r w:rsidRPr="006A4CB4">
        <w:rPr>
          <w:rFonts w:ascii="Arial" w:hAnsi="Arial" w:cs="Arial"/>
          <w:bCs/>
          <w:color w:val="7B7B7B" w:themeColor="accent3" w:themeShade="BF"/>
          <w:sz w:val="22"/>
          <w:szCs w:val="22"/>
          <w:lang w:val="en-GB"/>
        </w:rPr>
        <w:t xml:space="preserve">The </w:t>
      </w:r>
      <w:r w:rsidR="004718E5">
        <w:rPr>
          <w:rFonts w:ascii="Arial" w:hAnsi="Arial" w:cs="Arial"/>
          <w:bCs/>
          <w:color w:val="7B7B7B" w:themeColor="accent3" w:themeShade="BF"/>
          <w:sz w:val="22"/>
          <w:szCs w:val="22"/>
          <w:lang w:val="en-GB"/>
        </w:rPr>
        <w:t xml:space="preserve">New Zealand </w:t>
      </w:r>
      <w:r w:rsidRPr="006A4CB4">
        <w:rPr>
          <w:rFonts w:ascii="Arial" w:hAnsi="Arial" w:cs="Arial"/>
          <w:bCs/>
          <w:color w:val="7B7B7B" w:themeColor="accent3" w:themeShade="BF"/>
          <w:sz w:val="22"/>
          <w:szCs w:val="22"/>
          <w:lang w:val="en-GB"/>
        </w:rPr>
        <w:t xml:space="preserve">Court has the ability to recognize the judgement if </w:t>
      </w:r>
      <w:r w:rsidR="00F81709">
        <w:rPr>
          <w:rFonts w:ascii="Arial" w:hAnsi="Arial" w:cs="Arial"/>
          <w:bCs/>
          <w:color w:val="7B7B7B" w:themeColor="accent3" w:themeShade="BF"/>
          <w:sz w:val="22"/>
          <w:szCs w:val="22"/>
          <w:lang w:val="en-GB"/>
        </w:rPr>
        <w:t xml:space="preserve">it </w:t>
      </w:r>
      <w:r w:rsidRPr="006A4CB4">
        <w:rPr>
          <w:rFonts w:ascii="Arial" w:hAnsi="Arial" w:cs="Arial"/>
          <w:bCs/>
          <w:color w:val="7B7B7B" w:themeColor="accent3" w:themeShade="BF"/>
          <w:sz w:val="22"/>
          <w:szCs w:val="22"/>
          <w:lang w:val="en-GB"/>
        </w:rPr>
        <w:t xml:space="preserve">meets the necessary criteria. The Court does not re-litigate the judgment, but rather accepts the decision of the foreign court. </w:t>
      </w: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lastRenderedPageBreak/>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4A927432" w:rsidR="00864D42" w:rsidRDefault="00BC52FB"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administrations can involve significant costs. Hence, it is normally utilized by larger companies. New Zealand’s business landscape does not include numerous large corporations and as such, there are less companies that can afford to enter a voluntary administration. </w:t>
      </w:r>
    </w:p>
    <w:p w14:paraId="6F80787B" w14:textId="2E9AF880" w:rsidR="00550040" w:rsidRDefault="00550040" w:rsidP="00864D42">
      <w:pPr>
        <w:jc w:val="both"/>
        <w:rPr>
          <w:rFonts w:ascii="Arial" w:hAnsi="Arial" w:cs="Arial"/>
          <w:color w:val="7B7B7B" w:themeColor="accent3" w:themeShade="BF"/>
          <w:sz w:val="22"/>
          <w:szCs w:val="22"/>
          <w:lang w:val="en-GB"/>
        </w:rPr>
      </w:pPr>
    </w:p>
    <w:p w14:paraId="0A3C1D0C" w14:textId="02DFBEE6" w:rsidR="00550040" w:rsidRDefault="00550040"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lose control of the business by entering a voluntary administration. </w:t>
      </w:r>
      <w:r w:rsidR="0035143B">
        <w:rPr>
          <w:rFonts w:ascii="Arial" w:hAnsi="Arial" w:cs="Arial"/>
          <w:color w:val="7B7B7B" w:themeColor="accent3" w:themeShade="BF"/>
          <w:sz w:val="22"/>
          <w:szCs w:val="22"/>
          <w:lang w:val="en-GB"/>
        </w:rPr>
        <w:t xml:space="preserve">They remain in office, but have limited powers and need to receive permission from the administrator to take actions. </w:t>
      </w:r>
      <w:r>
        <w:rPr>
          <w:rFonts w:ascii="Arial" w:hAnsi="Arial" w:cs="Arial"/>
          <w:color w:val="7B7B7B" w:themeColor="accent3" w:themeShade="BF"/>
          <w:sz w:val="22"/>
          <w:szCs w:val="22"/>
          <w:lang w:val="en-GB"/>
        </w:rPr>
        <w:t xml:space="preserve">Having an administrator take over with the power to manage the business and sell property of the business may be untenable for some who like to be in control. By choosing a voluntary administration, directors may end up in a liquidation situation at the end anyways. </w:t>
      </w:r>
      <w:r w:rsidR="00B36CAF">
        <w:rPr>
          <w:rFonts w:ascii="Arial" w:hAnsi="Arial" w:cs="Arial"/>
          <w:color w:val="7B7B7B" w:themeColor="accent3" w:themeShade="BF"/>
          <w:sz w:val="22"/>
          <w:szCs w:val="22"/>
          <w:lang w:val="en-GB"/>
        </w:rPr>
        <w:t xml:space="preserve">A voluntary administration requires creditors to decide if a company can enter a deed of company arrangement, to </w:t>
      </w:r>
      <w:r w:rsidR="0006001E">
        <w:rPr>
          <w:rFonts w:ascii="Arial" w:hAnsi="Arial" w:cs="Arial"/>
          <w:color w:val="7B7B7B" w:themeColor="accent3" w:themeShade="BF"/>
          <w:sz w:val="22"/>
          <w:szCs w:val="22"/>
          <w:lang w:val="en-GB"/>
        </w:rPr>
        <w:t>end the administration</w:t>
      </w:r>
      <w:r w:rsidR="00B36CAF">
        <w:rPr>
          <w:rFonts w:ascii="Arial" w:hAnsi="Arial" w:cs="Arial"/>
          <w:color w:val="7B7B7B" w:themeColor="accent3" w:themeShade="BF"/>
          <w:sz w:val="22"/>
          <w:szCs w:val="22"/>
          <w:lang w:val="en-GB"/>
        </w:rPr>
        <w:t xml:space="preserve">, or to put the company into liquidation. </w:t>
      </w:r>
      <w:r w:rsidR="00441C28">
        <w:rPr>
          <w:rFonts w:ascii="Arial" w:hAnsi="Arial" w:cs="Arial"/>
          <w:color w:val="7B7B7B" w:themeColor="accent3" w:themeShade="BF"/>
          <w:sz w:val="22"/>
          <w:szCs w:val="22"/>
          <w:lang w:val="en-GB"/>
        </w:rPr>
        <w:t xml:space="preserve">The deed of company arrangement is not binding on all creditors, such as secured creditors who did not vote in favour of it at the watershed meeting. However, the deed of company arrangement is binding on the company, including its directors and shareholders. </w:t>
      </w:r>
    </w:p>
    <w:p w14:paraId="284A75A1" w14:textId="4B8F5C4E" w:rsidR="00BC52FB" w:rsidRDefault="00BC52FB" w:rsidP="00864D42">
      <w:pPr>
        <w:jc w:val="both"/>
        <w:rPr>
          <w:rFonts w:ascii="Arial" w:hAnsi="Arial" w:cs="Arial"/>
          <w:color w:val="7B7B7B" w:themeColor="accent3" w:themeShade="BF"/>
          <w:sz w:val="22"/>
          <w:szCs w:val="22"/>
          <w:lang w:val="en-GB"/>
        </w:rPr>
      </w:pPr>
    </w:p>
    <w:p w14:paraId="55D50CBA" w14:textId="5CAB3440" w:rsidR="00BC52FB" w:rsidRDefault="00BC52FB"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voluntary administration, the Inland Revenue Department is not a preferred creditor. Given that tax debt is often significant for some of these corporations, they require the IRD to be onside and vote in favour of the deed of company arrangement. However, given that the IRD is not a preferred creditor in a voluntary arrangement but is a preferred creditor in a liquidation, </w:t>
      </w:r>
      <w:r w:rsidR="00181EC2">
        <w:rPr>
          <w:rFonts w:ascii="Arial" w:hAnsi="Arial" w:cs="Arial"/>
          <w:color w:val="7B7B7B" w:themeColor="accent3" w:themeShade="BF"/>
          <w:sz w:val="22"/>
          <w:szCs w:val="22"/>
          <w:lang w:val="en-GB"/>
        </w:rPr>
        <w:t>it is beneficial for the IRD if</w:t>
      </w:r>
      <w:r>
        <w:rPr>
          <w:rFonts w:ascii="Arial" w:hAnsi="Arial" w:cs="Arial"/>
          <w:color w:val="7B7B7B" w:themeColor="accent3" w:themeShade="BF"/>
          <w:sz w:val="22"/>
          <w:szCs w:val="22"/>
          <w:lang w:val="en-GB"/>
        </w:rPr>
        <w:t xml:space="preserve"> </w:t>
      </w:r>
      <w:r w:rsidR="00181EC2">
        <w:rPr>
          <w:rFonts w:ascii="Arial" w:hAnsi="Arial" w:cs="Arial"/>
          <w:color w:val="7B7B7B" w:themeColor="accent3" w:themeShade="BF"/>
          <w:sz w:val="22"/>
          <w:szCs w:val="22"/>
          <w:lang w:val="en-GB"/>
        </w:rPr>
        <w:t xml:space="preserve">companies enter liquidation rather than a voluntary arrangement so that they obtain preferred status. </w:t>
      </w:r>
    </w:p>
    <w:p w14:paraId="2F006C05" w14:textId="3E3CD475" w:rsidR="00441C28" w:rsidRDefault="00441C28" w:rsidP="00864D42">
      <w:pPr>
        <w:jc w:val="both"/>
        <w:rPr>
          <w:rFonts w:ascii="Arial" w:hAnsi="Arial" w:cs="Arial"/>
          <w:color w:val="7B7B7B" w:themeColor="accent3" w:themeShade="BF"/>
          <w:sz w:val="22"/>
          <w:szCs w:val="22"/>
          <w:lang w:val="en-GB"/>
        </w:rPr>
      </w:pPr>
    </w:p>
    <w:p w14:paraId="1BD3DBFF" w14:textId="31803677" w:rsidR="00AD43F6" w:rsidRDefault="00591924"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administrations should be considered by companies who need help, but want to continue operations and to attempt to maintain the company going forward (rather than winding up the business). </w:t>
      </w:r>
      <w:r w:rsidR="00441C28">
        <w:rPr>
          <w:rFonts w:ascii="Arial" w:hAnsi="Arial" w:cs="Arial"/>
          <w:color w:val="7B7B7B" w:themeColor="accent3" w:themeShade="BF"/>
          <w:sz w:val="22"/>
          <w:szCs w:val="22"/>
          <w:lang w:val="en-GB"/>
        </w:rPr>
        <w:t xml:space="preserve">Voluntary administration should be considered by companies who require a stay, a temporary reprieve to get their company back on track, and/or assistance and oversight with managing operations. </w:t>
      </w:r>
      <w:r w:rsidR="00055D28">
        <w:rPr>
          <w:rFonts w:ascii="Arial" w:hAnsi="Arial" w:cs="Arial"/>
          <w:color w:val="7B7B7B" w:themeColor="accent3" w:themeShade="BF"/>
          <w:sz w:val="22"/>
          <w:szCs w:val="22"/>
          <w:lang w:val="en-GB"/>
        </w:rPr>
        <w:t xml:space="preserve">An administrator can also examine the company’s affairs to gather a true picture of the status and viability of the company. Sometimes, directors need an outside perspective to assist them in objectively analyzing a company’s prospects. The stay of proceedings can assist the company by giving it some breathing room to recover from financial distress. </w:t>
      </w:r>
    </w:p>
    <w:p w14:paraId="34DEA1DA" w14:textId="77777777" w:rsidR="00AD43F6" w:rsidRDefault="00AD43F6" w:rsidP="00864D42">
      <w:pPr>
        <w:jc w:val="both"/>
        <w:rPr>
          <w:rFonts w:ascii="Arial" w:hAnsi="Arial" w:cs="Arial"/>
          <w:color w:val="7B7B7B" w:themeColor="accent3" w:themeShade="BF"/>
          <w:sz w:val="22"/>
          <w:szCs w:val="22"/>
          <w:lang w:val="en-GB"/>
        </w:rPr>
      </w:pPr>
    </w:p>
    <w:p w14:paraId="3DDB1A9A" w14:textId="55DABA6D" w:rsidR="002E5655" w:rsidRDefault="00055D28"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directors benefit greatly from the stay because the stay also applies to guarantees </w:t>
      </w:r>
      <w:r w:rsidR="00AD43F6">
        <w:rPr>
          <w:rFonts w:ascii="Arial" w:hAnsi="Arial" w:cs="Arial"/>
          <w:color w:val="7B7B7B" w:themeColor="accent3" w:themeShade="BF"/>
          <w:sz w:val="22"/>
          <w:szCs w:val="22"/>
          <w:lang w:val="en-GB"/>
        </w:rPr>
        <w:t>given by</w:t>
      </w:r>
      <w:r>
        <w:rPr>
          <w:rFonts w:ascii="Arial" w:hAnsi="Arial" w:cs="Arial"/>
          <w:color w:val="7B7B7B" w:themeColor="accent3" w:themeShade="BF"/>
          <w:sz w:val="22"/>
          <w:szCs w:val="22"/>
          <w:lang w:val="en-GB"/>
        </w:rPr>
        <w:t xml:space="preserve"> directors</w:t>
      </w:r>
      <w:r w:rsidR="00AD43F6">
        <w:rPr>
          <w:rFonts w:ascii="Arial" w:hAnsi="Arial" w:cs="Arial"/>
          <w:color w:val="7B7B7B" w:themeColor="accent3" w:themeShade="BF"/>
          <w:sz w:val="22"/>
          <w:szCs w:val="22"/>
          <w:lang w:val="en-GB"/>
        </w:rPr>
        <w:t xml:space="preserve"> for corporate debts</w:t>
      </w:r>
      <w:r>
        <w:rPr>
          <w:rFonts w:ascii="Arial" w:hAnsi="Arial" w:cs="Arial"/>
          <w:color w:val="7B7B7B" w:themeColor="accent3" w:themeShade="BF"/>
          <w:sz w:val="22"/>
          <w:szCs w:val="22"/>
          <w:lang w:val="en-GB"/>
        </w:rPr>
        <w:t xml:space="preserve">. </w:t>
      </w:r>
      <w:r w:rsidR="002E5655">
        <w:rPr>
          <w:rFonts w:ascii="Arial" w:hAnsi="Arial" w:cs="Arial"/>
          <w:color w:val="7B7B7B" w:themeColor="accent3" w:themeShade="BF"/>
          <w:sz w:val="22"/>
          <w:szCs w:val="22"/>
          <w:lang w:val="en-GB"/>
        </w:rPr>
        <w:t>Hence, if directors have a guarantee, a voluntary administration should be considered to assist them in not only the challenges of the company, but to prevent a creditor from enforcing their guarantee against the director</w:t>
      </w:r>
      <w:r w:rsidR="00AD43F6">
        <w:rPr>
          <w:rFonts w:ascii="Arial" w:hAnsi="Arial" w:cs="Arial"/>
          <w:color w:val="7B7B7B" w:themeColor="accent3" w:themeShade="BF"/>
          <w:sz w:val="22"/>
          <w:szCs w:val="22"/>
          <w:lang w:val="en-GB"/>
        </w:rPr>
        <w:t xml:space="preserve"> without leave of the court</w:t>
      </w:r>
      <w:r w:rsidR="002E5655">
        <w:rPr>
          <w:rFonts w:ascii="Arial" w:hAnsi="Arial" w:cs="Arial"/>
          <w:color w:val="7B7B7B" w:themeColor="accent3" w:themeShade="BF"/>
          <w:sz w:val="22"/>
          <w:szCs w:val="22"/>
          <w:lang w:val="en-GB"/>
        </w:rPr>
        <w:t xml:space="preserve">. </w:t>
      </w:r>
    </w:p>
    <w:p w14:paraId="23C911EB" w14:textId="73C11825" w:rsidR="00C83210" w:rsidRDefault="00C83210" w:rsidP="00864D42">
      <w:pPr>
        <w:jc w:val="both"/>
        <w:rPr>
          <w:rFonts w:ascii="Arial" w:hAnsi="Arial" w:cs="Arial"/>
          <w:color w:val="7B7B7B" w:themeColor="accent3" w:themeShade="BF"/>
          <w:sz w:val="22"/>
          <w:szCs w:val="22"/>
          <w:lang w:val="en-GB"/>
        </w:rPr>
      </w:pPr>
    </w:p>
    <w:p w14:paraId="51C830FC" w14:textId="29C78729" w:rsidR="00C83210" w:rsidRPr="002E5655" w:rsidRDefault="00C83210"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has significant tax debt, </w:t>
      </w:r>
      <w:r w:rsidR="005838DD">
        <w:rPr>
          <w:rFonts w:ascii="Arial" w:hAnsi="Arial" w:cs="Arial"/>
          <w:color w:val="7B7B7B" w:themeColor="accent3" w:themeShade="BF"/>
          <w:sz w:val="22"/>
          <w:szCs w:val="22"/>
          <w:lang w:val="en-GB"/>
        </w:rPr>
        <w:t xml:space="preserve">a voluntary administration may not be the best choice because the IRD is unlikely to support of deed of company arrangement over a liquidation. This is because, as stated above, the IRD is a preferred creditor in liquidations, but not in voluntary administrations. </w:t>
      </w: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was born in </w:t>
      </w:r>
      <w:r w:rsidR="00F06F14">
        <w:rPr>
          <w:rFonts w:ascii="Arial" w:hAnsi="Arial" w:cs="Arial"/>
          <w:bCs/>
          <w:sz w:val="22"/>
          <w:szCs w:val="22"/>
          <w:lang w:val="en-GB"/>
        </w:rPr>
        <w:t>New Zealand</w:t>
      </w:r>
      <w:r w:rsidRPr="00DF7FB9">
        <w:rPr>
          <w:rFonts w:ascii="Arial" w:hAnsi="Arial" w:cs="Arial"/>
          <w:bCs/>
          <w:sz w:val="22"/>
          <w:szCs w:val="22"/>
          <w:lang w:val="en-GB"/>
        </w:rPr>
        <w:t xml:space="preserve">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w:t>
      </w:r>
      <w:r w:rsidR="00C94C09">
        <w:rPr>
          <w:rFonts w:ascii="Arial" w:hAnsi="Arial" w:cs="Arial"/>
          <w:bCs/>
          <w:sz w:val="22"/>
          <w:szCs w:val="22"/>
          <w:lang w:val="en-GB"/>
        </w:rPr>
        <w:t>nited Kingdom</w:t>
      </w:r>
      <w:r w:rsidRPr="00DF7FB9">
        <w:rPr>
          <w:rFonts w:ascii="Arial" w:hAnsi="Arial" w:cs="Arial"/>
          <w:bCs/>
          <w:sz w:val="22"/>
          <w:szCs w:val="22"/>
          <w:lang w:val="en-GB"/>
        </w:rPr>
        <w:t>.</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23CCBB5B"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 xml:space="preserve">He sold </w:t>
      </w:r>
      <w:r w:rsidR="00F06F14">
        <w:rPr>
          <w:rFonts w:ascii="Arial" w:hAnsi="Arial" w:cs="Arial"/>
          <w:bCs/>
          <w:sz w:val="22"/>
          <w:szCs w:val="22"/>
          <w:lang w:val="en-GB"/>
        </w:rPr>
        <w:t>some of his</w:t>
      </w:r>
      <w:r w:rsidRPr="00DF7FB9">
        <w:rPr>
          <w:rFonts w:ascii="Arial" w:hAnsi="Arial" w:cs="Arial"/>
          <w:bCs/>
          <w:sz w:val="22"/>
          <w:szCs w:val="22"/>
          <w:lang w:val="en-GB"/>
        </w:rPr>
        <w:t xml:space="preserve"> business</w:t>
      </w:r>
      <w:r w:rsidR="00F06F14">
        <w:rPr>
          <w:rFonts w:ascii="Arial" w:hAnsi="Arial" w:cs="Arial"/>
          <w:bCs/>
          <w:sz w:val="22"/>
          <w:szCs w:val="22"/>
          <w:lang w:val="en-GB"/>
        </w:rPr>
        <w:t xml:space="preserve"> interests</w:t>
      </w:r>
      <w:r w:rsidRPr="00DF7FB9">
        <w:rPr>
          <w:rFonts w:ascii="Arial" w:hAnsi="Arial" w:cs="Arial"/>
          <w:bCs/>
          <w:sz w:val="22"/>
          <w:szCs w:val="22"/>
          <w:lang w:val="en-GB"/>
        </w:rPr>
        <w:t xml:space="preserve">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73E8B884" w14:textId="1EC68B19" w:rsidR="00F06F14"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w:t>
      </w:r>
      <w:r w:rsidR="00F06F14">
        <w:rPr>
          <w:rFonts w:ascii="Arial" w:hAnsi="Arial" w:cs="Arial"/>
          <w:bCs/>
          <w:sz w:val="22"/>
          <w:szCs w:val="22"/>
          <w:lang w:val="en-GB"/>
        </w:rPr>
        <w:t>:</w:t>
      </w:r>
    </w:p>
    <w:p w14:paraId="41D2FDD9" w14:textId="77777777" w:rsidR="00C94C09" w:rsidRDefault="00C94C09" w:rsidP="00864D42">
      <w:pPr>
        <w:jc w:val="both"/>
        <w:rPr>
          <w:rFonts w:ascii="Arial" w:hAnsi="Arial" w:cs="Arial"/>
          <w:bCs/>
          <w:sz w:val="22"/>
          <w:szCs w:val="22"/>
          <w:lang w:val="en-GB"/>
        </w:rPr>
      </w:pPr>
    </w:p>
    <w:p w14:paraId="75AF6D8A" w14:textId="527C6B90"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 xml:space="preserve">as three adult children, </w:t>
      </w:r>
      <w:r>
        <w:rPr>
          <w:rFonts w:ascii="Arial" w:hAnsi="Arial" w:cs="Arial"/>
          <w:bCs/>
          <w:sz w:val="22"/>
          <w:szCs w:val="22"/>
          <w:lang w:val="en-GB"/>
        </w:rPr>
        <w:t>two</w:t>
      </w:r>
      <w:r w:rsidR="00F06F14">
        <w:rPr>
          <w:rFonts w:ascii="Arial" w:hAnsi="Arial" w:cs="Arial"/>
          <w:bCs/>
          <w:sz w:val="22"/>
          <w:szCs w:val="22"/>
          <w:lang w:val="en-GB"/>
        </w:rPr>
        <w:t xml:space="preserve"> of whom are located in New Zealand and one in the UK</w:t>
      </w:r>
      <w:r>
        <w:rPr>
          <w:rFonts w:ascii="Arial" w:hAnsi="Arial" w:cs="Arial"/>
          <w:bCs/>
          <w:sz w:val="22"/>
          <w:szCs w:val="22"/>
          <w:lang w:val="en-GB"/>
        </w:rPr>
        <w:t>;</w:t>
      </w:r>
    </w:p>
    <w:p w14:paraId="6A979F38" w14:textId="77777777" w:rsidR="00C94C09" w:rsidRPr="00C94C09" w:rsidRDefault="00C94C09" w:rsidP="00C94C09">
      <w:pPr>
        <w:ind w:left="420"/>
        <w:jc w:val="both"/>
        <w:rPr>
          <w:rFonts w:ascii="Arial" w:hAnsi="Arial" w:cs="Arial"/>
          <w:bCs/>
          <w:sz w:val="22"/>
          <w:szCs w:val="22"/>
          <w:lang w:val="en-GB"/>
        </w:rPr>
      </w:pPr>
    </w:p>
    <w:p w14:paraId="0EF0A128" w14:textId="5B8AB413"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c</w:t>
      </w:r>
      <w:r w:rsidR="00F06F14">
        <w:rPr>
          <w:rFonts w:ascii="Arial" w:hAnsi="Arial" w:cs="Arial"/>
          <w:bCs/>
          <w:sz w:val="22"/>
          <w:szCs w:val="22"/>
          <w:lang w:val="en-GB"/>
        </w:rPr>
        <w:t>ontinues to receive income from his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but does not work in New Zealand.  He has no active role in the business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p>
    <w:p w14:paraId="5A40207F" w14:textId="77777777" w:rsidR="00C94C09" w:rsidRPr="00C94C09" w:rsidRDefault="00C94C09" w:rsidP="00C94C09">
      <w:pPr>
        <w:pStyle w:val="ListParagraph"/>
        <w:rPr>
          <w:rFonts w:ascii="Arial" w:hAnsi="Arial" w:cs="Arial"/>
          <w:bCs/>
          <w:sz w:val="22"/>
          <w:szCs w:val="22"/>
          <w:lang w:val="en-GB"/>
        </w:rPr>
      </w:pPr>
    </w:p>
    <w:p w14:paraId="1CD5672D" w14:textId="41E0D01A" w:rsidR="00F06F14" w:rsidRPr="00C94C09" w:rsidRDefault="00C94C09" w:rsidP="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as retired. Outside of the income he receives from the remaining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xml:space="preserve">, he remains dependent on his wife's income for day to day living.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75F4BB04" w14:textId="17B7B4F8" w:rsidR="0028772E" w:rsidRDefault="007A0DEF" w:rsidP="00864D42">
      <w:pPr>
        <w:jc w:val="both"/>
        <w:rPr>
          <w:rFonts w:ascii="Arial" w:hAnsi="Arial" w:cs="Arial"/>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p>
    <w:p w14:paraId="7DA654D3" w14:textId="7746B53A" w:rsidR="0028772E"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Pr>
          <w:rFonts w:ascii="Arial" w:hAnsi="Arial" w:cs="Arial"/>
          <w:sz w:val="22"/>
          <w:szCs w:val="22"/>
          <w:lang w:val="en-GB"/>
        </w:rPr>
        <w:t xml:space="preserve">What factors point towards the bankruptcy being foreign main proceeding, compared to a foreign non-main proceeding? </w:t>
      </w:r>
    </w:p>
    <w:p w14:paraId="69D0CB37" w14:textId="77777777" w:rsidR="0028772E" w:rsidRDefault="0028772E" w:rsidP="00864D42">
      <w:pPr>
        <w:jc w:val="both"/>
        <w:rPr>
          <w:rFonts w:ascii="Arial" w:hAnsi="Arial" w:cs="Arial"/>
          <w:sz w:val="22"/>
          <w:szCs w:val="22"/>
          <w:lang w:val="en-GB"/>
        </w:rPr>
      </w:pPr>
    </w:p>
    <w:p w14:paraId="00609D43" w14:textId="3D5A5610" w:rsidR="00F40BFD" w:rsidRDefault="00F40BFD" w:rsidP="00B13B1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unlikely that Ms. Finder would be successful </w:t>
      </w:r>
      <w:r w:rsidR="00925042">
        <w:rPr>
          <w:rFonts w:ascii="Arial" w:hAnsi="Arial" w:cs="Arial"/>
          <w:color w:val="7B7B7B" w:themeColor="accent3" w:themeShade="BF"/>
          <w:sz w:val="22"/>
          <w:szCs w:val="22"/>
          <w:lang w:val="en-GB"/>
        </w:rPr>
        <w:t xml:space="preserve">in attempting to recognize her appointment under common law, because Mr. Strong’s residence is New Zealand, not the UK. If she was able to have the proceedings recognized under common law, she would be able to obtain assistance in realizing on Mr. Strong’s assets. </w:t>
      </w:r>
    </w:p>
    <w:p w14:paraId="4DA480CC" w14:textId="3AEDFBE9" w:rsidR="002F1F3A" w:rsidRDefault="002F1F3A" w:rsidP="00B13B14">
      <w:pPr>
        <w:autoSpaceDE w:val="0"/>
        <w:autoSpaceDN w:val="0"/>
        <w:adjustRightInd w:val="0"/>
        <w:jc w:val="both"/>
        <w:rPr>
          <w:rFonts w:ascii="Arial" w:hAnsi="Arial" w:cs="Arial"/>
          <w:color w:val="7B7B7B" w:themeColor="accent3" w:themeShade="BF"/>
          <w:sz w:val="22"/>
          <w:szCs w:val="22"/>
          <w:lang w:val="en-GB"/>
        </w:rPr>
      </w:pPr>
    </w:p>
    <w:p w14:paraId="56E5DF67" w14:textId="2227EB0A" w:rsidR="002F1F3A" w:rsidRDefault="002F1F3A" w:rsidP="00B13B1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Finder can request under the Insolvency Act 1967 that the UK Court be assisted so that orders from the UK Court can be recognized and acted upon in New Zealand. The UK is a part of the Commonwealth. </w:t>
      </w:r>
      <w:r w:rsidR="00C564D3">
        <w:rPr>
          <w:rFonts w:ascii="Arial" w:hAnsi="Arial" w:cs="Arial"/>
          <w:color w:val="7B7B7B" w:themeColor="accent3" w:themeShade="BF"/>
          <w:sz w:val="22"/>
          <w:szCs w:val="22"/>
          <w:lang w:val="en-GB"/>
        </w:rPr>
        <w:t xml:space="preserve">Hence, she would be able to recover assets in New Zealand as ordered in the UK. </w:t>
      </w:r>
    </w:p>
    <w:p w14:paraId="701EE176" w14:textId="77777777" w:rsidR="00925042" w:rsidRDefault="00925042" w:rsidP="00B13B14">
      <w:pPr>
        <w:autoSpaceDE w:val="0"/>
        <w:autoSpaceDN w:val="0"/>
        <w:adjustRightInd w:val="0"/>
        <w:jc w:val="both"/>
        <w:rPr>
          <w:rFonts w:ascii="Arial" w:hAnsi="Arial" w:cs="Arial"/>
          <w:color w:val="7B7B7B" w:themeColor="accent3" w:themeShade="BF"/>
          <w:sz w:val="22"/>
          <w:szCs w:val="22"/>
          <w:lang w:val="en-GB"/>
        </w:rPr>
      </w:pPr>
    </w:p>
    <w:p w14:paraId="51468C7E" w14:textId="44068C4B" w:rsidR="00B13B14" w:rsidRPr="002A37BB" w:rsidRDefault="00B13B14" w:rsidP="00B13B14">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Ms. Finder can apply to the court of New Zealand under Article 8, Schedule 1 </w:t>
      </w:r>
      <w:r w:rsidR="00925042">
        <w:rPr>
          <w:rFonts w:ascii="Arial" w:hAnsi="Arial" w:cs="Arial"/>
          <w:color w:val="7B7B7B" w:themeColor="accent3" w:themeShade="BF"/>
          <w:sz w:val="22"/>
          <w:szCs w:val="22"/>
          <w:lang w:val="en-GB"/>
        </w:rPr>
        <w:t xml:space="preserve">of the Insolvency (cross-border) Act 2006 </w:t>
      </w:r>
      <w:r>
        <w:rPr>
          <w:rFonts w:ascii="Arial" w:hAnsi="Arial" w:cs="Arial"/>
          <w:color w:val="7B7B7B" w:themeColor="accent3" w:themeShade="BF"/>
          <w:sz w:val="22"/>
          <w:szCs w:val="22"/>
          <w:lang w:val="en-GB"/>
        </w:rPr>
        <w:t xml:space="preserve">for assistance in recovering assets of Mr. Strong in New Zealand. </w:t>
      </w:r>
    </w:p>
    <w:p w14:paraId="5C3649A0" w14:textId="1A8898AA" w:rsidR="00864D42" w:rsidRDefault="00864D42" w:rsidP="00864D42">
      <w:pPr>
        <w:jc w:val="both"/>
        <w:rPr>
          <w:rFonts w:ascii="Arial" w:hAnsi="Arial" w:cs="Arial"/>
          <w:sz w:val="22"/>
          <w:szCs w:val="22"/>
          <w:lang w:val="en-GB"/>
        </w:rPr>
      </w:pPr>
    </w:p>
    <w:p w14:paraId="3E229E23" w14:textId="49EA0324" w:rsidR="007738BF" w:rsidRDefault="007738BF"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determination of a foreign main proceeding vs. a foreign non-main proceeding is based on COMI (centre of main interests). COMI can be determined by the location of a business’ main office, the location of the majority of operations, the location of directors, etc. </w:t>
      </w:r>
    </w:p>
    <w:p w14:paraId="2D308BA8" w14:textId="77777777" w:rsidR="007738BF" w:rsidRDefault="007738BF" w:rsidP="00864D42">
      <w:pPr>
        <w:jc w:val="both"/>
        <w:rPr>
          <w:rFonts w:ascii="Arial" w:hAnsi="Arial" w:cs="Arial"/>
          <w:color w:val="7B7B7B" w:themeColor="accent3" w:themeShade="BF"/>
          <w:sz w:val="22"/>
          <w:szCs w:val="22"/>
          <w:lang w:val="en-GB"/>
        </w:rPr>
      </w:pPr>
    </w:p>
    <w:p w14:paraId="055571E6" w14:textId="08E7C2A3" w:rsidR="00B13B14" w:rsidRPr="00925042" w:rsidRDefault="00590CB3" w:rsidP="00864D42">
      <w:pPr>
        <w:jc w:val="both"/>
        <w:rPr>
          <w:rFonts w:ascii="Arial" w:hAnsi="Arial" w:cs="Arial"/>
          <w:color w:val="7B7B7B" w:themeColor="accent3" w:themeShade="BF"/>
          <w:sz w:val="22"/>
          <w:szCs w:val="22"/>
          <w:lang w:val="en-GB"/>
        </w:rPr>
      </w:pPr>
      <w:r w:rsidRPr="00925042">
        <w:rPr>
          <w:rFonts w:ascii="Arial" w:hAnsi="Arial" w:cs="Arial"/>
          <w:color w:val="7B7B7B" w:themeColor="accent3" w:themeShade="BF"/>
          <w:sz w:val="22"/>
          <w:szCs w:val="22"/>
          <w:lang w:val="en-GB"/>
        </w:rPr>
        <w:t xml:space="preserve">Under Article 16, Schedule 1, </w:t>
      </w:r>
      <w:r w:rsidR="00B13B14" w:rsidRPr="00925042">
        <w:rPr>
          <w:rFonts w:ascii="Arial" w:hAnsi="Arial" w:cs="Arial"/>
          <w:color w:val="7B7B7B" w:themeColor="accent3" w:themeShade="BF"/>
          <w:sz w:val="22"/>
          <w:szCs w:val="22"/>
          <w:lang w:val="en-GB"/>
        </w:rPr>
        <w:t xml:space="preserve">COMI is assumed to be in the locale of the debtor’s residence. </w:t>
      </w:r>
      <w:r w:rsidRPr="00925042">
        <w:rPr>
          <w:rFonts w:ascii="Arial" w:hAnsi="Arial" w:cs="Arial"/>
          <w:color w:val="7B7B7B" w:themeColor="accent3" w:themeShade="BF"/>
          <w:sz w:val="22"/>
          <w:szCs w:val="22"/>
          <w:lang w:val="en-GB"/>
        </w:rPr>
        <w:t xml:space="preserve">Given that Mr. </w:t>
      </w:r>
      <w:r w:rsidR="00F40BFD" w:rsidRPr="00925042">
        <w:rPr>
          <w:rFonts w:ascii="Arial" w:hAnsi="Arial" w:cs="Arial"/>
          <w:color w:val="7B7B7B" w:themeColor="accent3" w:themeShade="BF"/>
          <w:sz w:val="22"/>
          <w:szCs w:val="22"/>
          <w:lang w:val="en-GB"/>
        </w:rPr>
        <w:t>Strong</w:t>
      </w:r>
      <w:r w:rsidRPr="00925042">
        <w:rPr>
          <w:rFonts w:ascii="Arial" w:hAnsi="Arial" w:cs="Arial"/>
          <w:color w:val="7B7B7B" w:themeColor="accent3" w:themeShade="BF"/>
          <w:sz w:val="22"/>
          <w:szCs w:val="22"/>
          <w:lang w:val="en-GB"/>
        </w:rPr>
        <w:t xml:space="preserve"> moved back to New Zealand two years ago, his residence would be New Zealand and hence his COMI would be New Zealand. </w:t>
      </w:r>
      <w:r w:rsidR="00F40BFD" w:rsidRPr="00925042">
        <w:rPr>
          <w:rFonts w:ascii="Arial" w:hAnsi="Arial" w:cs="Arial"/>
          <w:color w:val="7B7B7B" w:themeColor="accent3" w:themeShade="BF"/>
          <w:sz w:val="22"/>
          <w:szCs w:val="22"/>
          <w:lang w:val="en-GB"/>
        </w:rPr>
        <w:t xml:space="preserve">However, unlike in Williams v Simpson, Mr. Strong, while retired and having no active role in the UK, still receives income from his business interests in the UK. Therefore, Ms. Finder can argue that the debtor does </w:t>
      </w:r>
      <w:r w:rsidR="00F40BFD" w:rsidRPr="00925042">
        <w:rPr>
          <w:rFonts w:ascii="Arial" w:hAnsi="Arial" w:cs="Arial"/>
          <w:color w:val="7B7B7B" w:themeColor="accent3" w:themeShade="BF"/>
          <w:sz w:val="22"/>
          <w:szCs w:val="22"/>
          <w:lang w:val="en-GB"/>
        </w:rPr>
        <w:lastRenderedPageBreak/>
        <w:t xml:space="preserve">have establishment in the UK so that the UK proceedings can be recognized as a foreign non-main proceeding. </w:t>
      </w: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19DE0290" w14:textId="30795306" w:rsidR="00864D42" w:rsidRDefault="00B13B14"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94B13">
        <w:rPr>
          <w:rFonts w:ascii="Arial" w:hAnsi="Arial" w:cs="Arial"/>
          <w:color w:val="7B7B7B" w:themeColor="accent3" w:themeShade="BF"/>
          <w:sz w:val="22"/>
          <w:szCs w:val="22"/>
          <w:lang w:val="en-GB"/>
        </w:rPr>
        <w:t xml:space="preserve"> Ms. Finder can attempt to obtain an order in the UK to examine the debtor to obtain more information</w:t>
      </w:r>
      <w:r w:rsidR="00CC3322">
        <w:rPr>
          <w:rFonts w:ascii="Arial" w:hAnsi="Arial" w:cs="Arial"/>
          <w:color w:val="7B7B7B" w:themeColor="accent3" w:themeShade="BF"/>
          <w:sz w:val="22"/>
          <w:szCs w:val="22"/>
          <w:lang w:val="en-GB"/>
        </w:rPr>
        <w:t xml:space="preserve">. Then, she can request that the UK order be recognized in New Zealand under the Insolvency Act 1967 as an order issued by a Commonwealth court. </w:t>
      </w:r>
    </w:p>
    <w:p w14:paraId="3972DF87" w14:textId="06F6096D" w:rsidR="00CC3322" w:rsidRDefault="00CC3322" w:rsidP="00864D42">
      <w:pPr>
        <w:autoSpaceDE w:val="0"/>
        <w:autoSpaceDN w:val="0"/>
        <w:adjustRightInd w:val="0"/>
        <w:jc w:val="both"/>
        <w:rPr>
          <w:rFonts w:ascii="Arial" w:hAnsi="Arial" w:cs="Arial"/>
          <w:color w:val="7B7B7B" w:themeColor="accent3" w:themeShade="BF"/>
          <w:sz w:val="22"/>
          <w:szCs w:val="22"/>
          <w:lang w:val="en-GB"/>
        </w:rPr>
      </w:pPr>
    </w:p>
    <w:p w14:paraId="27D443BC" w14:textId="03BD8290" w:rsidR="00CC3322" w:rsidRDefault="00CC3322"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Ms. Finder could attempt to have her proceedings recognized as foreign proceedings so that she would have powers to act in New Zealand</w:t>
      </w:r>
      <w:r w:rsidR="002F5B72">
        <w:rPr>
          <w:rFonts w:ascii="Arial" w:hAnsi="Arial" w:cs="Arial"/>
          <w:color w:val="7B7B7B" w:themeColor="accent3" w:themeShade="BF"/>
          <w:sz w:val="22"/>
          <w:szCs w:val="22"/>
          <w:lang w:val="en-GB"/>
        </w:rPr>
        <w:t xml:space="preserve"> and potentially obtain further information about Mr. Strong’s affairs. </w:t>
      </w:r>
    </w:p>
    <w:p w14:paraId="140A2DD5" w14:textId="658D0E42" w:rsidR="00B13B14" w:rsidRDefault="00B13B14" w:rsidP="00864D42">
      <w:pPr>
        <w:autoSpaceDE w:val="0"/>
        <w:autoSpaceDN w:val="0"/>
        <w:adjustRightInd w:val="0"/>
        <w:jc w:val="both"/>
        <w:rPr>
          <w:rFonts w:ascii="Arial" w:hAnsi="Arial" w:cs="Arial"/>
          <w:color w:val="7B7B7B" w:themeColor="accent3" w:themeShade="BF"/>
          <w:sz w:val="22"/>
          <w:szCs w:val="22"/>
          <w:lang w:val="en-GB"/>
        </w:rPr>
      </w:pPr>
    </w:p>
    <w:p w14:paraId="6F68D78F" w14:textId="072FE11D" w:rsidR="00B13B14" w:rsidRDefault="00B13B14"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Ms. Finder can apply to the court of New Zealand under Article 8, Schedule 1 for assistance in recovering assets of Mr. Strong in New Zealand. </w:t>
      </w:r>
    </w:p>
    <w:p w14:paraId="52DBC5B7" w14:textId="543CCF73" w:rsidR="00C94B13" w:rsidRDefault="00C94B13" w:rsidP="00864D42">
      <w:pPr>
        <w:autoSpaceDE w:val="0"/>
        <w:autoSpaceDN w:val="0"/>
        <w:adjustRightInd w:val="0"/>
        <w:jc w:val="both"/>
        <w:rPr>
          <w:rFonts w:ascii="Arial" w:hAnsi="Arial" w:cs="Arial"/>
          <w:color w:val="7B7B7B" w:themeColor="accent3" w:themeShade="BF"/>
          <w:sz w:val="22"/>
          <w:szCs w:val="22"/>
          <w:lang w:val="en-GB"/>
        </w:rPr>
      </w:pPr>
    </w:p>
    <w:p w14:paraId="6BD5E7A8" w14:textId="3A4980FD" w:rsidR="002F5B72" w:rsidRDefault="00C94B13" w:rsidP="002F5B7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Ms. Finder can attempt to obtain an order in the UK to recover the assets. Then, she can request that the UK order be recognized in New Zealand under the Insolvency Act 1967 as an order issued by a Commonwealth court.  </w:t>
      </w:r>
    </w:p>
    <w:p w14:paraId="30E64134" w14:textId="0C6032D3" w:rsidR="002F5B72" w:rsidRDefault="002F5B72" w:rsidP="002F5B72">
      <w:pPr>
        <w:autoSpaceDE w:val="0"/>
        <w:autoSpaceDN w:val="0"/>
        <w:adjustRightInd w:val="0"/>
        <w:jc w:val="both"/>
        <w:rPr>
          <w:rFonts w:ascii="Arial" w:hAnsi="Arial" w:cs="Arial"/>
          <w:color w:val="7B7B7B" w:themeColor="accent3" w:themeShade="BF"/>
          <w:sz w:val="22"/>
          <w:szCs w:val="22"/>
          <w:lang w:val="en-GB"/>
        </w:rPr>
      </w:pPr>
    </w:p>
    <w:p w14:paraId="618A6E57" w14:textId="7E6A5D6D" w:rsidR="002F5B72" w:rsidRPr="002F5B72" w:rsidRDefault="002F5B72" w:rsidP="002F5B7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Ms. Finder could attempt to have her proceedings recognized as foreign proceedings so that she would have powers to act in New Zealand and potentially reveal and recover those concealed assets. </w:t>
      </w: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592F9581" w:rsidR="00864D42" w:rsidRDefault="004C0A05"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(Cross-border) Act 2006 has had limited use since its inception. </w:t>
      </w:r>
    </w:p>
    <w:p w14:paraId="11874F7B" w14:textId="0F00DE74" w:rsidR="004C0A05" w:rsidRDefault="004C0A05" w:rsidP="00864D42">
      <w:pPr>
        <w:autoSpaceDE w:val="0"/>
        <w:autoSpaceDN w:val="0"/>
        <w:adjustRightInd w:val="0"/>
        <w:jc w:val="both"/>
        <w:rPr>
          <w:rFonts w:ascii="Arial" w:hAnsi="Arial" w:cs="Arial"/>
          <w:color w:val="7B7B7B" w:themeColor="accent3" w:themeShade="BF"/>
          <w:sz w:val="22"/>
          <w:szCs w:val="22"/>
          <w:lang w:val="en-GB"/>
        </w:rPr>
      </w:pPr>
    </w:p>
    <w:p w14:paraId="1CE142C7" w14:textId="7598F24F" w:rsidR="00B13B14" w:rsidRDefault="004C0A05"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Williams v Simpson, COMI is presumed to be the debtor’s place of residence. </w:t>
      </w:r>
      <w:r w:rsidR="00F2527A">
        <w:rPr>
          <w:rFonts w:ascii="Arial" w:hAnsi="Arial" w:cs="Arial"/>
          <w:color w:val="7B7B7B" w:themeColor="accent3" w:themeShade="BF"/>
          <w:sz w:val="22"/>
          <w:szCs w:val="22"/>
          <w:lang w:val="en-GB"/>
        </w:rPr>
        <w:t xml:space="preserve">In that case, </w:t>
      </w:r>
      <w:r w:rsidR="00B13B14">
        <w:rPr>
          <w:rFonts w:ascii="Arial" w:hAnsi="Arial" w:cs="Arial"/>
          <w:color w:val="7B7B7B" w:themeColor="accent3" w:themeShade="BF"/>
          <w:sz w:val="22"/>
          <w:szCs w:val="22"/>
          <w:lang w:val="en-GB"/>
        </w:rPr>
        <w:t xml:space="preserve">foreign non-main proceedings were not opened because an establishment of the debtor in England was not shown. </w:t>
      </w:r>
      <w:r w:rsidR="004055DC">
        <w:rPr>
          <w:rFonts w:ascii="Arial" w:hAnsi="Arial" w:cs="Arial"/>
          <w:color w:val="7B7B7B" w:themeColor="accent3" w:themeShade="BF"/>
          <w:sz w:val="22"/>
          <w:szCs w:val="22"/>
          <w:lang w:val="en-GB"/>
        </w:rPr>
        <w:t>However, t</w:t>
      </w:r>
      <w:r w:rsidR="00B13B14">
        <w:rPr>
          <w:rFonts w:ascii="Arial" w:hAnsi="Arial" w:cs="Arial"/>
          <w:color w:val="7B7B7B" w:themeColor="accent3" w:themeShade="BF"/>
          <w:sz w:val="22"/>
          <w:szCs w:val="22"/>
          <w:lang w:val="en-GB"/>
        </w:rPr>
        <w:t xml:space="preserve">he trustee was allowed to realize on assets in New Zealand under article 8 of schedule 1. </w:t>
      </w:r>
    </w:p>
    <w:p w14:paraId="0794C10E" w14:textId="70BEEF67" w:rsidR="004055DC" w:rsidRDefault="004055DC" w:rsidP="00864D42">
      <w:pPr>
        <w:autoSpaceDE w:val="0"/>
        <w:autoSpaceDN w:val="0"/>
        <w:adjustRightInd w:val="0"/>
        <w:jc w:val="both"/>
        <w:rPr>
          <w:rFonts w:ascii="Arial" w:hAnsi="Arial" w:cs="Arial"/>
          <w:color w:val="7B7B7B" w:themeColor="accent3" w:themeShade="BF"/>
          <w:sz w:val="22"/>
          <w:szCs w:val="22"/>
          <w:lang w:val="en-GB"/>
        </w:rPr>
      </w:pPr>
    </w:p>
    <w:p w14:paraId="18D48CC5" w14:textId="78B251F8" w:rsidR="00B02C56" w:rsidRPr="00420267" w:rsidRDefault="004055DC" w:rsidP="00864D42">
      <w:pPr>
        <w:jc w:val="both"/>
        <w:rPr>
          <w:rFonts w:ascii="Arial" w:hAnsi="Arial" w:cs="Arial"/>
          <w:color w:val="7B7B7B" w:themeColor="accent3" w:themeShade="BF"/>
          <w:sz w:val="22"/>
          <w:szCs w:val="22"/>
          <w:lang w:val="en-GB"/>
        </w:rPr>
      </w:pPr>
      <w:r w:rsidRPr="00925042">
        <w:rPr>
          <w:rFonts w:ascii="Arial" w:hAnsi="Arial" w:cs="Arial"/>
          <w:color w:val="7B7B7B" w:themeColor="accent3" w:themeShade="BF"/>
          <w:sz w:val="22"/>
          <w:szCs w:val="22"/>
          <w:lang w:val="en-GB"/>
        </w:rPr>
        <w:t>Under Article 16, Schedule 1, COMI is assumed to be in the locale of the debtor’s residence. Given that Mr. Strong moved back to New Zealand two years ago, his residence would be New Zealand and hence his COMI would be New Zealand. However, unlike in Williams v Simpson, Mr. Strong, while retired and having no active role in the UK, still receives income from his business interests in the UK. Therefore, Ms. Finder can argue that the debtor does have establishment in the UK so that the UK proceedings can be recognized as a foreign non-main proceeding.</w:t>
      </w: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05EA" w14:textId="77777777" w:rsidR="00933BFD" w:rsidRDefault="00933BFD" w:rsidP="00241B44">
      <w:r>
        <w:separator/>
      </w:r>
    </w:p>
  </w:endnote>
  <w:endnote w:type="continuationSeparator" w:id="0">
    <w:p w14:paraId="4446D77F" w14:textId="77777777" w:rsidR="00933BFD" w:rsidRDefault="00933B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157889AC" w:rsidR="00241FA3" w:rsidRPr="009B4976" w:rsidRDefault="001E3969" w:rsidP="009B4976">
    <w:pPr>
      <w:pStyle w:val="Footer"/>
      <w:ind w:right="360"/>
      <w:rPr>
        <w:rFonts w:ascii="Arial" w:hAnsi="Arial" w:cs="Arial"/>
        <w:sz w:val="18"/>
        <w:szCs w:val="18"/>
        <w:lang w:val="en-GB"/>
      </w:rPr>
    </w:pPr>
    <w:r>
      <w:rPr>
        <w:rFonts w:ascii="Arial" w:hAnsi="Arial" w:cs="Arial"/>
        <w:sz w:val="18"/>
        <w:szCs w:val="18"/>
        <w:lang w:val="en-GB"/>
      </w:rPr>
      <w:t>202021IFU-388</w:t>
    </w:r>
    <w:r w:rsidR="0073158B" w:rsidRPr="009B4976">
      <w:rPr>
        <w:rFonts w:ascii="Arial" w:hAnsi="Arial" w:cs="Arial"/>
        <w:sz w:val="18"/>
        <w:szCs w:val="18"/>
        <w:lang w:val="en-GB"/>
      </w:rPr>
      <w:t>.assessment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F4E8" w14:textId="77777777" w:rsidR="00933BFD" w:rsidRDefault="00933BFD" w:rsidP="00241B44">
      <w:r>
        <w:separator/>
      </w:r>
    </w:p>
  </w:footnote>
  <w:footnote w:type="continuationSeparator" w:id="0">
    <w:p w14:paraId="460EBD7F" w14:textId="77777777" w:rsidR="00933BFD" w:rsidRDefault="00933BF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851EA3"/>
    <w:multiLevelType w:val="hybridMultilevel"/>
    <w:tmpl w:val="202C875C"/>
    <w:lvl w:ilvl="0" w:tplc="DDC6A722">
      <w:start w:val="1"/>
      <w:numFmt w:val="lowerLetter"/>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493605">
    <w:abstractNumId w:val="17"/>
  </w:num>
  <w:num w:numId="2" w16cid:durableId="839151620">
    <w:abstractNumId w:val="9"/>
  </w:num>
  <w:num w:numId="3" w16cid:durableId="121732755">
    <w:abstractNumId w:val="23"/>
  </w:num>
  <w:num w:numId="4" w16cid:durableId="804274525">
    <w:abstractNumId w:val="19"/>
  </w:num>
  <w:num w:numId="5" w16cid:durableId="2015842732">
    <w:abstractNumId w:val="40"/>
  </w:num>
  <w:num w:numId="6" w16cid:durableId="783841471">
    <w:abstractNumId w:val="41"/>
  </w:num>
  <w:num w:numId="7" w16cid:durableId="1980958931">
    <w:abstractNumId w:val="43"/>
  </w:num>
  <w:num w:numId="8" w16cid:durableId="2112124413">
    <w:abstractNumId w:val="33"/>
  </w:num>
  <w:num w:numId="9" w16cid:durableId="719978913">
    <w:abstractNumId w:val="24"/>
  </w:num>
  <w:num w:numId="10" w16cid:durableId="96483091">
    <w:abstractNumId w:val="4"/>
  </w:num>
  <w:num w:numId="11" w16cid:durableId="5643073">
    <w:abstractNumId w:val="15"/>
  </w:num>
  <w:num w:numId="12" w16cid:durableId="1955162945">
    <w:abstractNumId w:val="10"/>
  </w:num>
  <w:num w:numId="13" w16cid:durableId="151216167">
    <w:abstractNumId w:val="32"/>
  </w:num>
  <w:num w:numId="14" w16cid:durableId="2112552975">
    <w:abstractNumId w:val="3"/>
  </w:num>
  <w:num w:numId="15" w16cid:durableId="1868830166">
    <w:abstractNumId w:val="18"/>
  </w:num>
  <w:num w:numId="16" w16cid:durableId="1561286996">
    <w:abstractNumId w:val="26"/>
  </w:num>
  <w:num w:numId="17" w16cid:durableId="452552200">
    <w:abstractNumId w:val="0"/>
  </w:num>
  <w:num w:numId="18" w16cid:durableId="1294019777">
    <w:abstractNumId w:val="36"/>
  </w:num>
  <w:num w:numId="19" w16cid:durableId="2074617120">
    <w:abstractNumId w:val="25"/>
  </w:num>
  <w:num w:numId="20" w16cid:durableId="488719230">
    <w:abstractNumId w:val="2"/>
  </w:num>
  <w:num w:numId="21" w16cid:durableId="1355155940">
    <w:abstractNumId w:val="37"/>
  </w:num>
  <w:num w:numId="22" w16cid:durableId="2132162877">
    <w:abstractNumId w:val="13"/>
  </w:num>
  <w:num w:numId="23" w16cid:durableId="1678919744">
    <w:abstractNumId w:val="12"/>
  </w:num>
  <w:num w:numId="24" w16cid:durableId="295912643">
    <w:abstractNumId w:val="22"/>
  </w:num>
  <w:num w:numId="25" w16cid:durableId="1183011462">
    <w:abstractNumId w:val="34"/>
  </w:num>
  <w:num w:numId="26" w16cid:durableId="1306668310">
    <w:abstractNumId w:val="28"/>
  </w:num>
  <w:num w:numId="27" w16cid:durableId="722757918">
    <w:abstractNumId w:val="21"/>
  </w:num>
  <w:num w:numId="28" w16cid:durableId="1924292223">
    <w:abstractNumId w:val="6"/>
  </w:num>
  <w:num w:numId="29" w16cid:durableId="1581332438">
    <w:abstractNumId w:val="31"/>
  </w:num>
  <w:num w:numId="30" w16cid:durableId="1964188355">
    <w:abstractNumId w:val="11"/>
  </w:num>
  <w:num w:numId="31" w16cid:durableId="662047251">
    <w:abstractNumId w:val="30"/>
  </w:num>
  <w:num w:numId="32" w16cid:durableId="1448697667">
    <w:abstractNumId w:val="38"/>
  </w:num>
  <w:num w:numId="33" w16cid:durableId="45420556">
    <w:abstractNumId w:val="39"/>
  </w:num>
  <w:num w:numId="34" w16cid:durableId="487403972">
    <w:abstractNumId w:val="7"/>
  </w:num>
  <w:num w:numId="35" w16cid:durableId="1990597772">
    <w:abstractNumId w:val="42"/>
  </w:num>
  <w:num w:numId="36" w16cid:durableId="294143941">
    <w:abstractNumId w:val="35"/>
  </w:num>
  <w:num w:numId="37" w16cid:durableId="719330175">
    <w:abstractNumId w:val="14"/>
  </w:num>
  <w:num w:numId="38" w16cid:durableId="1263416013">
    <w:abstractNumId w:val="27"/>
  </w:num>
  <w:num w:numId="39" w16cid:durableId="2046517945">
    <w:abstractNumId w:val="29"/>
  </w:num>
  <w:num w:numId="40" w16cid:durableId="480193038">
    <w:abstractNumId w:val="5"/>
  </w:num>
  <w:num w:numId="41" w16cid:durableId="1660689417">
    <w:abstractNumId w:val="1"/>
  </w:num>
  <w:num w:numId="42" w16cid:durableId="735468545">
    <w:abstractNumId w:val="8"/>
  </w:num>
  <w:num w:numId="43" w16cid:durableId="117965015">
    <w:abstractNumId w:val="20"/>
  </w:num>
  <w:num w:numId="44" w16cid:durableId="2398728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55D28"/>
    <w:rsid w:val="0006001E"/>
    <w:rsid w:val="00065166"/>
    <w:rsid w:val="000747F0"/>
    <w:rsid w:val="000756F8"/>
    <w:rsid w:val="00076A9F"/>
    <w:rsid w:val="00082609"/>
    <w:rsid w:val="000851CC"/>
    <w:rsid w:val="00087F21"/>
    <w:rsid w:val="00093BE8"/>
    <w:rsid w:val="000A3DD6"/>
    <w:rsid w:val="000A407B"/>
    <w:rsid w:val="000A46AA"/>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73E77"/>
    <w:rsid w:val="00180548"/>
    <w:rsid w:val="00180AC4"/>
    <w:rsid w:val="00180CCE"/>
    <w:rsid w:val="00181EC2"/>
    <w:rsid w:val="00181ECC"/>
    <w:rsid w:val="0018267A"/>
    <w:rsid w:val="00182779"/>
    <w:rsid w:val="001830DF"/>
    <w:rsid w:val="0019202F"/>
    <w:rsid w:val="001966D9"/>
    <w:rsid w:val="001A007A"/>
    <w:rsid w:val="001A7E9A"/>
    <w:rsid w:val="001B0F70"/>
    <w:rsid w:val="001B5016"/>
    <w:rsid w:val="001C45FC"/>
    <w:rsid w:val="001C63F4"/>
    <w:rsid w:val="001D0469"/>
    <w:rsid w:val="001D29C0"/>
    <w:rsid w:val="001D4862"/>
    <w:rsid w:val="001E172D"/>
    <w:rsid w:val="001E25B9"/>
    <w:rsid w:val="001E396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86"/>
    <w:rsid w:val="002529A5"/>
    <w:rsid w:val="0025386E"/>
    <w:rsid w:val="002577C4"/>
    <w:rsid w:val="002638B0"/>
    <w:rsid w:val="00263C6F"/>
    <w:rsid w:val="0026647A"/>
    <w:rsid w:val="002668D3"/>
    <w:rsid w:val="00271C49"/>
    <w:rsid w:val="0027299F"/>
    <w:rsid w:val="00273F9A"/>
    <w:rsid w:val="00284EBE"/>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E5655"/>
    <w:rsid w:val="002F1956"/>
    <w:rsid w:val="002F1F3A"/>
    <w:rsid w:val="002F3440"/>
    <w:rsid w:val="002F5B72"/>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5143B"/>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832"/>
    <w:rsid w:val="003E0B16"/>
    <w:rsid w:val="003E67D1"/>
    <w:rsid w:val="00403FEE"/>
    <w:rsid w:val="00404329"/>
    <w:rsid w:val="004055DC"/>
    <w:rsid w:val="00405DC1"/>
    <w:rsid w:val="004077D9"/>
    <w:rsid w:val="00415F1F"/>
    <w:rsid w:val="00420267"/>
    <w:rsid w:val="0042108F"/>
    <w:rsid w:val="0042466C"/>
    <w:rsid w:val="00430213"/>
    <w:rsid w:val="00430FED"/>
    <w:rsid w:val="00434A8C"/>
    <w:rsid w:val="00437297"/>
    <w:rsid w:val="00441C28"/>
    <w:rsid w:val="00444284"/>
    <w:rsid w:val="00445CE6"/>
    <w:rsid w:val="00452C6A"/>
    <w:rsid w:val="004534C2"/>
    <w:rsid w:val="0045446F"/>
    <w:rsid w:val="0045683E"/>
    <w:rsid w:val="00470B1C"/>
    <w:rsid w:val="004718E5"/>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B608D"/>
    <w:rsid w:val="004C0A05"/>
    <w:rsid w:val="004D1A5A"/>
    <w:rsid w:val="004D2C62"/>
    <w:rsid w:val="004D2FFF"/>
    <w:rsid w:val="004D3721"/>
    <w:rsid w:val="004D64F9"/>
    <w:rsid w:val="004E3A6B"/>
    <w:rsid w:val="004E622C"/>
    <w:rsid w:val="004F50CD"/>
    <w:rsid w:val="004F5FDF"/>
    <w:rsid w:val="00501270"/>
    <w:rsid w:val="0051457B"/>
    <w:rsid w:val="005177FE"/>
    <w:rsid w:val="005214A4"/>
    <w:rsid w:val="0052263B"/>
    <w:rsid w:val="00524728"/>
    <w:rsid w:val="005331CA"/>
    <w:rsid w:val="00537970"/>
    <w:rsid w:val="00540E3A"/>
    <w:rsid w:val="00544127"/>
    <w:rsid w:val="00544221"/>
    <w:rsid w:val="005463A9"/>
    <w:rsid w:val="00550040"/>
    <w:rsid w:val="00553EB2"/>
    <w:rsid w:val="00555B45"/>
    <w:rsid w:val="0055645B"/>
    <w:rsid w:val="00560534"/>
    <w:rsid w:val="0056391B"/>
    <w:rsid w:val="005650E2"/>
    <w:rsid w:val="00567AD7"/>
    <w:rsid w:val="00574E7A"/>
    <w:rsid w:val="00575B2D"/>
    <w:rsid w:val="005833D0"/>
    <w:rsid w:val="005838DD"/>
    <w:rsid w:val="005846F3"/>
    <w:rsid w:val="0058622F"/>
    <w:rsid w:val="00590CB3"/>
    <w:rsid w:val="00591924"/>
    <w:rsid w:val="00592F82"/>
    <w:rsid w:val="00593141"/>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0EDB"/>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670EF"/>
    <w:rsid w:val="00677AEB"/>
    <w:rsid w:val="00680EF2"/>
    <w:rsid w:val="00687A1D"/>
    <w:rsid w:val="006906CA"/>
    <w:rsid w:val="00697EA1"/>
    <w:rsid w:val="006A1258"/>
    <w:rsid w:val="006A2646"/>
    <w:rsid w:val="006A4CB4"/>
    <w:rsid w:val="006A6530"/>
    <w:rsid w:val="006A746A"/>
    <w:rsid w:val="006B435A"/>
    <w:rsid w:val="006B4C64"/>
    <w:rsid w:val="006B7398"/>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50E5"/>
    <w:rsid w:val="00737470"/>
    <w:rsid w:val="00740DAD"/>
    <w:rsid w:val="007425B0"/>
    <w:rsid w:val="007603F5"/>
    <w:rsid w:val="00764DB0"/>
    <w:rsid w:val="0076764D"/>
    <w:rsid w:val="007738BF"/>
    <w:rsid w:val="0077498C"/>
    <w:rsid w:val="007809BC"/>
    <w:rsid w:val="00780BB5"/>
    <w:rsid w:val="00784128"/>
    <w:rsid w:val="00787BCC"/>
    <w:rsid w:val="00791705"/>
    <w:rsid w:val="0079290D"/>
    <w:rsid w:val="00793173"/>
    <w:rsid w:val="00794A92"/>
    <w:rsid w:val="007A0DEF"/>
    <w:rsid w:val="007A1CB6"/>
    <w:rsid w:val="007A2A33"/>
    <w:rsid w:val="007A3E96"/>
    <w:rsid w:val="007B0693"/>
    <w:rsid w:val="007B5C89"/>
    <w:rsid w:val="007B5E5A"/>
    <w:rsid w:val="007C1FCC"/>
    <w:rsid w:val="007C6201"/>
    <w:rsid w:val="007D7C92"/>
    <w:rsid w:val="007E1154"/>
    <w:rsid w:val="007E6BA4"/>
    <w:rsid w:val="007F41F8"/>
    <w:rsid w:val="007F4308"/>
    <w:rsid w:val="007F659B"/>
    <w:rsid w:val="0080454E"/>
    <w:rsid w:val="00804C32"/>
    <w:rsid w:val="00806302"/>
    <w:rsid w:val="00807119"/>
    <w:rsid w:val="00815328"/>
    <w:rsid w:val="0082483F"/>
    <w:rsid w:val="008279C0"/>
    <w:rsid w:val="00841D99"/>
    <w:rsid w:val="00842BF8"/>
    <w:rsid w:val="00846C93"/>
    <w:rsid w:val="00854A2D"/>
    <w:rsid w:val="00864D42"/>
    <w:rsid w:val="00867701"/>
    <w:rsid w:val="008723F3"/>
    <w:rsid w:val="00876F56"/>
    <w:rsid w:val="00881DE6"/>
    <w:rsid w:val="008837A6"/>
    <w:rsid w:val="0089145D"/>
    <w:rsid w:val="00896196"/>
    <w:rsid w:val="008A4DF2"/>
    <w:rsid w:val="008A6CFE"/>
    <w:rsid w:val="008B5333"/>
    <w:rsid w:val="008B55AE"/>
    <w:rsid w:val="008B6223"/>
    <w:rsid w:val="008C4CD6"/>
    <w:rsid w:val="008C66E0"/>
    <w:rsid w:val="008E3339"/>
    <w:rsid w:val="008F20FC"/>
    <w:rsid w:val="008F5FFE"/>
    <w:rsid w:val="00905A43"/>
    <w:rsid w:val="00912C79"/>
    <w:rsid w:val="00920BED"/>
    <w:rsid w:val="00921B8C"/>
    <w:rsid w:val="00925042"/>
    <w:rsid w:val="00933BFD"/>
    <w:rsid w:val="00934868"/>
    <w:rsid w:val="00942123"/>
    <w:rsid w:val="0095207B"/>
    <w:rsid w:val="00962045"/>
    <w:rsid w:val="009666E1"/>
    <w:rsid w:val="0096734E"/>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C5A3C"/>
    <w:rsid w:val="009D0811"/>
    <w:rsid w:val="009D0EE1"/>
    <w:rsid w:val="009E2AEB"/>
    <w:rsid w:val="009E2E27"/>
    <w:rsid w:val="009E45DF"/>
    <w:rsid w:val="009E4DE3"/>
    <w:rsid w:val="009F275E"/>
    <w:rsid w:val="00A047EE"/>
    <w:rsid w:val="00A17BCF"/>
    <w:rsid w:val="00A20CED"/>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3F6"/>
    <w:rsid w:val="00AD4BE8"/>
    <w:rsid w:val="00AD500F"/>
    <w:rsid w:val="00AF228E"/>
    <w:rsid w:val="00B016A8"/>
    <w:rsid w:val="00B02C56"/>
    <w:rsid w:val="00B0361C"/>
    <w:rsid w:val="00B1362E"/>
    <w:rsid w:val="00B13B14"/>
    <w:rsid w:val="00B14819"/>
    <w:rsid w:val="00B15E2F"/>
    <w:rsid w:val="00B17AA9"/>
    <w:rsid w:val="00B36923"/>
    <w:rsid w:val="00B36CAF"/>
    <w:rsid w:val="00B44713"/>
    <w:rsid w:val="00B51B95"/>
    <w:rsid w:val="00B56103"/>
    <w:rsid w:val="00B64929"/>
    <w:rsid w:val="00B736DF"/>
    <w:rsid w:val="00B743D6"/>
    <w:rsid w:val="00B74FBD"/>
    <w:rsid w:val="00B75D8B"/>
    <w:rsid w:val="00B77F46"/>
    <w:rsid w:val="00B82586"/>
    <w:rsid w:val="00B829A3"/>
    <w:rsid w:val="00B86DB1"/>
    <w:rsid w:val="00B87869"/>
    <w:rsid w:val="00B9639B"/>
    <w:rsid w:val="00BA1E4F"/>
    <w:rsid w:val="00BA7E39"/>
    <w:rsid w:val="00BB0F2B"/>
    <w:rsid w:val="00BC285B"/>
    <w:rsid w:val="00BC52FB"/>
    <w:rsid w:val="00BE471B"/>
    <w:rsid w:val="00BE4FF3"/>
    <w:rsid w:val="00BF50F7"/>
    <w:rsid w:val="00C02F29"/>
    <w:rsid w:val="00C04A11"/>
    <w:rsid w:val="00C10B1A"/>
    <w:rsid w:val="00C17718"/>
    <w:rsid w:val="00C20AFE"/>
    <w:rsid w:val="00C22A25"/>
    <w:rsid w:val="00C35405"/>
    <w:rsid w:val="00C35671"/>
    <w:rsid w:val="00C35B77"/>
    <w:rsid w:val="00C376EB"/>
    <w:rsid w:val="00C4578D"/>
    <w:rsid w:val="00C46A92"/>
    <w:rsid w:val="00C46EC1"/>
    <w:rsid w:val="00C47BCE"/>
    <w:rsid w:val="00C52796"/>
    <w:rsid w:val="00C53E2C"/>
    <w:rsid w:val="00C54FEF"/>
    <w:rsid w:val="00C550C8"/>
    <w:rsid w:val="00C55824"/>
    <w:rsid w:val="00C564D3"/>
    <w:rsid w:val="00C56B61"/>
    <w:rsid w:val="00C606C3"/>
    <w:rsid w:val="00C620F4"/>
    <w:rsid w:val="00C72848"/>
    <w:rsid w:val="00C7736C"/>
    <w:rsid w:val="00C82D87"/>
    <w:rsid w:val="00C830EE"/>
    <w:rsid w:val="00C83210"/>
    <w:rsid w:val="00C8712A"/>
    <w:rsid w:val="00C902C8"/>
    <w:rsid w:val="00C919D1"/>
    <w:rsid w:val="00C94B13"/>
    <w:rsid w:val="00C94C09"/>
    <w:rsid w:val="00C963D3"/>
    <w:rsid w:val="00CB1983"/>
    <w:rsid w:val="00CB2CBB"/>
    <w:rsid w:val="00CB7CAC"/>
    <w:rsid w:val="00CC3322"/>
    <w:rsid w:val="00CC5335"/>
    <w:rsid w:val="00CC5BA4"/>
    <w:rsid w:val="00CD4998"/>
    <w:rsid w:val="00CE1035"/>
    <w:rsid w:val="00CE6E50"/>
    <w:rsid w:val="00CF03DA"/>
    <w:rsid w:val="00CF2819"/>
    <w:rsid w:val="00CF4516"/>
    <w:rsid w:val="00CF4F9D"/>
    <w:rsid w:val="00CF70DC"/>
    <w:rsid w:val="00D148DC"/>
    <w:rsid w:val="00D16411"/>
    <w:rsid w:val="00D16A6F"/>
    <w:rsid w:val="00D17FDC"/>
    <w:rsid w:val="00D21D8C"/>
    <w:rsid w:val="00D449F8"/>
    <w:rsid w:val="00D53719"/>
    <w:rsid w:val="00D60FDB"/>
    <w:rsid w:val="00D63EFD"/>
    <w:rsid w:val="00D71B9C"/>
    <w:rsid w:val="00D84752"/>
    <w:rsid w:val="00D85E00"/>
    <w:rsid w:val="00D861BE"/>
    <w:rsid w:val="00D86B3B"/>
    <w:rsid w:val="00D8748A"/>
    <w:rsid w:val="00D93196"/>
    <w:rsid w:val="00DA0DC0"/>
    <w:rsid w:val="00DB243C"/>
    <w:rsid w:val="00DB482A"/>
    <w:rsid w:val="00DB50FB"/>
    <w:rsid w:val="00DB5585"/>
    <w:rsid w:val="00DB56F2"/>
    <w:rsid w:val="00DB6EF5"/>
    <w:rsid w:val="00DC3089"/>
    <w:rsid w:val="00DC4420"/>
    <w:rsid w:val="00DC4FBB"/>
    <w:rsid w:val="00DC7F76"/>
    <w:rsid w:val="00DD0802"/>
    <w:rsid w:val="00DD2E11"/>
    <w:rsid w:val="00DE03AF"/>
    <w:rsid w:val="00DE121C"/>
    <w:rsid w:val="00DE6633"/>
    <w:rsid w:val="00DF141D"/>
    <w:rsid w:val="00DF63CF"/>
    <w:rsid w:val="00DF75F8"/>
    <w:rsid w:val="00DF7A3A"/>
    <w:rsid w:val="00DF7FB9"/>
    <w:rsid w:val="00E00C00"/>
    <w:rsid w:val="00E01109"/>
    <w:rsid w:val="00E07C5A"/>
    <w:rsid w:val="00E12372"/>
    <w:rsid w:val="00E15BA9"/>
    <w:rsid w:val="00E26E19"/>
    <w:rsid w:val="00E26E8C"/>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31A4"/>
    <w:rsid w:val="00EC441F"/>
    <w:rsid w:val="00EC4755"/>
    <w:rsid w:val="00ED0BC4"/>
    <w:rsid w:val="00ED447D"/>
    <w:rsid w:val="00EE4971"/>
    <w:rsid w:val="00EE6CB0"/>
    <w:rsid w:val="00EF090E"/>
    <w:rsid w:val="00EF5572"/>
    <w:rsid w:val="00F01639"/>
    <w:rsid w:val="00F033DA"/>
    <w:rsid w:val="00F06F14"/>
    <w:rsid w:val="00F13691"/>
    <w:rsid w:val="00F13FB1"/>
    <w:rsid w:val="00F2527A"/>
    <w:rsid w:val="00F27CD8"/>
    <w:rsid w:val="00F30351"/>
    <w:rsid w:val="00F3323E"/>
    <w:rsid w:val="00F341F4"/>
    <w:rsid w:val="00F34F9D"/>
    <w:rsid w:val="00F35CCE"/>
    <w:rsid w:val="00F40BFD"/>
    <w:rsid w:val="00F5524B"/>
    <w:rsid w:val="00F60538"/>
    <w:rsid w:val="00F61DD2"/>
    <w:rsid w:val="00F66AFF"/>
    <w:rsid w:val="00F71433"/>
    <w:rsid w:val="00F81709"/>
    <w:rsid w:val="00F83703"/>
    <w:rsid w:val="00F97C5B"/>
    <w:rsid w:val="00FA18BE"/>
    <w:rsid w:val="00FA3D50"/>
    <w:rsid w:val="00FB7FBD"/>
    <w:rsid w:val="00FC374A"/>
    <w:rsid w:val="00FC4B6E"/>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2959</Words>
  <Characters>16870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19790</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David Burdette</cp:lastModifiedBy>
  <cp:revision>2</cp:revision>
  <cp:lastPrinted>2019-08-27T05:42:00Z</cp:lastPrinted>
  <dcterms:created xsi:type="dcterms:W3CDTF">2022-08-08T06:54:00Z</dcterms:created>
  <dcterms:modified xsi:type="dcterms:W3CDTF">2022-08-08T06:54:00Z</dcterms:modified>
  <cp:category>LMV-N-248-V1</cp:category>
</cp:coreProperties>
</file>