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A11FB6">
        <w:rPr>
          <w:rFonts w:ascii="Arial" w:hAnsi="Arial" w:cs="Arial"/>
          <w:sz w:val="22"/>
          <w:szCs w:val="22"/>
          <w:highlight w:val="yellow"/>
          <w:lang w:val="en-GB"/>
        </w:rPr>
        <w:t>a</w:t>
      </w:r>
      <w:r w:rsidR="00286642" w:rsidRPr="00A11FB6">
        <w:rPr>
          <w:rFonts w:ascii="Arial" w:hAnsi="Arial" w:cs="Arial"/>
          <w:sz w:val="22"/>
          <w:szCs w:val="22"/>
          <w:highlight w:val="yellow"/>
          <w:lang w:val="en-GB"/>
        </w:rPr>
        <w:t>ny of the above</w:t>
      </w:r>
      <w:r w:rsidRPr="00E76657">
        <w:rPr>
          <w:rFonts w:ascii="Arial" w:hAnsi="Arial" w:cs="Arial"/>
          <w:sz w:val="22"/>
          <w:szCs w:val="22"/>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FF6B5F" w:rsidRDefault="005D093D" w:rsidP="009578F6">
      <w:pPr>
        <w:pStyle w:val="ListParagraph"/>
        <w:numPr>
          <w:ilvl w:val="0"/>
          <w:numId w:val="6"/>
        </w:numPr>
        <w:ind w:left="426"/>
        <w:jc w:val="both"/>
        <w:rPr>
          <w:rFonts w:ascii="Arial" w:hAnsi="Arial" w:cs="Arial"/>
          <w:sz w:val="22"/>
          <w:szCs w:val="22"/>
          <w:highlight w:val="yellow"/>
          <w:lang w:val="en-GB"/>
        </w:rPr>
      </w:pPr>
      <w:r w:rsidRPr="00FF6B5F">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FF6B5F" w:rsidRDefault="00B81F6E" w:rsidP="006F4751">
      <w:pPr>
        <w:pStyle w:val="ListParagraph"/>
        <w:numPr>
          <w:ilvl w:val="1"/>
          <w:numId w:val="7"/>
        </w:numPr>
        <w:ind w:left="426"/>
        <w:jc w:val="both"/>
        <w:rPr>
          <w:rFonts w:ascii="Arial" w:hAnsi="Arial" w:cs="Arial"/>
          <w:sz w:val="22"/>
          <w:szCs w:val="22"/>
          <w:highlight w:val="yellow"/>
          <w:lang w:val="en-GB"/>
        </w:rPr>
      </w:pPr>
      <w:r w:rsidRPr="00FF6B5F">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CC1439" w:rsidRDefault="00FE53A3" w:rsidP="009578F6">
      <w:pPr>
        <w:pStyle w:val="ListParagraph"/>
        <w:numPr>
          <w:ilvl w:val="0"/>
          <w:numId w:val="8"/>
        </w:numPr>
        <w:ind w:left="426"/>
        <w:jc w:val="both"/>
        <w:rPr>
          <w:rFonts w:ascii="Arial" w:hAnsi="Arial" w:cs="Arial"/>
          <w:sz w:val="22"/>
          <w:szCs w:val="22"/>
          <w:highlight w:val="yellow"/>
          <w:lang w:val="en-GB"/>
        </w:rPr>
      </w:pPr>
      <w:r w:rsidRPr="00CC143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CC1439" w:rsidRDefault="0041438F" w:rsidP="009578F6">
      <w:pPr>
        <w:pStyle w:val="ListParagraph"/>
        <w:numPr>
          <w:ilvl w:val="0"/>
          <w:numId w:val="9"/>
        </w:numPr>
        <w:ind w:left="426"/>
        <w:jc w:val="both"/>
        <w:rPr>
          <w:rFonts w:ascii="Arial" w:hAnsi="Arial" w:cs="Arial"/>
          <w:sz w:val="22"/>
          <w:szCs w:val="22"/>
          <w:highlight w:val="yellow"/>
          <w:lang w:val="en-GB"/>
        </w:rPr>
      </w:pPr>
      <w:r w:rsidRPr="00CC1439">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CC1439" w:rsidRDefault="006F4751" w:rsidP="009578F6">
      <w:pPr>
        <w:pStyle w:val="ListParagraph"/>
        <w:numPr>
          <w:ilvl w:val="0"/>
          <w:numId w:val="10"/>
        </w:numPr>
        <w:ind w:left="426"/>
        <w:jc w:val="both"/>
        <w:rPr>
          <w:rFonts w:ascii="Arial" w:hAnsi="Arial" w:cs="Arial"/>
          <w:sz w:val="22"/>
          <w:szCs w:val="22"/>
          <w:highlight w:val="yellow"/>
          <w:lang w:val="en-GB"/>
        </w:rPr>
      </w:pPr>
      <w:r w:rsidRPr="00CC1439">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B37538"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B37538">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33E5D" w:rsidRDefault="00B22016" w:rsidP="00B22016">
      <w:pPr>
        <w:pStyle w:val="ListParagraph"/>
        <w:numPr>
          <w:ilvl w:val="1"/>
          <w:numId w:val="14"/>
        </w:numPr>
        <w:ind w:left="426"/>
        <w:jc w:val="both"/>
        <w:rPr>
          <w:rFonts w:ascii="Arial" w:hAnsi="Arial" w:cs="Arial"/>
          <w:sz w:val="22"/>
          <w:szCs w:val="22"/>
          <w:highlight w:val="yellow"/>
          <w:lang w:val="en-GB"/>
        </w:rPr>
      </w:pPr>
      <w:r w:rsidRPr="00933E5D">
        <w:rPr>
          <w:rFonts w:ascii="Arial" w:hAnsi="Arial" w:cs="Arial"/>
          <w:sz w:val="22"/>
          <w:szCs w:val="22"/>
          <w:highlight w:val="yellow"/>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E76657">
        <w:rPr>
          <w:rFonts w:ascii="Arial" w:hAnsi="Arial" w:cs="Arial"/>
          <w:sz w:val="22"/>
          <w:szCs w:val="22"/>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24266" w:rsidRDefault="005D54B3" w:rsidP="005D54B3">
      <w:pPr>
        <w:pStyle w:val="ListParagraph"/>
        <w:numPr>
          <w:ilvl w:val="0"/>
          <w:numId w:val="15"/>
        </w:numPr>
        <w:ind w:left="426"/>
        <w:jc w:val="both"/>
        <w:rPr>
          <w:rFonts w:ascii="Arial" w:hAnsi="Arial" w:cs="Arial"/>
          <w:sz w:val="22"/>
          <w:szCs w:val="22"/>
          <w:highlight w:val="yellow"/>
          <w:lang w:val="en-GB"/>
        </w:rPr>
      </w:pPr>
      <w:r w:rsidRPr="00224266">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24266" w:rsidRDefault="009578F6" w:rsidP="009578F6">
      <w:pPr>
        <w:pStyle w:val="ListParagraph"/>
        <w:numPr>
          <w:ilvl w:val="0"/>
          <w:numId w:val="18"/>
        </w:numPr>
        <w:ind w:left="426"/>
        <w:jc w:val="both"/>
        <w:rPr>
          <w:rFonts w:ascii="Arial" w:hAnsi="Arial" w:cs="Arial"/>
          <w:sz w:val="22"/>
          <w:szCs w:val="22"/>
          <w:highlight w:val="yellow"/>
          <w:lang w:val="en-GB"/>
        </w:rPr>
      </w:pPr>
      <w:r w:rsidRPr="0022426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DB63208" w:rsidR="003C10EB" w:rsidRDefault="00933E5D"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jurisdictional requirements are that the debtor must be:</w:t>
      </w:r>
    </w:p>
    <w:p w14:paraId="11AA3D0B" w14:textId="159DE602" w:rsidR="00933E5D" w:rsidRDefault="00933E5D" w:rsidP="00933E5D">
      <w:pPr>
        <w:pStyle w:val="ListParagraph"/>
        <w:numPr>
          <w:ilvl w:val="0"/>
          <w:numId w:val="28"/>
        </w:numPr>
        <w:jc w:val="both"/>
        <w:rPr>
          <w:rFonts w:ascii="Arial" w:hAnsi="Arial" w:cs="Arial"/>
          <w:sz w:val="22"/>
          <w:szCs w:val="22"/>
        </w:rPr>
      </w:pPr>
      <w:r>
        <w:rPr>
          <w:rFonts w:ascii="Arial" w:hAnsi="Arial" w:cs="Arial"/>
          <w:sz w:val="22"/>
          <w:szCs w:val="22"/>
        </w:rPr>
        <w:t xml:space="preserve">An individual </w:t>
      </w:r>
    </w:p>
    <w:p w14:paraId="658DA1FB" w14:textId="1FE2976C" w:rsidR="00933E5D" w:rsidRDefault="00933E5D" w:rsidP="00933E5D">
      <w:pPr>
        <w:pStyle w:val="ListParagraph"/>
        <w:numPr>
          <w:ilvl w:val="0"/>
          <w:numId w:val="28"/>
        </w:numPr>
        <w:jc w:val="both"/>
        <w:rPr>
          <w:rFonts w:ascii="Arial" w:hAnsi="Arial" w:cs="Arial"/>
          <w:sz w:val="22"/>
          <w:szCs w:val="22"/>
        </w:rPr>
      </w:pPr>
      <w:r>
        <w:rPr>
          <w:rFonts w:ascii="Arial" w:hAnsi="Arial" w:cs="Arial"/>
          <w:sz w:val="22"/>
          <w:szCs w:val="22"/>
        </w:rPr>
        <w:t>Be domiciled in Hong Kong</w:t>
      </w:r>
    </w:p>
    <w:p w14:paraId="52D7C7E6" w14:textId="5F40E511" w:rsidR="00933E5D" w:rsidRDefault="00933E5D" w:rsidP="00933E5D">
      <w:pPr>
        <w:pStyle w:val="ListParagraph"/>
        <w:numPr>
          <w:ilvl w:val="0"/>
          <w:numId w:val="28"/>
        </w:numPr>
        <w:jc w:val="both"/>
        <w:rPr>
          <w:rFonts w:ascii="Arial" w:hAnsi="Arial" w:cs="Arial"/>
          <w:sz w:val="22"/>
          <w:szCs w:val="22"/>
        </w:rPr>
      </w:pPr>
      <w:r>
        <w:rPr>
          <w:rFonts w:ascii="Arial" w:hAnsi="Arial" w:cs="Arial"/>
          <w:sz w:val="22"/>
          <w:szCs w:val="22"/>
        </w:rPr>
        <w:t>Be personally present in Hong Kong on the day on which the petition is presented or</w:t>
      </w:r>
    </w:p>
    <w:p w14:paraId="57A0B2BD" w14:textId="5FDA01E4" w:rsidR="00933E5D" w:rsidRPr="00933E5D" w:rsidRDefault="00933E5D" w:rsidP="00933E5D">
      <w:pPr>
        <w:pStyle w:val="ListParagraph"/>
        <w:numPr>
          <w:ilvl w:val="0"/>
          <w:numId w:val="28"/>
        </w:numPr>
        <w:jc w:val="both"/>
        <w:rPr>
          <w:rFonts w:ascii="Arial" w:hAnsi="Arial" w:cs="Arial"/>
          <w:sz w:val="22"/>
          <w:szCs w:val="22"/>
        </w:rPr>
      </w:pPr>
      <w:r>
        <w:rPr>
          <w:rFonts w:ascii="Arial" w:hAnsi="Arial" w:cs="Arial"/>
          <w:sz w:val="22"/>
          <w:szCs w:val="22"/>
        </w:rPr>
        <w:t xml:space="preserve">At the time in the period of 3 years ending at that day (i) have been ordinarily resident or have had  place of resident in Hong Kong or (ii) have carried on business in Hong Kong.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21FD3FC6" w:rsidR="003C10EB" w:rsidRDefault="00933E5D"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3 core requirements:</w:t>
      </w:r>
    </w:p>
    <w:p w14:paraId="0B844C4D" w14:textId="44CA0522" w:rsidR="00933E5D" w:rsidRDefault="00933E5D" w:rsidP="003C10EB">
      <w:pPr>
        <w:ind w:left="720" w:hanging="720"/>
        <w:jc w:val="both"/>
        <w:rPr>
          <w:rFonts w:ascii="Arial" w:hAnsi="Arial" w:cs="Arial"/>
          <w:color w:val="7B7B7B" w:themeColor="accent3" w:themeShade="BF"/>
          <w:sz w:val="22"/>
          <w:szCs w:val="22"/>
        </w:rPr>
      </w:pPr>
    </w:p>
    <w:p w14:paraId="1533B029" w14:textId="21BC41CD" w:rsidR="00933E5D" w:rsidRDefault="00933E5D" w:rsidP="00933E5D">
      <w:pPr>
        <w:pStyle w:val="ListParagraph"/>
        <w:numPr>
          <w:ilvl w:val="0"/>
          <w:numId w:val="29"/>
        </w:numPr>
        <w:jc w:val="both"/>
        <w:rPr>
          <w:rFonts w:ascii="Arial" w:hAnsi="Arial" w:cs="Arial"/>
          <w:sz w:val="22"/>
          <w:szCs w:val="22"/>
        </w:rPr>
      </w:pPr>
      <w:r>
        <w:rPr>
          <w:rFonts w:ascii="Arial" w:hAnsi="Arial" w:cs="Arial"/>
          <w:sz w:val="22"/>
          <w:szCs w:val="22"/>
        </w:rPr>
        <w:t>A sufficient connection with Hong Kong. This is not necessarily the presence of assets within the jurisdiction;</w:t>
      </w:r>
    </w:p>
    <w:p w14:paraId="4E35153C" w14:textId="0527CF24" w:rsidR="00933E5D" w:rsidRDefault="00933E5D" w:rsidP="00933E5D">
      <w:pPr>
        <w:pStyle w:val="ListParagraph"/>
        <w:numPr>
          <w:ilvl w:val="0"/>
          <w:numId w:val="29"/>
        </w:numPr>
        <w:jc w:val="both"/>
        <w:rPr>
          <w:rFonts w:ascii="Arial" w:hAnsi="Arial" w:cs="Arial"/>
          <w:sz w:val="22"/>
          <w:szCs w:val="22"/>
        </w:rPr>
      </w:pPr>
      <w:r>
        <w:rPr>
          <w:rFonts w:ascii="Arial" w:hAnsi="Arial" w:cs="Arial"/>
          <w:sz w:val="22"/>
          <w:szCs w:val="22"/>
        </w:rPr>
        <w:t>A reasonable possibility that the winding up order would benefit the applicant; and</w:t>
      </w:r>
    </w:p>
    <w:p w14:paraId="6342403D" w14:textId="1A8E6F19" w:rsidR="00933E5D" w:rsidRDefault="00933E5D" w:rsidP="00933E5D">
      <w:pPr>
        <w:pStyle w:val="ListParagraph"/>
        <w:numPr>
          <w:ilvl w:val="0"/>
          <w:numId w:val="29"/>
        </w:numPr>
        <w:jc w:val="both"/>
        <w:rPr>
          <w:rFonts w:ascii="Arial" w:hAnsi="Arial" w:cs="Arial"/>
          <w:sz w:val="22"/>
          <w:szCs w:val="22"/>
        </w:rPr>
      </w:pPr>
      <w:r>
        <w:rPr>
          <w:rFonts w:ascii="Arial" w:hAnsi="Arial" w:cs="Arial"/>
          <w:sz w:val="22"/>
          <w:szCs w:val="22"/>
        </w:rPr>
        <w:t xml:space="preserve">The court would be able to exercise its jurisdiction over one or more persons interested in the distribution of the company’s assets. </w:t>
      </w:r>
    </w:p>
    <w:p w14:paraId="6548E3D4" w14:textId="4E8DE0B1" w:rsidR="00933E5D" w:rsidRDefault="00933E5D" w:rsidP="00933E5D">
      <w:pPr>
        <w:jc w:val="both"/>
        <w:rPr>
          <w:rFonts w:ascii="Arial" w:hAnsi="Arial" w:cs="Arial"/>
          <w:sz w:val="22"/>
          <w:szCs w:val="22"/>
        </w:rPr>
      </w:pPr>
    </w:p>
    <w:p w14:paraId="33F1BE31" w14:textId="69EAD6B9" w:rsidR="00933E5D" w:rsidRPr="00933E5D" w:rsidRDefault="00933E5D" w:rsidP="00933E5D">
      <w:pPr>
        <w:jc w:val="both"/>
        <w:rPr>
          <w:rFonts w:ascii="Arial" w:hAnsi="Arial" w:cs="Arial"/>
          <w:sz w:val="22"/>
          <w:szCs w:val="22"/>
        </w:rPr>
      </w:pPr>
      <w:r>
        <w:rPr>
          <w:rFonts w:ascii="Arial" w:hAnsi="Arial" w:cs="Arial"/>
          <w:sz w:val="22"/>
          <w:szCs w:val="22"/>
        </w:rPr>
        <w:t>The jurisdiction to wind up a non-</w:t>
      </w:r>
      <w:r w:rsidRPr="00933E5D">
        <w:rPr>
          <w:rFonts w:ascii="Arial" w:hAnsi="Arial" w:cs="Arial"/>
          <w:sz w:val="22"/>
          <w:szCs w:val="22"/>
        </w:rPr>
        <w:t xml:space="preserve"> </w:t>
      </w:r>
      <w:r>
        <w:rPr>
          <w:rFonts w:ascii="Arial" w:hAnsi="Arial" w:cs="Arial"/>
          <w:sz w:val="22"/>
          <w:szCs w:val="22"/>
        </w:rPr>
        <w:t xml:space="preserve">Hong Kong will remain even after the matters giving rise to the original connection cease to exist.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70A9791F" w14:textId="77777777" w:rsidR="00797A94" w:rsidRDefault="00797A94" w:rsidP="00797A94">
      <w:pPr>
        <w:jc w:val="both"/>
        <w:rPr>
          <w:rFonts w:ascii="Arial" w:hAnsi="Arial" w:cs="Arial"/>
          <w:color w:val="7B7B7B" w:themeColor="accent3" w:themeShade="BF"/>
          <w:sz w:val="22"/>
          <w:szCs w:val="22"/>
          <w:lang w:val="en-GB"/>
        </w:rPr>
      </w:pPr>
    </w:p>
    <w:p w14:paraId="47E081C1" w14:textId="2C2917D5" w:rsidR="00797A94" w:rsidRDefault="00933E5D" w:rsidP="00797A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technical terms, a ‘provisional liquidation’ does not exist in </w:t>
      </w:r>
      <w:r>
        <w:rPr>
          <w:rFonts w:ascii="Arial" w:hAnsi="Arial" w:cs="Arial"/>
          <w:sz w:val="22"/>
          <w:szCs w:val="22"/>
        </w:rPr>
        <w:t>Hong Kong</w:t>
      </w:r>
      <w:r w:rsidRPr="005D2CD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law. </w:t>
      </w:r>
      <w:r w:rsidR="00797A94">
        <w:rPr>
          <w:rFonts w:ascii="Arial" w:hAnsi="Arial" w:cs="Arial"/>
          <w:color w:val="7B7B7B" w:themeColor="accent3" w:themeShade="BF"/>
          <w:sz w:val="22"/>
          <w:szCs w:val="22"/>
        </w:rPr>
        <w:t xml:space="preserve">However, the term ‘provisional liquidation’ is used where provisional liquidators have been appointed under section 193 of the CWUMPO. </w:t>
      </w:r>
    </w:p>
    <w:p w14:paraId="3F840877" w14:textId="35AABCE0" w:rsidR="00797A94" w:rsidRDefault="00797A94" w:rsidP="00797A94">
      <w:pPr>
        <w:jc w:val="both"/>
        <w:rPr>
          <w:rFonts w:ascii="Arial" w:hAnsi="Arial" w:cs="Arial"/>
          <w:color w:val="7B7B7B" w:themeColor="accent3" w:themeShade="BF"/>
          <w:sz w:val="22"/>
          <w:szCs w:val="22"/>
        </w:rPr>
      </w:pPr>
    </w:p>
    <w:p w14:paraId="721C9E56" w14:textId="621AD308" w:rsidR="00797A94" w:rsidRDefault="00797A94" w:rsidP="00797A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would be appointed in circumstances where there is a need to preserve assets during the period between the presentation of the petition and the making of a winding up order. There is generally no requirement for the provisional liquidator to realise those assets, unless it is necessary to preserve their value. </w:t>
      </w:r>
    </w:p>
    <w:p w14:paraId="3A1EC01C" w14:textId="378D8F76" w:rsidR="00797A94" w:rsidRDefault="00797A94" w:rsidP="00797A94">
      <w:pPr>
        <w:jc w:val="both"/>
        <w:rPr>
          <w:rFonts w:ascii="Arial" w:hAnsi="Arial" w:cs="Arial"/>
          <w:color w:val="7B7B7B" w:themeColor="accent3" w:themeShade="BF"/>
          <w:sz w:val="22"/>
          <w:szCs w:val="22"/>
        </w:rPr>
      </w:pPr>
    </w:p>
    <w:p w14:paraId="70A54360" w14:textId="77777777" w:rsidR="00797A94" w:rsidRDefault="00797A94" w:rsidP="00797A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to appoint a provisional liquidator can be made any time after the petition has been presented. In some cases, depending on the urgency, it may be made at the same time as the presentation pf the petition. The court will not appoint a private provisional </w:t>
      </w:r>
      <w:r>
        <w:rPr>
          <w:rFonts w:ascii="Arial" w:hAnsi="Arial" w:cs="Arial"/>
          <w:color w:val="7B7B7B" w:themeColor="accent3" w:themeShade="BF"/>
          <w:sz w:val="22"/>
          <w:szCs w:val="22"/>
        </w:rPr>
        <w:lastRenderedPageBreak/>
        <w:t xml:space="preserve">liquidator even if the application is made immediately prior to winding up. The court may, however, appoint provisional liquidators despite the appointment of any voluntary liquidator.  </w:t>
      </w:r>
    </w:p>
    <w:p w14:paraId="3F302A53" w14:textId="77777777" w:rsidR="00797A94" w:rsidRDefault="00797A94" w:rsidP="00797A94">
      <w:pPr>
        <w:jc w:val="both"/>
        <w:rPr>
          <w:rFonts w:ascii="Arial" w:hAnsi="Arial" w:cs="Arial"/>
          <w:color w:val="7B7B7B" w:themeColor="accent3" w:themeShade="BF"/>
          <w:sz w:val="22"/>
          <w:szCs w:val="22"/>
        </w:rPr>
      </w:pP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144E176F" w14:textId="7EA47826" w:rsidR="00567055" w:rsidRDefault="00567055" w:rsidP="004D40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 believe a liquidator will be able to challenge a transaction that is unfairly preferential on the basis that the person receiving the benefit took advantage of the company while it was in or near insolvent. A person connected to the company would be able to have information as to the company’s woes and could have used that to his/her advantage. It is fair for the liquidator to seek to unwind those transactions.  </w:t>
      </w:r>
    </w:p>
    <w:p w14:paraId="78D57CF8" w14:textId="77777777" w:rsidR="00567055" w:rsidRDefault="00567055" w:rsidP="004D400A">
      <w:pPr>
        <w:jc w:val="both"/>
        <w:rPr>
          <w:rFonts w:ascii="Arial" w:hAnsi="Arial" w:cs="Arial"/>
          <w:color w:val="7B7B7B" w:themeColor="accent3" w:themeShade="BF"/>
          <w:sz w:val="22"/>
          <w:szCs w:val="22"/>
        </w:rPr>
      </w:pPr>
    </w:p>
    <w:p w14:paraId="5E7D1D82" w14:textId="03BC5F0F" w:rsidR="009147E7" w:rsidRDefault="004D400A" w:rsidP="004D40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of a company can make an application to set aside unfairly </w:t>
      </w:r>
      <w:r w:rsidR="00567055">
        <w:rPr>
          <w:rFonts w:ascii="Arial" w:hAnsi="Arial" w:cs="Arial"/>
          <w:color w:val="7B7B7B" w:themeColor="accent3" w:themeShade="BF"/>
          <w:sz w:val="22"/>
          <w:szCs w:val="22"/>
        </w:rPr>
        <w:t>preferential</w:t>
      </w:r>
      <w:r>
        <w:rPr>
          <w:rFonts w:ascii="Arial" w:hAnsi="Arial" w:cs="Arial"/>
          <w:color w:val="7B7B7B" w:themeColor="accent3" w:themeShade="BF"/>
          <w:sz w:val="22"/>
          <w:szCs w:val="22"/>
        </w:rPr>
        <w:t xml:space="preserve"> transactions </w:t>
      </w:r>
      <w:r w:rsidR="00567055">
        <w:rPr>
          <w:rFonts w:ascii="Arial" w:hAnsi="Arial" w:cs="Arial"/>
          <w:color w:val="7B7B7B" w:themeColor="accent3" w:themeShade="BF"/>
          <w:sz w:val="22"/>
          <w:szCs w:val="22"/>
        </w:rPr>
        <w:t>in voluntary or compulsory winding ups. This includes t</w:t>
      </w:r>
      <w:r>
        <w:rPr>
          <w:rFonts w:ascii="Arial" w:hAnsi="Arial" w:cs="Arial"/>
          <w:color w:val="7B7B7B" w:themeColor="accent3" w:themeShade="BF"/>
          <w:sz w:val="22"/>
          <w:szCs w:val="22"/>
        </w:rPr>
        <w:t xml:space="preserve">ransactions that occur when the insolvent company acts to place a creditor or guarantor in a better position than it would have been upon the company’s insolvency. The liquidator may take such an action in </w:t>
      </w:r>
      <w:r w:rsidR="00567055">
        <w:rPr>
          <w:rFonts w:ascii="Arial" w:hAnsi="Arial" w:cs="Arial"/>
          <w:color w:val="7B7B7B" w:themeColor="accent3" w:themeShade="BF"/>
          <w:sz w:val="22"/>
          <w:szCs w:val="22"/>
        </w:rPr>
        <w:t xml:space="preserve">relation </w:t>
      </w:r>
      <w:r>
        <w:rPr>
          <w:rFonts w:ascii="Arial" w:hAnsi="Arial" w:cs="Arial"/>
          <w:color w:val="7B7B7B" w:themeColor="accent3" w:themeShade="BF"/>
          <w:sz w:val="22"/>
          <w:szCs w:val="22"/>
        </w:rPr>
        <w:t xml:space="preserve">transactions entered during the 6 months prior to the commencement of winding up or 2 years where the beneficiary under the unfair </w:t>
      </w:r>
      <w:r w:rsidR="009147E7">
        <w:rPr>
          <w:rFonts w:ascii="Arial" w:hAnsi="Arial" w:cs="Arial"/>
          <w:color w:val="7B7B7B" w:themeColor="accent3" w:themeShade="BF"/>
          <w:sz w:val="22"/>
          <w:szCs w:val="22"/>
        </w:rPr>
        <w:t>transaction</w:t>
      </w:r>
      <w:r>
        <w:rPr>
          <w:rFonts w:ascii="Arial" w:hAnsi="Arial" w:cs="Arial"/>
          <w:color w:val="7B7B7B" w:themeColor="accent3" w:themeShade="BF"/>
          <w:sz w:val="22"/>
          <w:szCs w:val="22"/>
        </w:rPr>
        <w:t xml:space="preserve"> was a person connected to the company. These transactions include where there was for example a granting of a security as well as payment </w:t>
      </w:r>
      <w:r w:rsidR="009147E7">
        <w:rPr>
          <w:rFonts w:ascii="Arial" w:hAnsi="Arial" w:cs="Arial"/>
          <w:color w:val="7B7B7B" w:themeColor="accent3" w:themeShade="BF"/>
          <w:sz w:val="22"/>
          <w:szCs w:val="22"/>
        </w:rPr>
        <w:t xml:space="preserve">during that period. </w:t>
      </w:r>
    </w:p>
    <w:p w14:paraId="78894C0C" w14:textId="5FE6D13A" w:rsidR="009147E7" w:rsidRDefault="009147E7" w:rsidP="004D400A">
      <w:pPr>
        <w:jc w:val="both"/>
        <w:rPr>
          <w:rFonts w:ascii="Arial" w:hAnsi="Arial" w:cs="Arial"/>
          <w:color w:val="7B7B7B" w:themeColor="accent3" w:themeShade="BF"/>
          <w:sz w:val="22"/>
          <w:szCs w:val="22"/>
        </w:rPr>
      </w:pPr>
    </w:p>
    <w:p w14:paraId="34F593C9" w14:textId="0A934398" w:rsidR="009147E7" w:rsidRDefault="009147E7" w:rsidP="004D40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will need to show that</w:t>
      </w:r>
    </w:p>
    <w:p w14:paraId="3D8965ED" w14:textId="341943E1" w:rsidR="003C10EB" w:rsidRDefault="004D400A" w:rsidP="004D40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788C79EE" w14:textId="531FD9C7" w:rsidR="004D400A" w:rsidRDefault="009147E7" w:rsidP="004D400A">
      <w:pPr>
        <w:pStyle w:val="ListParagraph"/>
        <w:numPr>
          <w:ilvl w:val="0"/>
          <w:numId w:val="31"/>
        </w:numPr>
        <w:jc w:val="both"/>
        <w:rPr>
          <w:rFonts w:ascii="Arial" w:hAnsi="Arial" w:cs="Arial"/>
          <w:sz w:val="22"/>
          <w:szCs w:val="22"/>
        </w:rPr>
      </w:pPr>
      <w:r>
        <w:rPr>
          <w:rFonts w:ascii="Arial" w:hAnsi="Arial" w:cs="Arial"/>
          <w:sz w:val="22"/>
          <w:szCs w:val="22"/>
        </w:rPr>
        <w:t>At the time the asserted unfair preference was given/ entered into, the insolvent company was unable to pay its debts or became unable to pay its debts as a result of same. This requirement will be presumed where a person connected with the company is on the other side of the transaction – that is, an associate of a director or shadow director of the company;</w:t>
      </w:r>
    </w:p>
    <w:p w14:paraId="7727B5A8" w14:textId="7F7FA8F6" w:rsidR="009147E7" w:rsidRPr="004D400A" w:rsidRDefault="009147E7" w:rsidP="004D400A">
      <w:pPr>
        <w:pStyle w:val="ListParagraph"/>
        <w:numPr>
          <w:ilvl w:val="0"/>
          <w:numId w:val="31"/>
        </w:numPr>
        <w:jc w:val="both"/>
        <w:rPr>
          <w:rFonts w:ascii="Arial" w:hAnsi="Arial" w:cs="Arial"/>
          <w:sz w:val="22"/>
          <w:szCs w:val="22"/>
        </w:rPr>
      </w:pPr>
      <w:r>
        <w:rPr>
          <w:rFonts w:ascii="Arial" w:hAnsi="Arial" w:cs="Arial"/>
          <w:sz w:val="22"/>
          <w:szCs w:val="22"/>
        </w:rPr>
        <w:t xml:space="preserve">The company was influenced by a desire to improve that person’s position in the event of the </w:t>
      </w:r>
      <w:r w:rsidR="00567055">
        <w:rPr>
          <w:rFonts w:ascii="Arial" w:hAnsi="Arial" w:cs="Arial"/>
          <w:sz w:val="22"/>
          <w:szCs w:val="22"/>
        </w:rPr>
        <w:t xml:space="preserve">company going into liquidation. This is difficult to prove, and the transaction will not be set aside unless the company positively wished to improve the creditor’s positon in the event of its own insolvent liquidation and the person does not desire all the necessary consequences of his actions. </w:t>
      </w:r>
    </w:p>
    <w:p w14:paraId="57CBC3D6" w14:textId="3F24D756" w:rsidR="005D446E" w:rsidRPr="009147E7" w:rsidRDefault="005D446E" w:rsidP="00E14FA7">
      <w:pPr>
        <w:jc w:val="both"/>
        <w:rPr>
          <w:rFonts w:ascii="Arial" w:hAnsi="Arial" w:cs="Arial"/>
          <w:color w:val="808080" w:themeColor="background1" w:themeShade="80"/>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70CC5179" w14:textId="60B8086D" w:rsidR="004D400A" w:rsidRPr="004D400A" w:rsidRDefault="004D400A" w:rsidP="00A32290">
      <w:pPr>
        <w:jc w:val="both"/>
        <w:rPr>
          <w:rFonts w:ascii="Arial" w:hAnsi="Arial" w:cs="Arial"/>
          <w:color w:val="7F7F7F" w:themeColor="text1" w:themeTint="80"/>
          <w:sz w:val="22"/>
          <w:szCs w:val="22"/>
        </w:rPr>
      </w:pPr>
      <w:r w:rsidRPr="004D400A">
        <w:rPr>
          <w:rFonts w:ascii="Arial" w:hAnsi="Arial" w:cs="Arial"/>
          <w:color w:val="7F7F7F" w:themeColor="text1" w:themeTint="80"/>
          <w:sz w:val="22"/>
          <w:szCs w:val="22"/>
        </w:rPr>
        <w:t xml:space="preserve">Although Hong Kong is a part of the PRC, it retains a level of autonomy as a Special Administrative Region of the PRC. Laws in force as at 30 June 1997 continued to apply in Hong Kong after the Handover from the UK to the PRC. </w:t>
      </w:r>
      <w:r>
        <w:rPr>
          <w:rFonts w:ascii="Arial" w:hAnsi="Arial" w:cs="Arial"/>
          <w:color w:val="7F7F7F" w:themeColor="text1" w:themeTint="80"/>
          <w:sz w:val="22"/>
          <w:szCs w:val="22"/>
        </w:rPr>
        <w:t xml:space="preserve">Therefore, although it is one country, different rules may apply in some areas of the law. </w:t>
      </w:r>
    </w:p>
    <w:p w14:paraId="6A413CEE" w14:textId="77777777" w:rsidR="004D400A" w:rsidRDefault="004D400A" w:rsidP="00A32290">
      <w:pPr>
        <w:jc w:val="both"/>
        <w:rPr>
          <w:rFonts w:ascii="Arial" w:hAnsi="Arial" w:cs="Arial"/>
          <w:sz w:val="22"/>
          <w:szCs w:val="22"/>
        </w:rPr>
      </w:pPr>
    </w:p>
    <w:p w14:paraId="4770C733" w14:textId="432EADBF" w:rsidR="003C10EB" w:rsidRPr="001F4019" w:rsidRDefault="00A32290" w:rsidP="00A32290">
      <w:p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 xml:space="preserve">Hong Kong has no formal requirements for cross-border insolvency, save for provisions for winding up of non-Hog Kong companies. In May 2021, however, Hong Kong and certain areas of the Mainland entered into a new arrangement, which provide mechanisms for Hong </w:t>
      </w:r>
      <w:r w:rsidRPr="001F4019">
        <w:rPr>
          <w:rFonts w:ascii="Arial" w:hAnsi="Arial" w:cs="Arial"/>
          <w:color w:val="808080" w:themeColor="background1" w:themeShade="80"/>
          <w:sz w:val="22"/>
          <w:szCs w:val="22"/>
        </w:rPr>
        <w:lastRenderedPageBreak/>
        <w:t xml:space="preserve">Kong insolvency officeholders to obtain recognition and assistance in certain areas in Mainland, and for insolvency office holders in the Mainland to obtain recognition and assistance in Hong Kong. </w:t>
      </w:r>
    </w:p>
    <w:p w14:paraId="26ADC545" w14:textId="75C54ACC" w:rsidR="00A32290" w:rsidRPr="001F4019" w:rsidRDefault="00A32290" w:rsidP="00A32290">
      <w:pPr>
        <w:jc w:val="both"/>
        <w:rPr>
          <w:rFonts w:ascii="Arial" w:hAnsi="Arial" w:cs="Arial"/>
          <w:color w:val="808080" w:themeColor="background1" w:themeShade="80"/>
          <w:sz w:val="22"/>
          <w:szCs w:val="22"/>
        </w:rPr>
      </w:pPr>
    </w:p>
    <w:p w14:paraId="2CD35AC3" w14:textId="0CB829E7" w:rsidR="00A32290" w:rsidRPr="001F4019" w:rsidRDefault="00210115" w:rsidP="00A32290">
      <w:p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The new arrangement originated from a meeting between representatives of the Supreme Court in the Mainland and the Hong Kong government. At the meeting, both sides sought to further the objective of Article 95 of the Basic Law through the mutual recognition of and assistance to bankruptcy proceedings between Hong Kong and the Mainland. The record of the meeting indicates that there was an agreement to allow Hong Kong appointed liquidators and provisional liquidators to apply for recognition in Mainland and for administrators appointed in Mainland to apply for recognition in Hong Kong.</w:t>
      </w:r>
    </w:p>
    <w:p w14:paraId="102C42AF" w14:textId="48AC4465" w:rsidR="00210115" w:rsidRPr="001F4019" w:rsidRDefault="00210115" w:rsidP="00A32290">
      <w:pPr>
        <w:jc w:val="both"/>
        <w:rPr>
          <w:rFonts w:ascii="Arial" w:hAnsi="Arial" w:cs="Arial"/>
          <w:color w:val="808080" w:themeColor="background1" w:themeShade="80"/>
          <w:sz w:val="22"/>
          <w:szCs w:val="22"/>
        </w:rPr>
      </w:pPr>
    </w:p>
    <w:p w14:paraId="13C8B76D" w14:textId="1522E94E" w:rsidR="00210115" w:rsidRPr="001F4019" w:rsidRDefault="00210115" w:rsidP="00A32290">
      <w:p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 xml:space="preserve">In a subsequent opinion from the Supreme Court, it was made clear that </w:t>
      </w:r>
    </w:p>
    <w:p w14:paraId="775D0CDB" w14:textId="0E884C4A" w:rsidR="00210115" w:rsidRPr="001F4019" w:rsidRDefault="00210115" w:rsidP="00210115">
      <w:pPr>
        <w:pStyle w:val="ListParagraph"/>
        <w:numPr>
          <w:ilvl w:val="0"/>
          <w:numId w:val="30"/>
        </w:num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the applicable Mainland designated areas under the agreement were Shanghai Municipality, Xiamen Municipality of Fujian Province and Shenzhen Municipality of Guangdong Province</w:t>
      </w:r>
      <w:r w:rsidR="001F4019" w:rsidRPr="001F4019">
        <w:rPr>
          <w:rFonts w:ascii="Arial" w:hAnsi="Arial" w:cs="Arial"/>
          <w:color w:val="808080" w:themeColor="background1" w:themeShade="80"/>
          <w:sz w:val="22"/>
          <w:szCs w:val="22"/>
        </w:rPr>
        <w:t xml:space="preserve"> (the </w:t>
      </w:r>
      <w:r w:rsidR="001F4019" w:rsidRPr="001F4019">
        <w:rPr>
          <w:rFonts w:ascii="Arial" w:hAnsi="Arial" w:cs="Arial"/>
          <w:b/>
          <w:i/>
          <w:color w:val="808080" w:themeColor="background1" w:themeShade="80"/>
          <w:sz w:val="22"/>
          <w:szCs w:val="22"/>
        </w:rPr>
        <w:t>pilot area</w:t>
      </w:r>
      <w:r w:rsidR="001F4019" w:rsidRPr="001F4019">
        <w:rPr>
          <w:rFonts w:ascii="Arial" w:hAnsi="Arial" w:cs="Arial"/>
          <w:color w:val="808080" w:themeColor="background1" w:themeShade="80"/>
          <w:sz w:val="22"/>
          <w:szCs w:val="22"/>
        </w:rPr>
        <w:t>)</w:t>
      </w:r>
    </w:p>
    <w:p w14:paraId="4B86587D" w14:textId="4361D9A8" w:rsidR="00210115" w:rsidRPr="001F4019" w:rsidRDefault="00210115" w:rsidP="00210115">
      <w:pPr>
        <w:pStyle w:val="ListParagraph"/>
        <w:numPr>
          <w:ilvl w:val="0"/>
          <w:numId w:val="30"/>
        </w:num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the definition of what would constitute a Hong Kong insolvency proceeding would be any collective insolvency proceeding commenced under the CWMPO or the CO and would include compulsory liquidations, creditors’ voluntary liquidations and schemes of arrangements which are promoted by the provisional liquidator/liquidator;</w:t>
      </w:r>
    </w:p>
    <w:p w14:paraId="3251EED0" w14:textId="2A58A222" w:rsidR="00210115" w:rsidRPr="001F4019" w:rsidRDefault="00210115" w:rsidP="00210115">
      <w:pPr>
        <w:pStyle w:val="ListParagraph"/>
        <w:numPr>
          <w:ilvl w:val="0"/>
          <w:numId w:val="30"/>
        </w:num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the applicable COMI for the purposes of recognition would be Hong Kong. The place of incorporation is presumptive of this, but the court will consider other factors such as whether Hong Kong was the principal office, the principal place of business or the place of</w:t>
      </w:r>
      <w:r w:rsidR="001F4019" w:rsidRPr="001F4019">
        <w:rPr>
          <w:rFonts w:ascii="Arial" w:hAnsi="Arial" w:cs="Arial"/>
          <w:color w:val="808080" w:themeColor="background1" w:themeShade="80"/>
          <w:sz w:val="22"/>
          <w:szCs w:val="22"/>
        </w:rPr>
        <w:t xml:space="preserve"> principal assets of the debit. Additionally, the COMI should have been in Hong Kong for at least 6 months prior to the application for recognition. </w:t>
      </w:r>
    </w:p>
    <w:p w14:paraId="2550AAC6" w14:textId="2B491F94" w:rsidR="001F4019" w:rsidRPr="001F4019" w:rsidRDefault="001F4019" w:rsidP="00210115">
      <w:pPr>
        <w:pStyle w:val="ListParagraph"/>
        <w:numPr>
          <w:ilvl w:val="0"/>
          <w:numId w:val="30"/>
        </w:numPr>
        <w:jc w:val="both"/>
        <w:rPr>
          <w:rFonts w:ascii="Arial" w:hAnsi="Arial" w:cs="Arial"/>
          <w:color w:val="808080" w:themeColor="background1" w:themeShade="80"/>
          <w:sz w:val="22"/>
          <w:szCs w:val="22"/>
        </w:rPr>
      </w:pPr>
      <w:r w:rsidRPr="001F4019">
        <w:rPr>
          <w:rFonts w:ascii="Arial" w:hAnsi="Arial" w:cs="Arial"/>
          <w:color w:val="808080" w:themeColor="background1" w:themeShade="80"/>
          <w:sz w:val="22"/>
          <w:szCs w:val="22"/>
        </w:rPr>
        <w:t xml:space="preserve">Where the debtor’s principal assets are in the pilot area of the Mainland, then the Hong Kong administrator could apply for recognition / assistance in Mainland. A letter of request from the Hong Kong court would not be necessary. </w:t>
      </w:r>
    </w:p>
    <w:p w14:paraId="27171C8C" w14:textId="0388DF03" w:rsidR="00A32290" w:rsidRPr="001F4019" w:rsidRDefault="00A32290" w:rsidP="00A32290">
      <w:pPr>
        <w:jc w:val="both"/>
        <w:rPr>
          <w:rFonts w:ascii="Arial" w:hAnsi="Arial" w:cs="Arial"/>
          <w:color w:val="808080" w:themeColor="background1" w:themeShade="80"/>
          <w:sz w:val="22"/>
          <w:szCs w:val="22"/>
        </w:rPr>
      </w:pPr>
    </w:p>
    <w:p w14:paraId="34E0164F" w14:textId="77777777" w:rsidR="00A32290" w:rsidRPr="005D2CD6" w:rsidRDefault="00A32290" w:rsidP="00A32290">
      <w:pPr>
        <w:jc w:val="both"/>
        <w:rPr>
          <w:rFonts w:ascii="Arial" w:hAnsi="Arial" w:cs="Arial"/>
          <w:sz w:val="22"/>
          <w:szCs w:val="22"/>
        </w:rPr>
      </w:pP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76978DAD" w:rsidR="003C10EB" w:rsidRPr="00E8671D" w:rsidRDefault="00B16E85" w:rsidP="002E6ED4">
      <w:p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A scheme of arrangement is a </w:t>
      </w:r>
      <w:r w:rsidR="002E6ED4" w:rsidRPr="00E8671D">
        <w:rPr>
          <w:rFonts w:ascii="Arial" w:hAnsi="Arial" w:cs="Arial"/>
          <w:color w:val="7F7F7F" w:themeColor="text1" w:themeTint="80"/>
          <w:sz w:val="22"/>
          <w:szCs w:val="22"/>
        </w:rPr>
        <w:t xml:space="preserve">statutory scheme provided for by Part 13, Division 2 of the Companies Ordinance and O.102 r 2 and r 5 of the RHC by which the insolvent company enters a binding compromise / arrangement with the members and creditors. It includes plans for an adjustment of debts owed to the creditor and reduction of share capital.  The arrangement will need to be approved by a stipulated majority of the creditors </w:t>
      </w:r>
      <w:r w:rsidR="00A15B1B" w:rsidRPr="00E8671D">
        <w:rPr>
          <w:rFonts w:ascii="Arial" w:hAnsi="Arial" w:cs="Arial"/>
          <w:color w:val="7F7F7F" w:themeColor="text1" w:themeTint="80"/>
          <w:sz w:val="22"/>
          <w:szCs w:val="22"/>
        </w:rPr>
        <w:t xml:space="preserve">(75% by value of the creditors present and voting in proxy or in person) </w:t>
      </w:r>
      <w:r w:rsidR="002E6ED4" w:rsidRPr="00E8671D">
        <w:rPr>
          <w:rFonts w:ascii="Arial" w:hAnsi="Arial" w:cs="Arial"/>
          <w:color w:val="7F7F7F" w:themeColor="text1" w:themeTint="80"/>
          <w:sz w:val="22"/>
          <w:szCs w:val="22"/>
        </w:rPr>
        <w:t xml:space="preserve">and sanctioned by the court. </w:t>
      </w:r>
    </w:p>
    <w:p w14:paraId="54AC1AB6" w14:textId="709E668A" w:rsidR="002E6ED4" w:rsidRPr="00E8671D" w:rsidRDefault="002E6ED4" w:rsidP="002E6ED4">
      <w:pPr>
        <w:jc w:val="both"/>
        <w:rPr>
          <w:rFonts w:ascii="Arial" w:hAnsi="Arial" w:cs="Arial"/>
          <w:color w:val="7F7F7F" w:themeColor="text1" w:themeTint="80"/>
          <w:sz w:val="22"/>
          <w:szCs w:val="22"/>
        </w:rPr>
      </w:pPr>
    </w:p>
    <w:p w14:paraId="293B0935" w14:textId="77777777" w:rsidR="00C4528F" w:rsidRPr="00E8671D" w:rsidRDefault="002E6ED4" w:rsidP="00A15B1B">
      <w:p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The benefits </w:t>
      </w:r>
      <w:r w:rsidR="00A15B1B" w:rsidRPr="00E8671D">
        <w:rPr>
          <w:rFonts w:ascii="Arial" w:hAnsi="Arial" w:cs="Arial"/>
          <w:color w:val="7F7F7F" w:themeColor="text1" w:themeTint="80"/>
          <w:sz w:val="22"/>
          <w:szCs w:val="22"/>
        </w:rPr>
        <w:t>of a sc</w:t>
      </w:r>
      <w:r w:rsidR="00C4528F" w:rsidRPr="00E8671D">
        <w:rPr>
          <w:rFonts w:ascii="Arial" w:hAnsi="Arial" w:cs="Arial"/>
          <w:color w:val="7F7F7F" w:themeColor="text1" w:themeTint="80"/>
          <w:sz w:val="22"/>
          <w:szCs w:val="22"/>
        </w:rPr>
        <w:t>heme of arrangement includes:</w:t>
      </w:r>
    </w:p>
    <w:p w14:paraId="3DEB76B7" w14:textId="77777777" w:rsidR="00C4528F" w:rsidRPr="00E8671D" w:rsidRDefault="00C4528F" w:rsidP="00C4528F">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It is a court sanctioned arrangement which binds all creditors of the relevant class;</w:t>
      </w:r>
    </w:p>
    <w:p w14:paraId="3396C694" w14:textId="77777777" w:rsidR="00C4528F" w:rsidRPr="00E8671D" w:rsidRDefault="00C4528F" w:rsidP="00C4528F">
      <w:pPr>
        <w:pStyle w:val="ListParagraph"/>
        <w:jc w:val="both"/>
        <w:rPr>
          <w:rFonts w:ascii="Arial" w:hAnsi="Arial" w:cs="Arial"/>
          <w:color w:val="7F7F7F" w:themeColor="text1" w:themeTint="80"/>
          <w:sz w:val="22"/>
          <w:szCs w:val="22"/>
        </w:rPr>
      </w:pPr>
    </w:p>
    <w:p w14:paraId="0F1713DA" w14:textId="77777777" w:rsidR="00C4528F" w:rsidRPr="00E8671D" w:rsidRDefault="00C4528F" w:rsidP="00C4528F">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It can be used to cancel existing instruments and replace them with new instruments </w:t>
      </w:r>
    </w:p>
    <w:p w14:paraId="5FC81E4E" w14:textId="77777777" w:rsidR="00C4528F" w:rsidRPr="00E8671D" w:rsidRDefault="00C4528F" w:rsidP="00C4528F">
      <w:pPr>
        <w:pStyle w:val="ListParagraph"/>
        <w:rPr>
          <w:rFonts w:ascii="Arial" w:hAnsi="Arial" w:cs="Arial"/>
          <w:color w:val="7F7F7F" w:themeColor="text1" w:themeTint="80"/>
          <w:sz w:val="22"/>
          <w:szCs w:val="22"/>
        </w:rPr>
      </w:pPr>
    </w:p>
    <w:p w14:paraId="3D1727D6" w14:textId="593987AE" w:rsidR="00A15B1B" w:rsidRPr="00E8671D" w:rsidRDefault="00A15B1B" w:rsidP="00C4528F">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it </w:t>
      </w:r>
      <w:r w:rsidR="002E6ED4" w:rsidRPr="00E8671D">
        <w:rPr>
          <w:rFonts w:ascii="Arial" w:hAnsi="Arial" w:cs="Arial"/>
          <w:color w:val="7F7F7F" w:themeColor="text1" w:themeTint="80"/>
          <w:sz w:val="22"/>
          <w:szCs w:val="22"/>
        </w:rPr>
        <w:t>enables the company and th</w:t>
      </w:r>
      <w:r w:rsidR="001E74F1" w:rsidRPr="00E8671D">
        <w:rPr>
          <w:rFonts w:ascii="Arial" w:hAnsi="Arial" w:cs="Arial"/>
          <w:color w:val="7F7F7F" w:themeColor="text1" w:themeTint="80"/>
          <w:sz w:val="22"/>
          <w:szCs w:val="22"/>
        </w:rPr>
        <w:t>e creditors to adjust debts in circumstances where there are many creditors</w:t>
      </w:r>
      <w:r w:rsidRPr="00E8671D">
        <w:rPr>
          <w:rFonts w:ascii="Arial" w:hAnsi="Arial" w:cs="Arial"/>
          <w:color w:val="7F7F7F" w:themeColor="text1" w:themeTint="80"/>
          <w:sz w:val="22"/>
          <w:szCs w:val="22"/>
        </w:rPr>
        <w:t>, divergent views and a difficulty in obtaining 100% agreement on contractually varying the debt of the company</w:t>
      </w:r>
      <w:r w:rsidR="001E74F1" w:rsidRPr="00E8671D">
        <w:rPr>
          <w:rFonts w:ascii="Arial" w:hAnsi="Arial" w:cs="Arial"/>
          <w:color w:val="7F7F7F" w:themeColor="text1" w:themeTint="80"/>
          <w:sz w:val="22"/>
          <w:szCs w:val="22"/>
        </w:rPr>
        <w:t>. Without a scheme of arrangement the company would need to get the 100% of creditors (as opposed to a stipulated majority) to contractually vary the debt</w:t>
      </w:r>
      <w:r w:rsidRPr="00E8671D">
        <w:rPr>
          <w:rFonts w:ascii="Arial" w:hAnsi="Arial" w:cs="Arial"/>
          <w:color w:val="7F7F7F" w:themeColor="text1" w:themeTint="80"/>
          <w:sz w:val="22"/>
          <w:szCs w:val="22"/>
        </w:rPr>
        <w:t xml:space="preserve">. The scheme would therefore have </w:t>
      </w:r>
      <w:r w:rsidRPr="00E8671D">
        <w:rPr>
          <w:rFonts w:ascii="Arial" w:hAnsi="Arial" w:cs="Arial"/>
          <w:color w:val="7F7F7F" w:themeColor="text1" w:themeTint="80"/>
          <w:sz w:val="22"/>
          <w:szCs w:val="22"/>
        </w:rPr>
        <w:lastRenderedPageBreak/>
        <w:t>much utility where there ‘’are hold-out creditors seeking an unfair advantage against a substantial majority of similarly ranked creditors.’’</w:t>
      </w:r>
    </w:p>
    <w:p w14:paraId="019EF738" w14:textId="77777777" w:rsidR="00C4528F" w:rsidRPr="00E8671D" w:rsidRDefault="00C4528F" w:rsidP="00C4528F">
      <w:pPr>
        <w:pStyle w:val="ListParagraph"/>
        <w:rPr>
          <w:rFonts w:ascii="Arial" w:hAnsi="Arial" w:cs="Arial"/>
          <w:color w:val="7F7F7F" w:themeColor="text1" w:themeTint="80"/>
          <w:sz w:val="22"/>
          <w:szCs w:val="22"/>
        </w:rPr>
      </w:pPr>
    </w:p>
    <w:p w14:paraId="48695FCD" w14:textId="77777777" w:rsidR="00C4528F" w:rsidRPr="00E8671D" w:rsidRDefault="00A15B1B" w:rsidP="00A15B1B">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Additionally, the scheme will be binding on non-consenting / hold-out creditors so</w:t>
      </w:r>
      <w:r w:rsidR="00EC02D0" w:rsidRPr="00E8671D">
        <w:rPr>
          <w:rFonts w:ascii="Arial" w:hAnsi="Arial" w:cs="Arial"/>
          <w:color w:val="7F7F7F" w:themeColor="text1" w:themeTint="80"/>
          <w:sz w:val="22"/>
          <w:szCs w:val="22"/>
        </w:rPr>
        <w:t xml:space="preserve"> long as they are in the category of creditors where the stipulated majority of the creditors have approved the scheme. </w:t>
      </w:r>
    </w:p>
    <w:p w14:paraId="44623261" w14:textId="77777777" w:rsidR="00C4528F" w:rsidRPr="00E8671D" w:rsidRDefault="00C4528F" w:rsidP="00C4528F">
      <w:pPr>
        <w:pStyle w:val="ListParagraph"/>
        <w:rPr>
          <w:rFonts w:ascii="Arial" w:hAnsi="Arial" w:cs="Arial"/>
          <w:color w:val="7F7F7F" w:themeColor="text1" w:themeTint="80"/>
          <w:sz w:val="22"/>
          <w:szCs w:val="22"/>
        </w:rPr>
      </w:pPr>
    </w:p>
    <w:p w14:paraId="3BCAA801" w14:textId="77777777" w:rsidR="00C4528F" w:rsidRPr="00E8671D" w:rsidRDefault="00A15B1B" w:rsidP="00A15B1B">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The scheme of arrangement is also a good alternative to winding up the company. It would allow the company the possibility of continuing to trade following implementation of the scheme. </w:t>
      </w:r>
    </w:p>
    <w:p w14:paraId="7335295B" w14:textId="77777777" w:rsidR="00C4528F" w:rsidRPr="00E8671D" w:rsidRDefault="00C4528F" w:rsidP="00C4528F">
      <w:pPr>
        <w:pStyle w:val="ListParagraph"/>
        <w:rPr>
          <w:rFonts w:ascii="Arial" w:hAnsi="Arial" w:cs="Arial"/>
          <w:color w:val="7F7F7F" w:themeColor="text1" w:themeTint="80"/>
          <w:sz w:val="22"/>
          <w:szCs w:val="22"/>
        </w:rPr>
      </w:pPr>
    </w:p>
    <w:p w14:paraId="6D5A7CF1" w14:textId="3C7A52E3" w:rsidR="00A15B1B" w:rsidRPr="00E8671D" w:rsidRDefault="00EC02D0" w:rsidP="00A15B1B">
      <w:pPr>
        <w:pStyle w:val="ListParagraph"/>
        <w:numPr>
          <w:ilvl w:val="0"/>
          <w:numId w:val="33"/>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Another benefit is that the scheme may be recognized in other relevant jurisdictions, including in Mainland PRC. </w:t>
      </w:r>
    </w:p>
    <w:p w14:paraId="1DD2FDB4" w14:textId="3B3A19F7" w:rsidR="00EC02D0" w:rsidRPr="00E8671D" w:rsidRDefault="00EC02D0" w:rsidP="00A15B1B">
      <w:pPr>
        <w:jc w:val="both"/>
        <w:rPr>
          <w:rFonts w:ascii="Arial" w:hAnsi="Arial" w:cs="Arial"/>
          <w:color w:val="7F7F7F" w:themeColor="text1" w:themeTint="80"/>
          <w:sz w:val="22"/>
          <w:szCs w:val="22"/>
        </w:rPr>
      </w:pPr>
    </w:p>
    <w:p w14:paraId="2B1F2B32" w14:textId="77777777" w:rsidR="00C4528F" w:rsidRPr="00E8671D" w:rsidRDefault="00C4528F" w:rsidP="00A15B1B">
      <w:p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The cons are:</w:t>
      </w:r>
    </w:p>
    <w:p w14:paraId="3F02E78E" w14:textId="31D6B50A" w:rsidR="00EC02D0" w:rsidRPr="00E8671D" w:rsidRDefault="00EC02D0" w:rsidP="00C4528F">
      <w:pPr>
        <w:pStyle w:val="ListParagraph"/>
        <w:numPr>
          <w:ilvl w:val="0"/>
          <w:numId w:val="34"/>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A scheme of arrangement implemented and sanctioned in Hong Kong, in accordance with the Gibbs principle does not have the effect of discharging a debt whic</w:t>
      </w:r>
      <w:r w:rsidR="00C4528F" w:rsidRPr="00E8671D">
        <w:rPr>
          <w:rFonts w:ascii="Arial" w:hAnsi="Arial" w:cs="Arial"/>
          <w:color w:val="7F7F7F" w:themeColor="text1" w:themeTint="80"/>
          <w:sz w:val="22"/>
          <w:szCs w:val="22"/>
        </w:rPr>
        <w:t>h is governed by a foreign law (unless the relevant creditor takes part in the scheme)</w:t>
      </w:r>
    </w:p>
    <w:p w14:paraId="0D6607CD" w14:textId="77777777" w:rsidR="00C4528F" w:rsidRPr="00E8671D" w:rsidRDefault="00C4528F" w:rsidP="00C4528F">
      <w:pPr>
        <w:pStyle w:val="ListParagraph"/>
        <w:jc w:val="both"/>
        <w:rPr>
          <w:rFonts w:ascii="Arial" w:hAnsi="Arial" w:cs="Arial"/>
          <w:color w:val="7F7F7F" w:themeColor="text1" w:themeTint="80"/>
          <w:sz w:val="22"/>
          <w:szCs w:val="22"/>
        </w:rPr>
      </w:pPr>
    </w:p>
    <w:p w14:paraId="54828286" w14:textId="35C34C11" w:rsidR="00C4528F" w:rsidRPr="00E8671D" w:rsidRDefault="00C4528F" w:rsidP="00C4528F">
      <w:pPr>
        <w:pStyle w:val="ListParagraph"/>
        <w:numPr>
          <w:ilvl w:val="0"/>
          <w:numId w:val="34"/>
        </w:num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The creditors must be in the same class or the court will have no jurisdiction to sanction the scheme</w:t>
      </w:r>
    </w:p>
    <w:p w14:paraId="1E49A990" w14:textId="7539C6FA" w:rsidR="001E74F1" w:rsidRPr="00E8671D" w:rsidRDefault="001E74F1" w:rsidP="00C4528F">
      <w:pPr>
        <w:jc w:val="both"/>
        <w:rPr>
          <w:rFonts w:ascii="Arial" w:hAnsi="Arial" w:cs="Arial"/>
          <w:color w:val="7F7F7F" w:themeColor="text1" w:themeTint="80"/>
          <w:sz w:val="22"/>
          <w:szCs w:val="22"/>
        </w:rPr>
      </w:pPr>
    </w:p>
    <w:p w14:paraId="60ADAAB6" w14:textId="77777777" w:rsidR="00711999" w:rsidRPr="00E8671D" w:rsidRDefault="00711999" w:rsidP="00E14FA7">
      <w:pPr>
        <w:jc w:val="both"/>
        <w:rPr>
          <w:rFonts w:ascii="Arial" w:hAnsi="Arial" w:cs="Arial"/>
          <w:color w:val="7F7F7F" w:themeColor="text1" w:themeTint="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E8671D" w:rsidRDefault="003765EF" w:rsidP="00E14FA7">
      <w:pPr>
        <w:jc w:val="both"/>
        <w:rPr>
          <w:rFonts w:ascii="Arial" w:hAnsi="Arial" w:cs="Arial"/>
          <w:color w:val="7F7F7F" w:themeColor="text1" w:themeTint="80"/>
          <w:sz w:val="22"/>
          <w:szCs w:val="22"/>
          <w:lang w:val="en-GB"/>
        </w:rPr>
      </w:pPr>
    </w:p>
    <w:p w14:paraId="0FEE198F" w14:textId="42971FC4" w:rsidR="008E1E43" w:rsidRDefault="00A61E58" w:rsidP="00A61E58">
      <w:pPr>
        <w:jc w:val="both"/>
        <w:rPr>
          <w:rFonts w:ascii="Arial" w:hAnsi="Arial" w:cs="Arial"/>
          <w:color w:val="7F7F7F" w:themeColor="text1" w:themeTint="80"/>
          <w:sz w:val="22"/>
          <w:szCs w:val="22"/>
        </w:rPr>
      </w:pPr>
      <w:r w:rsidRPr="00E8671D">
        <w:rPr>
          <w:rFonts w:ascii="Arial" w:hAnsi="Arial" w:cs="Arial"/>
          <w:color w:val="7F7F7F" w:themeColor="text1" w:themeTint="80"/>
          <w:sz w:val="22"/>
          <w:szCs w:val="22"/>
        </w:rPr>
        <w:t xml:space="preserve">Mr Chan should be advised that </w:t>
      </w:r>
      <w:r w:rsidR="008E1E43">
        <w:rPr>
          <w:rFonts w:ascii="Arial" w:hAnsi="Arial" w:cs="Arial"/>
          <w:color w:val="7F7F7F" w:themeColor="text1" w:themeTint="80"/>
          <w:sz w:val="22"/>
          <w:szCs w:val="22"/>
        </w:rPr>
        <w:t xml:space="preserve">since the company is unlikely to be able to carry out business he should consider the options available under Hong Kong law for the structured dissolution of the company, corporate rescue and reorganization of debts. Mr Chan has a fiduciary duty to the company and must consider these options in acting in the best interest of the company. </w:t>
      </w:r>
    </w:p>
    <w:p w14:paraId="03EF1969" w14:textId="34BBFC34" w:rsidR="008E1E43" w:rsidRDefault="008E1E43" w:rsidP="00A61E58">
      <w:pPr>
        <w:jc w:val="both"/>
        <w:rPr>
          <w:rFonts w:ascii="Arial" w:hAnsi="Arial" w:cs="Arial"/>
          <w:color w:val="7F7F7F" w:themeColor="text1" w:themeTint="80"/>
          <w:sz w:val="22"/>
          <w:szCs w:val="22"/>
        </w:rPr>
      </w:pPr>
    </w:p>
    <w:p w14:paraId="20FA6319" w14:textId="001EB812" w:rsidR="008E1E43" w:rsidRDefault="008E1E43" w:rsidP="008E1E43">
      <w:pPr>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His friend is correct that the company may be wound up. However, that is not the only option. The company may present a winding up petition followed by an appointment of provisional liquidators to promulgate a restricting, which is generally by using a scheme of arrangement. The option of appointing provisional liquidators for the purpose of </w:t>
      </w:r>
      <w:r w:rsidR="00F14088">
        <w:rPr>
          <w:rFonts w:ascii="Arial" w:hAnsi="Arial" w:cs="Arial"/>
          <w:color w:val="7F7F7F" w:themeColor="text1" w:themeTint="80"/>
          <w:sz w:val="22"/>
          <w:szCs w:val="22"/>
        </w:rPr>
        <w:t>assisting</w:t>
      </w:r>
      <w:r>
        <w:rPr>
          <w:rFonts w:ascii="Arial" w:hAnsi="Arial" w:cs="Arial"/>
          <w:color w:val="7F7F7F" w:themeColor="text1" w:themeTint="80"/>
          <w:sz w:val="22"/>
          <w:szCs w:val="22"/>
        </w:rPr>
        <w:t xml:space="preserve"> with restructuring continues in Hong Kong to some extent, despite the decision in Re Legend International Resorts Ltd. </w:t>
      </w:r>
    </w:p>
    <w:p w14:paraId="4AB52E37" w14:textId="77777777" w:rsidR="008E1E43" w:rsidRDefault="008E1E43" w:rsidP="008E1E43">
      <w:pPr>
        <w:jc w:val="both"/>
        <w:rPr>
          <w:rFonts w:ascii="Arial" w:hAnsi="Arial" w:cs="Arial"/>
          <w:color w:val="7F7F7F" w:themeColor="text1" w:themeTint="80"/>
          <w:sz w:val="22"/>
          <w:szCs w:val="22"/>
        </w:rPr>
      </w:pPr>
    </w:p>
    <w:p w14:paraId="707E183A" w14:textId="442E9920" w:rsidR="008E1E43" w:rsidRDefault="008E1E43" w:rsidP="008E1E43">
      <w:pPr>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Hong Kong law provides for the option of a </w:t>
      </w:r>
      <w:r w:rsidRPr="00E8671D">
        <w:rPr>
          <w:rFonts w:ascii="Arial" w:hAnsi="Arial" w:cs="Arial"/>
          <w:color w:val="7F7F7F" w:themeColor="text1" w:themeTint="80"/>
          <w:sz w:val="22"/>
          <w:szCs w:val="22"/>
        </w:rPr>
        <w:t xml:space="preserve">scheme of arrangement </w:t>
      </w:r>
      <w:r>
        <w:rPr>
          <w:rFonts w:ascii="Arial" w:hAnsi="Arial" w:cs="Arial"/>
          <w:color w:val="7F7F7F" w:themeColor="text1" w:themeTint="80"/>
          <w:sz w:val="22"/>
          <w:szCs w:val="22"/>
        </w:rPr>
        <w:t>which</w:t>
      </w:r>
      <w:r w:rsidRPr="00E8671D">
        <w:rPr>
          <w:rFonts w:ascii="Arial" w:hAnsi="Arial" w:cs="Arial"/>
          <w:color w:val="7F7F7F" w:themeColor="text1" w:themeTint="80"/>
          <w:sz w:val="22"/>
          <w:szCs w:val="22"/>
        </w:rPr>
        <w:t xml:space="preserve"> a statutory scheme by which the company enters a binding compromise / arrangement with the members and creditors. </w:t>
      </w:r>
      <w:r>
        <w:rPr>
          <w:rFonts w:ascii="Arial" w:hAnsi="Arial" w:cs="Arial"/>
          <w:color w:val="7F7F7F" w:themeColor="text1" w:themeTint="80"/>
          <w:sz w:val="22"/>
          <w:szCs w:val="22"/>
        </w:rPr>
        <w:t xml:space="preserve">If the plan were to be agreed, </w:t>
      </w:r>
      <w:r w:rsidRPr="008E1E43">
        <w:rPr>
          <w:rFonts w:ascii="Arial" w:hAnsi="Arial" w:cs="Arial"/>
          <w:color w:val="7F7F7F" w:themeColor="text1" w:themeTint="80"/>
          <w:sz w:val="22"/>
          <w:szCs w:val="22"/>
        </w:rPr>
        <w:t xml:space="preserve">it </w:t>
      </w:r>
      <w:r>
        <w:rPr>
          <w:rFonts w:ascii="Arial" w:hAnsi="Arial" w:cs="Arial"/>
          <w:color w:val="7F7F7F" w:themeColor="text1" w:themeTint="80"/>
          <w:sz w:val="22"/>
          <w:szCs w:val="22"/>
        </w:rPr>
        <w:t xml:space="preserve">would </w:t>
      </w:r>
      <w:r w:rsidRPr="008E1E43">
        <w:rPr>
          <w:rFonts w:ascii="Arial" w:hAnsi="Arial" w:cs="Arial"/>
          <w:color w:val="7F7F7F" w:themeColor="text1" w:themeTint="80"/>
          <w:sz w:val="22"/>
          <w:szCs w:val="22"/>
        </w:rPr>
        <w:t>enable the company and the creditors to adjust debts</w:t>
      </w:r>
      <w:r>
        <w:rPr>
          <w:rFonts w:ascii="Arial" w:hAnsi="Arial" w:cs="Arial"/>
          <w:color w:val="7F7F7F" w:themeColor="text1" w:themeTint="80"/>
          <w:sz w:val="22"/>
          <w:szCs w:val="22"/>
        </w:rPr>
        <w:t xml:space="preserve">, which could rescue the company. </w:t>
      </w:r>
    </w:p>
    <w:p w14:paraId="453CF98C" w14:textId="77777777" w:rsidR="008E1E43" w:rsidRDefault="008E1E43" w:rsidP="008E1E43">
      <w:pPr>
        <w:jc w:val="both"/>
        <w:rPr>
          <w:rFonts w:ascii="Arial" w:hAnsi="Arial" w:cs="Arial"/>
          <w:color w:val="7F7F7F" w:themeColor="text1" w:themeTint="80"/>
          <w:sz w:val="22"/>
          <w:szCs w:val="22"/>
        </w:rPr>
      </w:pPr>
    </w:p>
    <w:p w14:paraId="42F16D29" w14:textId="77777777" w:rsidR="00F14088" w:rsidRDefault="00F14088" w:rsidP="00A61E58">
      <w:pPr>
        <w:jc w:val="both"/>
        <w:rPr>
          <w:rFonts w:ascii="Arial" w:hAnsi="Arial" w:cs="Arial"/>
          <w:color w:val="7F7F7F" w:themeColor="text1" w:themeTint="80"/>
          <w:sz w:val="22"/>
          <w:szCs w:val="22"/>
        </w:rPr>
      </w:pPr>
      <w:r>
        <w:rPr>
          <w:rFonts w:ascii="Arial" w:hAnsi="Arial" w:cs="Arial"/>
          <w:color w:val="7F7F7F" w:themeColor="text1" w:themeTint="80"/>
          <w:sz w:val="22"/>
          <w:szCs w:val="22"/>
        </w:rPr>
        <w:lastRenderedPageBreak/>
        <w:t xml:space="preserve">Contrary to what the friend said, the provisional liquidator will need to investigate the affairs of the company closely if there is to be any good restructuring plan. </w:t>
      </w:r>
    </w:p>
    <w:p w14:paraId="18D5AECB" w14:textId="77777777" w:rsidR="00F14088" w:rsidRDefault="00F14088" w:rsidP="00A61E58">
      <w:pPr>
        <w:jc w:val="both"/>
        <w:rPr>
          <w:rFonts w:ascii="Arial" w:hAnsi="Arial" w:cs="Arial"/>
          <w:color w:val="7F7F7F" w:themeColor="text1" w:themeTint="80"/>
          <w:sz w:val="22"/>
          <w:szCs w:val="22"/>
        </w:rPr>
      </w:pPr>
    </w:p>
    <w:p w14:paraId="3D1ADD4B" w14:textId="5D94B69E" w:rsidR="00F14088" w:rsidRDefault="00F14088" w:rsidP="00A61E58">
      <w:pPr>
        <w:jc w:val="both"/>
        <w:rPr>
          <w:rFonts w:ascii="Arial" w:hAnsi="Arial" w:cs="Arial"/>
          <w:color w:val="7F7F7F" w:themeColor="text1" w:themeTint="80"/>
          <w:sz w:val="22"/>
          <w:szCs w:val="22"/>
        </w:rPr>
      </w:pPr>
      <w:r>
        <w:rPr>
          <w:rFonts w:ascii="Arial" w:hAnsi="Arial" w:cs="Arial"/>
          <w:color w:val="7F7F7F" w:themeColor="text1" w:themeTint="80"/>
          <w:sz w:val="22"/>
          <w:szCs w:val="22"/>
        </w:rPr>
        <w:t>Save for schemes of arrangement, there is no legislation in Hong Kong that specifically deals with corporate rescue as an alternative to winding up. There are however informal ‘work-out’s that are quite common in Hong Kong, for example the practice among banks to re-schedule debts through the London Approach. Mr Chan may also consider the guidelines set out in the Hong Kong approach to Corporate Difficulties, which sets out formal bu</w:t>
      </w:r>
      <w:r w:rsidR="004414C7">
        <w:rPr>
          <w:rFonts w:ascii="Arial" w:hAnsi="Arial" w:cs="Arial"/>
          <w:color w:val="7F7F7F" w:themeColor="text1" w:themeTint="80"/>
          <w:sz w:val="22"/>
          <w:szCs w:val="22"/>
        </w:rPr>
        <w:t xml:space="preserve">t non-statutory recommendations to restructuring.  </w:t>
      </w:r>
    </w:p>
    <w:p w14:paraId="74043624" w14:textId="77777777" w:rsidR="00F14088" w:rsidRDefault="00F14088" w:rsidP="00A61E58">
      <w:pPr>
        <w:jc w:val="both"/>
        <w:rPr>
          <w:rFonts w:ascii="Arial" w:hAnsi="Arial" w:cs="Arial"/>
          <w:color w:val="7F7F7F" w:themeColor="text1" w:themeTint="80"/>
          <w:sz w:val="22"/>
          <w:szCs w:val="22"/>
        </w:rPr>
      </w:pPr>
    </w:p>
    <w:p w14:paraId="4552F428" w14:textId="77777777" w:rsidR="00F14088" w:rsidRDefault="00F14088" w:rsidP="00A61E58">
      <w:pPr>
        <w:jc w:val="both"/>
        <w:rPr>
          <w:rFonts w:ascii="Arial" w:hAnsi="Arial" w:cs="Arial"/>
          <w:color w:val="7F7F7F" w:themeColor="text1" w:themeTint="80"/>
          <w:sz w:val="22"/>
          <w:szCs w:val="22"/>
        </w:rPr>
      </w:pPr>
    </w:p>
    <w:p w14:paraId="56F7CBC5" w14:textId="1149D397" w:rsidR="006A4138" w:rsidRPr="00E8671D" w:rsidRDefault="00F14088" w:rsidP="00A61E58">
      <w:pPr>
        <w:jc w:val="both"/>
        <w:rPr>
          <w:rFonts w:ascii="Arial" w:hAnsi="Arial" w:cs="Arial"/>
          <w:color w:val="7F7F7F" w:themeColor="text1" w:themeTint="80"/>
          <w:sz w:val="22"/>
          <w:szCs w:val="22"/>
        </w:rPr>
      </w:pPr>
      <w:r>
        <w:rPr>
          <w:rFonts w:ascii="Arial" w:hAnsi="Arial" w:cs="Arial"/>
          <w:color w:val="7F7F7F" w:themeColor="text1" w:themeTint="80"/>
          <w:sz w:val="22"/>
          <w:szCs w:val="22"/>
        </w:rPr>
        <w:t>T</w:t>
      </w:r>
      <w:r w:rsidR="00A61E58" w:rsidRPr="00E8671D">
        <w:rPr>
          <w:rFonts w:ascii="Arial" w:hAnsi="Arial" w:cs="Arial"/>
          <w:color w:val="7F7F7F" w:themeColor="text1" w:themeTint="80"/>
          <w:sz w:val="22"/>
          <w:szCs w:val="22"/>
        </w:rPr>
        <w:t xml:space="preserve">he company may </w:t>
      </w:r>
      <w:r>
        <w:rPr>
          <w:rFonts w:ascii="Arial" w:hAnsi="Arial" w:cs="Arial"/>
          <w:color w:val="7F7F7F" w:themeColor="text1" w:themeTint="80"/>
          <w:sz w:val="22"/>
          <w:szCs w:val="22"/>
        </w:rPr>
        <w:t xml:space="preserve">also </w:t>
      </w:r>
      <w:r w:rsidR="00A61E58" w:rsidRPr="00E8671D">
        <w:rPr>
          <w:rFonts w:ascii="Arial" w:hAnsi="Arial" w:cs="Arial"/>
          <w:color w:val="7F7F7F" w:themeColor="text1" w:themeTint="80"/>
          <w:sz w:val="22"/>
          <w:szCs w:val="22"/>
        </w:rPr>
        <w:t>make an application for an individual voluntary arrangement (</w:t>
      </w:r>
      <w:r w:rsidR="00A61E58" w:rsidRPr="00E8671D">
        <w:rPr>
          <w:rFonts w:ascii="Arial" w:hAnsi="Arial" w:cs="Arial"/>
          <w:b/>
          <w:i/>
          <w:color w:val="7F7F7F" w:themeColor="text1" w:themeTint="80"/>
          <w:sz w:val="22"/>
          <w:szCs w:val="22"/>
        </w:rPr>
        <w:t>IVA</w:t>
      </w:r>
      <w:r w:rsidR="00A61E58" w:rsidRPr="00E8671D">
        <w:rPr>
          <w:rFonts w:ascii="Arial" w:hAnsi="Arial" w:cs="Arial"/>
          <w:color w:val="7F7F7F" w:themeColor="text1" w:themeTint="80"/>
          <w:sz w:val="22"/>
          <w:szCs w:val="22"/>
        </w:rPr>
        <w:t>) on the basis that the company (as debtor) has problems with debt repayment. The first step in applying for an IVA is that Mountainview will need to must find a Nomine</w:t>
      </w:r>
      <w:r w:rsidR="006A4138" w:rsidRPr="00E8671D">
        <w:rPr>
          <w:rFonts w:ascii="Arial" w:hAnsi="Arial" w:cs="Arial"/>
          <w:color w:val="7F7F7F" w:themeColor="text1" w:themeTint="80"/>
          <w:sz w:val="22"/>
          <w:szCs w:val="22"/>
        </w:rPr>
        <w:t>, as oppose to a liquidator</w:t>
      </w:r>
      <w:r w:rsidR="00A61E58" w:rsidRPr="00E8671D">
        <w:rPr>
          <w:rFonts w:ascii="Arial" w:hAnsi="Arial" w:cs="Arial"/>
          <w:color w:val="7F7F7F" w:themeColor="text1" w:themeTint="80"/>
          <w:sz w:val="22"/>
          <w:szCs w:val="22"/>
        </w:rPr>
        <w:t>. Mountainview must prepare a proposal for the Nominee setting out how the company intends to repay its creditors. Mountainview would also need to submit an up to date Statement of affairs to the Nominee</w:t>
      </w:r>
      <w:r w:rsidR="006A4138" w:rsidRPr="00E8671D">
        <w:rPr>
          <w:rFonts w:ascii="Arial" w:hAnsi="Arial" w:cs="Arial"/>
          <w:color w:val="7F7F7F" w:themeColor="text1" w:themeTint="80"/>
          <w:sz w:val="22"/>
          <w:szCs w:val="22"/>
        </w:rPr>
        <w:t xml:space="preserve">. The company would then make an application for an Interim Order implementing the IVA. The Nominee would then file a report stating whether in his opinion a meeting of the creditors must be fixed to consider the IVA. This means that he must carry out some investigations in relation to the company’s affairs. A creditors’ meeting would thereafter be held to decide whether or not to approve the IVA. The IVA would have to be approved by a majority in excess of 75% by value of the creditors present and voting (in person or proxy). The chairman would then report to the court and the Official Receiver the details of the IVA. </w:t>
      </w:r>
    </w:p>
    <w:p w14:paraId="292D979B" w14:textId="7342EFBD" w:rsidR="003E10A7" w:rsidRPr="00E8671D" w:rsidRDefault="003E10A7" w:rsidP="00E14FA7">
      <w:pPr>
        <w:autoSpaceDE w:val="0"/>
        <w:autoSpaceDN w:val="0"/>
        <w:adjustRightInd w:val="0"/>
        <w:jc w:val="both"/>
        <w:rPr>
          <w:rFonts w:ascii="Arial" w:hAnsi="Arial" w:cs="Arial"/>
          <w:color w:val="7F7F7F" w:themeColor="text1" w:themeTint="80"/>
          <w:sz w:val="22"/>
          <w:szCs w:val="22"/>
          <w:lang w:val="en-GB"/>
        </w:rPr>
      </w:pPr>
    </w:p>
    <w:p w14:paraId="04C1B717" w14:textId="77777777" w:rsidR="006A4138" w:rsidRPr="00010809" w:rsidRDefault="006A4138"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EA361E8"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37145C7A" w14:textId="77777777" w:rsidR="00EF08FA" w:rsidRDefault="007C399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HK law recognises a security arrangement like the one entered into by </w:t>
      </w:r>
      <w:r w:rsidR="00416D7B">
        <w:rPr>
          <w:rFonts w:ascii="Arial" w:hAnsi="Arial" w:cs="Arial"/>
          <w:color w:val="7B7B7B" w:themeColor="accent3" w:themeShade="BF"/>
          <w:sz w:val="22"/>
          <w:szCs w:val="22"/>
          <w:lang w:val="en-GB"/>
        </w:rPr>
        <w:t xml:space="preserve">Kite and GFL </w:t>
      </w:r>
      <w:r>
        <w:rPr>
          <w:rFonts w:ascii="Arial" w:hAnsi="Arial" w:cs="Arial"/>
          <w:color w:val="7B7B7B" w:themeColor="accent3" w:themeShade="BF"/>
          <w:sz w:val="22"/>
          <w:szCs w:val="22"/>
          <w:lang w:val="en-GB"/>
        </w:rPr>
        <w:t>where</w:t>
      </w:r>
      <w:r w:rsidR="00416D7B">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the financier</w:t>
      </w:r>
      <w:r w:rsidR="00416D7B">
        <w:rPr>
          <w:rFonts w:ascii="Arial" w:hAnsi="Arial" w:cs="Arial"/>
          <w:color w:val="7B7B7B" w:themeColor="accent3" w:themeShade="BF"/>
          <w:sz w:val="22"/>
          <w:szCs w:val="22"/>
          <w:lang w:val="en-GB"/>
        </w:rPr>
        <w:t xml:space="preserve"> (GFL)</w:t>
      </w:r>
      <w:r>
        <w:rPr>
          <w:rFonts w:ascii="Arial" w:hAnsi="Arial" w:cs="Arial"/>
          <w:color w:val="7B7B7B" w:themeColor="accent3" w:themeShade="BF"/>
          <w:sz w:val="22"/>
          <w:szCs w:val="22"/>
          <w:lang w:val="en-GB"/>
        </w:rPr>
        <w:t xml:space="preserve"> buys the right to be paid receivables from the business</w:t>
      </w:r>
      <w:r w:rsidR="00416D7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the company</w:t>
      </w:r>
      <w:r w:rsidR="00416D7B">
        <w:rPr>
          <w:rFonts w:ascii="Arial" w:hAnsi="Arial" w:cs="Arial"/>
          <w:color w:val="7B7B7B" w:themeColor="accent3" w:themeShade="BF"/>
          <w:sz w:val="22"/>
          <w:szCs w:val="22"/>
          <w:lang w:val="en-GB"/>
        </w:rPr>
        <w:t xml:space="preserve"> (from the sales in Europe</w:t>
      </w:r>
      <w:r w:rsidR="00EF08FA">
        <w:rPr>
          <w:rFonts w:ascii="Arial" w:hAnsi="Arial" w:cs="Arial"/>
          <w:color w:val="7B7B7B" w:themeColor="accent3" w:themeShade="BF"/>
          <w:sz w:val="22"/>
          <w:szCs w:val="22"/>
          <w:lang w:val="en-GB"/>
        </w:rPr>
        <w:t xml:space="preserve"> etc</w:t>
      </w:r>
      <w:r w:rsidR="00416D7B">
        <w:rPr>
          <w:rFonts w:ascii="Arial" w:hAnsi="Arial" w:cs="Arial"/>
          <w:color w:val="7B7B7B" w:themeColor="accent3" w:themeShade="BF"/>
          <w:sz w:val="22"/>
          <w:szCs w:val="22"/>
          <w:lang w:val="en-GB"/>
        </w:rPr>
        <w:t>).</w:t>
      </w:r>
      <w:r w:rsidR="00EF08FA">
        <w:rPr>
          <w:rFonts w:ascii="Arial" w:hAnsi="Arial" w:cs="Arial"/>
          <w:color w:val="7B7B7B" w:themeColor="accent3" w:themeShade="BF"/>
          <w:sz w:val="22"/>
          <w:szCs w:val="22"/>
          <w:lang w:val="en-GB"/>
        </w:rPr>
        <w:t xml:space="preserve"> The security is expressed to be a</w:t>
      </w:r>
      <w:r w:rsidR="00416D7B">
        <w:rPr>
          <w:rFonts w:ascii="Arial" w:hAnsi="Arial" w:cs="Arial"/>
          <w:color w:val="7B7B7B" w:themeColor="accent3" w:themeShade="BF"/>
          <w:sz w:val="22"/>
          <w:szCs w:val="22"/>
          <w:lang w:val="en-GB"/>
        </w:rPr>
        <w:t xml:space="preserve"> fixed charge</w:t>
      </w:r>
      <w:r w:rsidR="00EF08FA">
        <w:rPr>
          <w:rFonts w:ascii="Arial" w:hAnsi="Arial" w:cs="Arial"/>
          <w:color w:val="7B7B7B" w:themeColor="accent3" w:themeShade="BF"/>
          <w:sz w:val="22"/>
          <w:szCs w:val="22"/>
          <w:lang w:val="en-GB"/>
        </w:rPr>
        <w:t>. Fixed charges will attach at the date of its creation (date unknown in this case), and G</w:t>
      </w:r>
      <w:r w:rsidR="00416D7B">
        <w:rPr>
          <w:rFonts w:ascii="Arial" w:hAnsi="Arial" w:cs="Arial"/>
          <w:color w:val="7B7B7B" w:themeColor="accent3" w:themeShade="BF"/>
          <w:sz w:val="22"/>
          <w:szCs w:val="22"/>
          <w:lang w:val="en-GB"/>
        </w:rPr>
        <w:t xml:space="preserve">FL </w:t>
      </w:r>
      <w:r w:rsidR="00EF08FA">
        <w:rPr>
          <w:rFonts w:ascii="Arial" w:hAnsi="Arial" w:cs="Arial"/>
          <w:color w:val="7B7B7B" w:themeColor="accent3" w:themeShade="BF"/>
          <w:sz w:val="22"/>
          <w:szCs w:val="22"/>
          <w:lang w:val="en-GB"/>
        </w:rPr>
        <w:lastRenderedPageBreak/>
        <w:t xml:space="preserve">would be considered </w:t>
      </w:r>
      <w:r w:rsidR="00416D7B">
        <w:rPr>
          <w:rFonts w:ascii="Arial" w:hAnsi="Arial" w:cs="Arial"/>
          <w:color w:val="7B7B7B" w:themeColor="accent3" w:themeShade="BF"/>
          <w:sz w:val="22"/>
          <w:szCs w:val="22"/>
          <w:lang w:val="en-GB"/>
        </w:rPr>
        <w:t xml:space="preserve">a secured creditor. </w:t>
      </w:r>
      <w:r w:rsidR="00EF08FA">
        <w:rPr>
          <w:rFonts w:ascii="Arial" w:hAnsi="Arial" w:cs="Arial"/>
          <w:color w:val="7B7B7B" w:themeColor="accent3" w:themeShade="BF"/>
          <w:sz w:val="22"/>
          <w:szCs w:val="22"/>
          <w:lang w:val="en-GB"/>
        </w:rPr>
        <w:t xml:space="preserve">The enforcement of fixed charges stands wholly outside the liquidation. </w:t>
      </w:r>
    </w:p>
    <w:p w14:paraId="1B276EA8" w14:textId="77777777" w:rsidR="00EF08FA" w:rsidRDefault="00EF08FA" w:rsidP="00E14FA7">
      <w:pPr>
        <w:autoSpaceDE w:val="0"/>
        <w:autoSpaceDN w:val="0"/>
        <w:adjustRightInd w:val="0"/>
        <w:jc w:val="both"/>
        <w:rPr>
          <w:rFonts w:ascii="Arial" w:hAnsi="Arial" w:cs="Arial"/>
          <w:color w:val="7B7B7B" w:themeColor="accent3" w:themeShade="BF"/>
          <w:sz w:val="22"/>
          <w:szCs w:val="22"/>
          <w:lang w:val="en-GB"/>
        </w:rPr>
      </w:pPr>
    </w:p>
    <w:p w14:paraId="6C18CCD0" w14:textId="7C9194CE" w:rsidR="00416D7B" w:rsidRDefault="00416D7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F08FA">
        <w:rPr>
          <w:rFonts w:ascii="Arial" w:hAnsi="Arial" w:cs="Arial"/>
          <w:color w:val="7B7B7B" w:themeColor="accent3" w:themeShade="BF"/>
          <w:sz w:val="22"/>
          <w:szCs w:val="22"/>
          <w:lang w:val="en-GB"/>
        </w:rPr>
        <w:t xml:space="preserve">security </w:t>
      </w:r>
      <w:r>
        <w:rPr>
          <w:rFonts w:ascii="Arial" w:hAnsi="Arial" w:cs="Arial"/>
          <w:color w:val="7B7B7B" w:themeColor="accent3" w:themeShade="BF"/>
          <w:sz w:val="22"/>
          <w:szCs w:val="22"/>
          <w:lang w:val="en-GB"/>
        </w:rPr>
        <w:t xml:space="preserve">agreement also permitted GFL to appoint the receiver, which is also permitted under Hong Kong law. Generally, the subsequent appointment of a liquidator will not affect the receiver’s right to hold and/sell the property or asset that was the subject of the charge (the receivables). Any realisations made by the receiver out of those assets are generally not available to the liquidator for payment of liquidation expenses. The assets, must however, be used to meet the claims of preferential creditors, provided there is insufficient assets to meet those claims from the uncharged assets available to the liquidator (in this case, the only asset is the receivables). </w:t>
      </w:r>
    </w:p>
    <w:p w14:paraId="3C5316B4" w14:textId="182F7122" w:rsidR="00416D7B" w:rsidRDefault="00416D7B" w:rsidP="00E14FA7">
      <w:pPr>
        <w:autoSpaceDE w:val="0"/>
        <w:autoSpaceDN w:val="0"/>
        <w:adjustRightInd w:val="0"/>
        <w:jc w:val="both"/>
        <w:rPr>
          <w:rFonts w:ascii="Arial" w:hAnsi="Arial" w:cs="Arial"/>
          <w:color w:val="7B7B7B" w:themeColor="accent3" w:themeShade="BF"/>
          <w:sz w:val="22"/>
          <w:szCs w:val="22"/>
          <w:lang w:val="en-GB"/>
        </w:rPr>
      </w:pPr>
    </w:p>
    <w:p w14:paraId="2720D6AA" w14:textId="77777777" w:rsidR="00331552" w:rsidRDefault="00EF08FA"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security agreement </w:t>
      </w:r>
      <w:r w:rsidR="00B55F3C">
        <w:rPr>
          <w:rFonts w:ascii="Arial" w:hAnsi="Arial" w:cs="Arial"/>
          <w:color w:val="7B7B7B" w:themeColor="accent3" w:themeShade="BF"/>
          <w:sz w:val="22"/>
          <w:szCs w:val="22"/>
          <w:lang w:val="en-GB"/>
        </w:rPr>
        <w:t xml:space="preserve">/ fixed charge </w:t>
      </w:r>
      <w:r>
        <w:rPr>
          <w:rFonts w:ascii="Arial" w:hAnsi="Arial" w:cs="Arial"/>
          <w:color w:val="7B7B7B" w:themeColor="accent3" w:themeShade="BF"/>
          <w:sz w:val="22"/>
          <w:szCs w:val="22"/>
          <w:lang w:val="en-GB"/>
        </w:rPr>
        <w:t xml:space="preserve">may be voidable against a liquidator if it was </w:t>
      </w:r>
      <w:r w:rsidR="00331552">
        <w:rPr>
          <w:rFonts w:ascii="Arial" w:hAnsi="Arial" w:cs="Arial"/>
          <w:color w:val="7B7B7B" w:themeColor="accent3" w:themeShade="BF"/>
          <w:sz w:val="22"/>
          <w:szCs w:val="22"/>
          <w:lang w:val="en-GB"/>
        </w:rPr>
        <w:t>an unfair preferential transaction entered</w:t>
      </w:r>
      <w:r>
        <w:rPr>
          <w:rFonts w:ascii="Arial" w:hAnsi="Arial" w:cs="Arial"/>
          <w:color w:val="7B7B7B" w:themeColor="accent3" w:themeShade="BF"/>
          <w:sz w:val="22"/>
          <w:szCs w:val="22"/>
          <w:lang w:val="en-GB"/>
        </w:rPr>
        <w:t xml:space="preserve"> within a certain time before the </w:t>
      </w:r>
      <w:r w:rsidR="00331552">
        <w:rPr>
          <w:rFonts w:ascii="Arial" w:hAnsi="Arial" w:cs="Arial"/>
          <w:color w:val="7B7B7B" w:themeColor="accent3" w:themeShade="BF"/>
          <w:sz w:val="22"/>
          <w:szCs w:val="22"/>
          <w:lang w:val="en-GB"/>
        </w:rPr>
        <w:t>commencement of liquidation (</w:t>
      </w:r>
      <w:r w:rsidR="00B55F3C">
        <w:rPr>
          <w:rFonts w:ascii="Arial" w:hAnsi="Arial" w:cs="Arial"/>
          <w:color w:val="7B7B7B" w:themeColor="accent3" w:themeShade="BF"/>
          <w:sz w:val="22"/>
          <w:szCs w:val="22"/>
          <w:lang w:val="en-GB"/>
        </w:rPr>
        <w:t>e</w:t>
      </w:r>
      <w:r w:rsidR="00331552">
        <w:rPr>
          <w:rFonts w:ascii="Arial" w:hAnsi="Arial" w:cs="Arial"/>
          <w:color w:val="7B7B7B" w:themeColor="accent3" w:themeShade="BF"/>
          <w:sz w:val="22"/>
          <w:szCs w:val="22"/>
          <w:lang w:val="en-GB"/>
        </w:rPr>
        <w:t xml:space="preserve">xcept as to new money lent). An unfair preference occurs where Kite acted so as to place GFL in a better position than it would have been upon Kite being put in liquidation. The transaction must have been entered into during the 6 months prior to commencement of winding up or 2 years where the beneficiary under the transaction was a person connected to Kite.  In this case, there was nothing to suggest GFL was connected to Kite so the relevant period is 6 months prior to liquidation. </w:t>
      </w:r>
    </w:p>
    <w:p w14:paraId="70FC56E5" w14:textId="77777777" w:rsidR="00331552" w:rsidRDefault="00331552" w:rsidP="00E14FA7">
      <w:pPr>
        <w:autoSpaceDE w:val="0"/>
        <w:autoSpaceDN w:val="0"/>
        <w:adjustRightInd w:val="0"/>
        <w:jc w:val="both"/>
        <w:rPr>
          <w:rFonts w:ascii="Arial" w:hAnsi="Arial" w:cs="Arial"/>
          <w:color w:val="7B7B7B" w:themeColor="accent3" w:themeShade="BF"/>
          <w:sz w:val="22"/>
          <w:szCs w:val="22"/>
          <w:lang w:val="en-GB"/>
        </w:rPr>
      </w:pPr>
    </w:p>
    <w:p w14:paraId="2A1C425E" w14:textId="77777777" w:rsidR="00982BEF" w:rsidRDefault="00331552" w:rsidP="0033155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unclear when liquidation commenced and when Kite and GFL entered into the agreement, but provided that the agreement was entered within the 6 months period, the liquidator may void the agreement.</w:t>
      </w:r>
      <w:r w:rsidR="00982BEF">
        <w:rPr>
          <w:rFonts w:ascii="Arial" w:hAnsi="Arial" w:cs="Arial"/>
          <w:color w:val="7B7B7B" w:themeColor="accent3" w:themeShade="BF"/>
          <w:sz w:val="22"/>
          <w:szCs w:val="22"/>
          <w:lang w:val="en-GB"/>
        </w:rPr>
        <w:t xml:space="preserve"> The liquidator must show that:</w:t>
      </w:r>
    </w:p>
    <w:p w14:paraId="239C62FB" w14:textId="77777777" w:rsidR="00982BEF" w:rsidRDefault="00982BEF" w:rsidP="00331552">
      <w:pPr>
        <w:autoSpaceDE w:val="0"/>
        <w:autoSpaceDN w:val="0"/>
        <w:adjustRightInd w:val="0"/>
        <w:jc w:val="both"/>
        <w:rPr>
          <w:rFonts w:ascii="Arial" w:hAnsi="Arial" w:cs="Arial"/>
          <w:color w:val="7B7B7B" w:themeColor="accent3" w:themeShade="BF"/>
          <w:sz w:val="22"/>
          <w:szCs w:val="22"/>
          <w:lang w:val="en-GB"/>
        </w:rPr>
      </w:pPr>
    </w:p>
    <w:p w14:paraId="6F278148" w14:textId="77777777" w:rsidR="00982BEF" w:rsidRDefault="00982BEF" w:rsidP="00982BEF">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the transaction the company was unable to pay its debt / became unable to pay its debt due to the transaction concerned. Here, there is no dispute that Kite had difficulty paying its debts</w:t>
      </w:r>
    </w:p>
    <w:p w14:paraId="2CFE66F4" w14:textId="77777777" w:rsidR="00982BEF" w:rsidRDefault="00982BEF" w:rsidP="00982BEF">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influenced by a desire to improve GFL’s position in the event of a liquidation. </w:t>
      </w:r>
      <w:r w:rsidR="00331552" w:rsidRPr="00982BEF">
        <w:rPr>
          <w:rFonts w:ascii="Arial" w:hAnsi="Arial" w:cs="Arial"/>
          <w:color w:val="7B7B7B" w:themeColor="accent3" w:themeShade="BF"/>
          <w:sz w:val="22"/>
          <w:szCs w:val="22"/>
          <w:lang w:val="en-GB"/>
        </w:rPr>
        <w:t xml:space="preserve">It has been held that where a company </w:t>
      </w:r>
      <w:r>
        <w:rPr>
          <w:rFonts w:ascii="Arial" w:hAnsi="Arial" w:cs="Arial"/>
          <w:color w:val="7B7B7B" w:themeColor="accent3" w:themeShade="BF"/>
          <w:sz w:val="22"/>
          <w:szCs w:val="22"/>
          <w:lang w:val="en-GB"/>
        </w:rPr>
        <w:t>gives a</w:t>
      </w:r>
      <w:r w:rsidR="00331552" w:rsidRPr="00982BEF">
        <w:rPr>
          <w:rFonts w:ascii="Arial" w:hAnsi="Arial" w:cs="Arial"/>
          <w:color w:val="7B7B7B" w:themeColor="accent3" w:themeShade="BF"/>
          <w:sz w:val="22"/>
          <w:szCs w:val="22"/>
          <w:lang w:val="en-GB"/>
        </w:rPr>
        <w:t xml:space="preserve"> financer a charge over an asset and there is no good grounds for doing so save that the company was under the threat of insolvency, then the security agreement is liable to be set aside on the grounds that it was an unfair preference</w:t>
      </w:r>
      <w:r>
        <w:rPr>
          <w:rFonts w:ascii="Arial" w:hAnsi="Arial" w:cs="Arial"/>
          <w:color w:val="7B7B7B" w:themeColor="accent3" w:themeShade="BF"/>
          <w:sz w:val="22"/>
          <w:szCs w:val="22"/>
          <w:lang w:val="en-GB"/>
        </w:rPr>
        <w:t xml:space="preserve"> (Re Sweetmark v Garment Works)</w:t>
      </w:r>
      <w:r w:rsidR="00331552" w:rsidRPr="00982BE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is especially so if no new money was given in exchange for the charge. </w:t>
      </w:r>
      <w:r w:rsidRPr="00982BEF">
        <w:rPr>
          <w:rFonts w:ascii="Arial" w:hAnsi="Arial" w:cs="Arial"/>
          <w:color w:val="7B7B7B" w:themeColor="accent3" w:themeShade="BF"/>
          <w:sz w:val="22"/>
          <w:szCs w:val="22"/>
          <w:lang w:val="en-GB"/>
        </w:rPr>
        <w:t xml:space="preserve">Here, GFL instated on the </w:t>
      </w:r>
      <w:r>
        <w:rPr>
          <w:rFonts w:ascii="Arial" w:hAnsi="Arial" w:cs="Arial"/>
          <w:color w:val="7B7B7B" w:themeColor="accent3" w:themeShade="BF"/>
          <w:sz w:val="22"/>
          <w:szCs w:val="22"/>
          <w:lang w:val="en-GB"/>
        </w:rPr>
        <w:t xml:space="preserve">fixed charge and there is nothing suggesting that it gave Kite more funds. There is therefore evidence that the company positively wished to improve GFL’s position in the event of its own insolvent liquidation. </w:t>
      </w:r>
    </w:p>
    <w:p w14:paraId="43FFF37C" w14:textId="77777777" w:rsidR="00982BEF" w:rsidRDefault="00982BEF" w:rsidP="00982BEF">
      <w:pPr>
        <w:autoSpaceDE w:val="0"/>
        <w:autoSpaceDN w:val="0"/>
        <w:adjustRightInd w:val="0"/>
        <w:jc w:val="both"/>
        <w:rPr>
          <w:rFonts w:ascii="Arial" w:hAnsi="Arial" w:cs="Arial"/>
          <w:color w:val="7B7B7B" w:themeColor="accent3" w:themeShade="BF"/>
          <w:sz w:val="22"/>
          <w:szCs w:val="22"/>
          <w:lang w:val="en-GB"/>
        </w:rPr>
      </w:pPr>
    </w:p>
    <w:p w14:paraId="3288FAF2" w14:textId="77777777" w:rsidR="00982BEF" w:rsidRDefault="00982BEF" w:rsidP="00982BE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therefore seek an order setting aside the fixed charge on the basis that it was an unfair preference and seek orders pursuant to section 266 of the CWUMPO:</w:t>
      </w:r>
    </w:p>
    <w:p w14:paraId="51EE2BFA" w14:textId="0A5E2B91" w:rsidR="00982BEF" w:rsidRDefault="00982BEF" w:rsidP="00982BEF">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Vesting the </w:t>
      </w:r>
      <w:r w:rsidR="00611ED2">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with the property subject to the unfair preference ( the receivables);</w:t>
      </w:r>
    </w:p>
    <w:p w14:paraId="1175F135" w14:textId="77777777" w:rsidR="00982BEF" w:rsidRDefault="00982BEF" w:rsidP="00982BEF">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Releasing or discharging the security (fixed charge) given by Kite to GFL;</w:t>
      </w:r>
    </w:p>
    <w:p w14:paraId="542D7114" w14:textId="77777777" w:rsidR="00611ED2" w:rsidRDefault="00611ED2" w:rsidP="00982BEF">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Directing GFL to pay to the liquidators any benefit received from the company (including any realisations);</w:t>
      </w:r>
    </w:p>
    <w:p w14:paraId="61D24E84" w14:textId="77777777" w:rsidR="00611ED2" w:rsidRDefault="00611ED2" w:rsidP="00611ED2">
      <w:pPr>
        <w:pStyle w:val="ListParagraph"/>
        <w:autoSpaceDE w:val="0"/>
        <w:autoSpaceDN w:val="0"/>
        <w:adjustRightInd w:val="0"/>
        <w:jc w:val="both"/>
        <w:rPr>
          <w:rFonts w:ascii="Arial" w:hAnsi="Arial" w:cs="Arial"/>
          <w:color w:val="7B7B7B" w:themeColor="accent3" w:themeShade="BF"/>
          <w:sz w:val="22"/>
          <w:szCs w:val="22"/>
          <w:lang w:val="en-GB"/>
        </w:rPr>
      </w:pPr>
    </w:p>
    <w:p w14:paraId="3BAC921D" w14:textId="482C2D4A" w:rsidR="00331552" w:rsidRPr="00982BEF" w:rsidRDefault="00982BEF" w:rsidP="00611ED2">
      <w:pPr>
        <w:pStyle w:val="ListParagraph"/>
        <w:autoSpaceDE w:val="0"/>
        <w:autoSpaceDN w:val="0"/>
        <w:adjustRightInd w:val="0"/>
        <w:jc w:val="both"/>
        <w:rPr>
          <w:rFonts w:ascii="Arial" w:hAnsi="Arial" w:cs="Arial"/>
          <w:color w:val="7B7B7B" w:themeColor="accent3" w:themeShade="BF"/>
          <w:sz w:val="22"/>
          <w:szCs w:val="22"/>
          <w:lang w:val="en-GB"/>
        </w:rPr>
      </w:pPr>
      <w:r w:rsidRPr="00982BEF">
        <w:rPr>
          <w:rFonts w:ascii="Arial" w:hAnsi="Arial" w:cs="Arial"/>
          <w:color w:val="7B7B7B" w:themeColor="accent3" w:themeShade="BF"/>
          <w:sz w:val="22"/>
          <w:szCs w:val="22"/>
          <w:lang w:val="en-GB"/>
        </w:rPr>
        <w:t xml:space="preserve"> </w:t>
      </w:r>
    </w:p>
    <w:p w14:paraId="602ACA55" w14:textId="665FEFAA" w:rsidR="007C399C" w:rsidRDefault="007C399C" w:rsidP="00E14FA7">
      <w:pPr>
        <w:autoSpaceDE w:val="0"/>
        <w:autoSpaceDN w:val="0"/>
        <w:adjustRightInd w:val="0"/>
        <w:jc w:val="both"/>
        <w:rPr>
          <w:rFonts w:ascii="Arial" w:hAnsi="Arial" w:cs="Arial"/>
          <w:color w:val="7B7B7B" w:themeColor="accent3" w:themeShade="BF"/>
          <w:sz w:val="22"/>
          <w:szCs w:val="22"/>
          <w:lang w:val="en-GB"/>
        </w:rPr>
      </w:pPr>
    </w:p>
    <w:p w14:paraId="097A3FB4" w14:textId="1EE95BC0"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7971A36C" w14:textId="11006C7B"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584E5970" w14:textId="332676DD"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65AACF3B" w14:textId="087BB306"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0C8FA468" w14:textId="19E2A9B9"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2795EC49" w14:textId="77777777" w:rsidR="004414C7" w:rsidRDefault="004414C7" w:rsidP="00E14FA7">
      <w:pPr>
        <w:autoSpaceDE w:val="0"/>
        <w:autoSpaceDN w:val="0"/>
        <w:adjustRightInd w:val="0"/>
        <w:jc w:val="both"/>
        <w:rPr>
          <w:rFonts w:ascii="Arial" w:hAnsi="Arial" w:cs="Arial"/>
          <w:color w:val="7B7B7B" w:themeColor="accent3" w:themeShade="BF"/>
          <w:sz w:val="22"/>
          <w:szCs w:val="22"/>
          <w:lang w:val="en-GB"/>
        </w:rPr>
      </w:pPr>
    </w:p>
    <w:p w14:paraId="4E6AC1AE" w14:textId="77777777" w:rsidR="007C399C" w:rsidRPr="007E1E1F" w:rsidRDefault="007C399C"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lastRenderedPageBreak/>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1D35FEC1" w:rsidR="003765EF" w:rsidRDefault="007E1E1F" w:rsidP="007E1E1F">
      <w:pPr>
        <w:jc w:val="both"/>
        <w:rPr>
          <w:rFonts w:ascii="Arial" w:hAnsi="Arial" w:cs="Arial"/>
          <w:sz w:val="22"/>
          <w:szCs w:val="22"/>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3B7AE225" w14:textId="493AF324" w:rsidR="00D959EF" w:rsidRDefault="00D959EF" w:rsidP="007E1E1F">
      <w:pPr>
        <w:jc w:val="both"/>
        <w:rPr>
          <w:rFonts w:ascii="Arial" w:hAnsi="Arial" w:cs="Arial"/>
          <w:sz w:val="22"/>
          <w:szCs w:val="22"/>
        </w:rPr>
      </w:pPr>
    </w:p>
    <w:p w14:paraId="758E8E4E" w14:textId="77777777" w:rsidR="00D959EF" w:rsidRDefault="00D959EF" w:rsidP="007E1E1F">
      <w:pPr>
        <w:jc w:val="both"/>
        <w:rPr>
          <w:rFonts w:ascii="Arial" w:hAnsi="Arial" w:cs="Arial"/>
          <w:sz w:val="22"/>
          <w:szCs w:val="22"/>
        </w:rPr>
      </w:pPr>
    </w:p>
    <w:p w14:paraId="4CC2E506" w14:textId="77777777" w:rsidR="00D41E0A" w:rsidRDefault="00D959EF" w:rsidP="007E1E1F">
      <w:pPr>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Based on Hong Kong common law, the BVI liquidator has a right to bring an action in Hong Kong to </w:t>
      </w:r>
      <w:r w:rsidR="00D41E0A">
        <w:rPr>
          <w:rFonts w:ascii="Arial" w:hAnsi="Arial" w:cs="Arial"/>
          <w:color w:val="7F7F7F" w:themeColor="text1" w:themeTint="80"/>
          <w:sz w:val="22"/>
          <w:szCs w:val="22"/>
        </w:rPr>
        <w:t>recognize the BVI</w:t>
      </w:r>
      <w:r>
        <w:rPr>
          <w:rFonts w:ascii="Arial" w:hAnsi="Arial" w:cs="Arial"/>
          <w:color w:val="7F7F7F" w:themeColor="text1" w:themeTint="80"/>
          <w:sz w:val="22"/>
          <w:szCs w:val="22"/>
        </w:rPr>
        <w:t xml:space="preserve"> insolvency of SPL. The Hong Kong court will assist the BVI liquidator as a foreign representative by relying on common law principles</w:t>
      </w:r>
      <w:r w:rsidR="00D41E0A">
        <w:rPr>
          <w:rFonts w:ascii="Arial" w:hAnsi="Arial" w:cs="Arial"/>
          <w:color w:val="7F7F7F" w:themeColor="text1" w:themeTint="80"/>
          <w:sz w:val="22"/>
          <w:szCs w:val="22"/>
        </w:rPr>
        <w:t xml:space="preserve">. </w:t>
      </w:r>
    </w:p>
    <w:p w14:paraId="7F226387" w14:textId="77777777" w:rsidR="00D41E0A" w:rsidRDefault="00D41E0A" w:rsidP="007E1E1F">
      <w:pPr>
        <w:jc w:val="both"/>
        <w:rPr>
          <w:rFonts w:ascii="Arial" w:hAnsi="Arial" w:cs="Arial"/>
          <w:color w:val="7F7F7F" w:themeColor="text1" w:themeTint="80"/>
          <w:sz w:val="22"/>
          <w:szCs w:val="22"/>
        </w:rPr>
      </w:pPr>
    </w:p>
    <w:p w14:paraId="58A4ADFB" w14:textId="17F3CD94" w:rsidR="00D959EF" w:rsidRPr="00D959EF" w:rsidRDefault="00D41E0A" w:rsidP="007E1E1F">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rPr>
        <w:t xml:space="preserve">The Hong Kong court may also grant ancillary winding up orders in Hong Kong, which will provide the liquidator with powers exercisable under CWUMPO and CWUR. </w:t>
      </w:r>
    </w:p>
    <w:p w14:paraId="779C2057" w14:textId="77777777" w:rsidR="003765EF" w:rsidRPr="00D959EF" w:rsidRDefault="003765EF" w:rsidP="00E14FA7">
      <w:pPr>
        <w:jc w:val="both"/>
        <w:rPr>
          <w:rFonts w:ascii="Arial" w:hAnsi="Arial" w:cs="Arial"/>
          <w:color w:val="7F7F7F" w:themeColor="text1" w:themeTint="80"/>
          <w:sz w:val="22"/>
          <w:szCs w:val="22"/>
          <w:lang w:val="en-GB"/>
        </w:rPr>
      </w:pPr>
    </w:p>
    <w:p w14:paraId="516924A1" w14:textId="77777777" w:rsidR="00D959EF" w:rsidRPr="00D41E0A" w:rsidRDefault="00D959EF" w:rsidP="00D959EF">
      <w:pPr>
        <w:pStyle w:val="ListParagraph"/>
        <w:numPr>
          <w:ilvl w:val="0"/>
          <w:numId w:val="40"/>
        </w:numPr>
        <w:spacing w:after="160" w:line="259" w:lineRule="auto"/>
        <w:jc w:val="both"/>
        <w:rPr>
          <w:rFonts w:ascii="Arial" w:hAnsi="Arial" w:cs="Arial"/>
          <w:b/>
          <w:color w:val="7F7F7F" w:themeColor="text1" w:themeTint="80"/>
          <w:sz w:val="22"/>
          <w:szCs w:val="22"/>
          <w:u w:val="single"/>
        </w:rPr>
      </w:pPr>
      <w:r w:rsidRPr="00D41E0A">
        <w:rPr>
          <w:rFonts w:ascii="Arial" w:hAnsi="Arial" w:cs="Arial"/>
          <w:b/>
          <w:color w:val="7F7F7F" w:themeColor="text1" w:themeTint="80"/>
          <w:sz w:val="22"/>
          <w:szCs w:val="22"/>
          <w:u w:val="single"/>
        </w:rPr>
        <w:lastRenderedPageBreak/>
        <w:t xml:space="preserve">The FA clause in the FA </w:t>
      </w:r>
    </w:p>
    <w:p w14:paraId="62A38773" w14:textId="77777777" w:rsidR="00D959EF" w:rsidRDefault="00D959EF" w:rsidP="00D959EF">
      <w:pPr>
        <w:pStyle w:val="ListParagraph"/>
        <w:spacing w:after="160" w:line="259" w:lineRule="auto"/>
        <w:ind w:left="502"/>
        <w:jc w:val="both"/>
        <w:rPr>
          <w:rFonts w:ascii="Arial" w:hAnsi="Arial" w:cs="Arial"/>
          <w:color w:val="7F7F7F" w:themeColor="text1" w:themeTint="80"/>
          <w:sz w:val="22"/>
          <w:szCs w:val="22"/>
        </w:rPr>
      </w:pPr>
    </w:p>
    <w:p w14:paraId="6FE10B13" w14:textId="77777777" w:rsidR="00026780" w:rsidRDefault="00026780" w:rsidP="00D959EF">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The FA is governed by Hong Kong law. Therefore the liquidator may seek certain declarations from the court in respect of the FA’s clauses. </w:t>
      </w:r>
    </w:p>
    <w:p w14:paraId="11306C4C" w14:textId="77777777" w:rsidR="00026780" w:rsidRDefault="00026780" w:rsidP="00D959EF">
      <w:pPr>
        <w:pStyle w:val="ListParagraph"/>
        <w:spacing w:after="160" w:line="259" w:lineRule="auto"/>
        <w:ind w:left="502"/>
        <w:jc w:val="both"/>
        <w:rPr>
          <w:rFonts w:ascii="Arial" w:hAnsi="Arial" w:cs="Arial"/>
          <w:color w:val="7F7F7F" w:themeColor="text1" w:themeTint="80"/>
          <w:sz w:val="22"/>
          <w:szCs w:val="22"/>
        </w:rPr>
      </w:pPr>
    </w:p>
    <w:p w14:paraId="5AF8E3E3" w14:textId="7A11056C" w:rsidR="00A930C3" w:rsidRDefault="00D959EF" w:rsidP="00D959EF">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Generally</w:t>
      </w:r>
      <w:r w:rsidR="00A930C3">
        <w:rPr>
          <w:rFonts w:ascii="Arial" w:hAnsi="Arial" w:cs="Arial"/>
          <w:color w:val="7F7F7F" w:themeColor="text1" w:themeTint="80"/>
          <w:sz w:val="22"/>
          <w:szCs w:val="22"/>
        </w:rPr>
        <w:t xml:space="preserve">, </w:t>
      </w:r>
      <w:r>
        <w:rPr>
          <w:rFonts w:ascii="Arial" w:hAnsi="Arial" w:cs="Arial"/>
          <w:color w:val="7F7F7F" w:themeColor="text1" w:themeTint="80"/>
          <w:sz w:val="22"/>
          <w:szCs w:val="22"/>
        </w:rPr>
        <w:t xml:space="preserve">in Hong Kong </w:t>
      </w:r>
      <w:r w:rsidR="00A930C3">
        <w:rPr>
          <w:rFonts w:ascii="Arial" w:hAnsi="Arial" w:cs="Arial"/>
          <w:color w:val="7F7F7F" w:themeColor="text1" w:themeTint="80"/>
          <w:sz w:val="22"/>
          <w:szCs w:val="22"/>
        </w:rPr>
        <w:t xml:space="preserve">a contractual clause that provides for the determination or modification of the contract upon the insolvency of the counter party will be upheld, though there are limits to this. </w:t>
      </w:r>
      <w:r w:rsidR="00026780">
        <w:rPr>
          <w:rFonts w:ascii="Arial" w:hAnsi="Arial" w:cs="Arial"/>
          <w:color w:val="7F7F7F" w:themeColor="text1" w:themeTint="80"/>
          <w:sz w:val="22"/>
          <w:szCs w:val="22"/>
        </w:rPr>
        <w:t>For example, and in</w:t>
      </w:r>
      <w:r w:rsidR="00A930C3">
        <w:rPr>
          <w:rFonts w:ascii="Arial" w:hAnsi="Arial" w:cs="Arial"/>
          <w:color w:val="7F7F7F" w:themeColor="text1" w:themeTint="80"/>
          <w:sz w:val="22"/>
          <w:szCs w:val="22"/>
        </w:rPr>
        <w:t xml:space="preserve"> accordance with the ‘anti-deprivation principle’</w:t>
      </w:r>
      <w:r w:rsidR="00026780">
        <w:rPr>
          <w:rFonts w:ascii="Arial" w:hAnsi="Arial" w:cs="Arial"/>
          <w:color w:val="7F7F7F" w:themeColor="text1" w:themeTint="80"/>
          <w:sz w:val="22"/>
          <w:szCs w:val="22"/>
        </w:rPr>
        <w:t>,</w:t>
      </w:r>
      <w:r w:rsidR="00A930C3">
        <w:rPr>
          <w:rFonts w:ascii="Arial" w:hAnsi="Arial" w:cs="Arial"/>
          <w:color w:val="7F7F7F" w:themeColor="text1" w:themeTint="80"/>
          <w:sz w:val="22"/>
          <w:szCs w:val="22"/>
        </w:rPr>
        <w:t xml:space="preserve"> the Hong Kong</w:t>
      </w:r>
      <w:r w:rsidR="00A930C3" w:rsidRPr="00D959EF">
        <w:rPr>
          <w:rFonts w:ascii="Arial" w:hAnsi="Arial" w:cs="Arial"/>
          <w:color w:val="7F7F7F" w:themeColor="text1" w:themeTint="80"/>
          <w:sz w:val="22"/>
          <w:szCs w:val="22"/>
        </w:rPr>
        <w:t xml:space="preserve"> </w:t>
      </w:r>
      <w:r w:rsidR="00A930C3">
        <w:rPr>
          <w:rFonts w:ascii="Arial" w:hAnsi="Arial" w:cs="Arial"/>
          <w:color w:val="7F7F7F" w:themeColor="text1" w:themeTint="80"/>
          <w:sz w:val="22"/>
          <w:szCs w:val="22"/>
        </w:rPr>
        <w:t xml:space="preserve">court will not uphold a term in the agreement which results in general creditors being deprived of an asset that would, in the absence of such a clause, be used to satisfy their debts. </w:t>
      </w:r>
    </w:p>
    <w:p w14:paraId="79EB6C9B" w14:textId="43011755" w:rsidR="00A930C3" w:rsidRDefault="00A930C3" w:rsidP="00D959EF">
      <w:pPr>
        <w:pStyle w:val="ListParagraph"/>
        <w:spacing w:after="160" w:line="259" w:lineRule="auto"/>
        <w:ind w:left="502"/>
        <w:jc w:val="both"/>
        <w:rPr>
          <w:rFonts w:ascii="Arial" w:hAnsi="Arial" w:cs="Arial"/>
          <w:color w:val="7F7F7F" w:themeColor="text1" w:themeTint="80"/>
          <w:sz w:val="22"/>
          <w:szCs w:val="22"/>
        </w:rPr>
      </w:pPr>
    </w:p>
    <w:p w14:paraId="7F1B5A8A" w14:textId="3D03F64D" w:rsidR="00A930C3" w:rsidRDefault="00A930C3" w:rsidP="00D959EF">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Here, Mr Xu is a general creditor of SPL. There was no security agreement between him and SPL in respect of the investment. He is therefore entitled to the benefit of the ‘anti-deprivation principle’</w:t>
      </w:r>
      <w:r w:rsidR="00026780">
        <w:rPr>
          <w:rFonts w:ascii="Arial" w:hAnsi="Arial" w:cs="Arial"/>
          <w:color w:val="7F7F7F" w:themeColor="text1" w:themeTint="80"/>
          <w:sz w:val="22"/>
          <w:szCs w:val="22"/>
        </w:rPr>
        <w:t>.</w:t>
      </w:r>
    </w:p>
    <w:p w14:paraId="7AA2AE8A" w14:textId="77777777" w:rsidR="00A930C3" w:rsidRDefault="00A930C3" w:rsidP="00D959EF">
      <w:pPr>
        <w:pStyle w:val="ListParagraph"/>
        <w:spacing w:after="160" w:line="259" w:lineRule="auto"/>
        <w:ind w:left="502"/>
        <w:jc w:val="both"/>
        <w:rPr>
          <w:rFonts w:ascii="Arial" w:hAnsi="Arial" w:cs="Arial"/>
          <w:color w:val="7F7F7F" w:themeColor="text1" w:themeTint="80"/>
          <w:sz w:val="22"/>
          <w:szCs w:val="22"/>
        </w:rPr>
      </w:pPr>
    </w:p>
    <w:p w14:paraId="1BE8FAA3" w14:textId="3407DD3C" w:rsidR="00A930C3" w:rsidRDefault="00A930C3" w:rsidP="00D959EF">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The clause in the FA puts </w:t>
      </w:r>
      <w:r w:rsidRPr="007E1E1F">
        <w:rPr>
          <w:rFonts w:ascii="Arial" w:hAnsi="Arial" w:cs="Arial"/>
          <w:sz w:val="22"/>
          <w:szCs w:val="22"/>
        </w:rPr>
        <w:t>shareholder</w:t>
      </w:r>
      <w:r>
        <w:rPr>
          <w:rFonts w:ascii="Arial" w:hAnsi="Arial" w:cs="Arial"/>
          <w:sz w:val="22"/>
          <w:szCs w:val="22"/>
        </w:rPr>
        <w:t xml:space="preserve"> who</w:t>
      </w:r>
      <w:r w:rsidRPr="007E1E1F">
        <w:rPr>
          <w:rFonts w:ascii="Arial" w:hAnsi="Arial" w:cs="Arial"/>
          <w:sz w:val="22"/>
          <w:szCs w:val="22"/>
        </w:rPr>
        <w:t xml:space="preserve"> </w:t>
      </w:r>
      <w:r>
        <w:rPr>
          <w:rFonts w:ascii="Arial" w:hAnsi="Arial" w:cs="Arial"/>
          <w:sz w:val="22"/>
          <w:szCs w:val="22"/>
        </w:rPr>
        <w:t>provided loans to</w:t>
      </w:r>
      <w:r w:rsidRPr="007E1E1F">
        <w:rPr>
          <w:rFonts w:ascii="Arial" w:hAnsi="Arial" w:cs="Arial"/>
          <w:sz w:val="22"/>
          <w:szCs w:val="22"/>
        </w:rPr>
        <w:t xml:space="preserve"> Mr Qi </w:t>
      </w:r>
      <w:r>
        <w:rPr>
          <w:rFonts w:ascii="Arial" w:hAnsi="Arial" w:cs="Arial"/>
          <w:sz w:val="22"/>
          <w:szCs w:val="22"/>
        </w:rPr>
        <w:t xml:space="preserve">in a better position than Mr Xu. </w:t>
      </w:r>
      <w:r w:rsidR="00026780">
        <w:rPr>
          <w:rFonts w:ascii="Arial" w:hAnsi="Arial" w:cs="Arial"/>
          <w:sz w:val="22"/>
          <w:szCs w:val="22"/>
        </w:rPr>
        <w:t xml:space="preserve">Those shareholders are also presumed to be general creditors. Therefore the clause in the FA breaches the anti-deprivation rule. The BVI liquidators may seek the Hong Court declaration to that effect.  </w:t>
      </w:r>
    </w:p>
    <w:p w14:paraId="3E242F11" w14:textId="77777777" w:rsidR="00A930C3" w:rsidRDefault="00A930C3" w:rsidP="00D959EF">
      <w:pPr>
        <w:pStyle w:val="ListParagraph"/>
        <w:spacing w:after="160" w:line="259" w:lineRule="auto"/>
        <w:ind w:left="502"/>
        <w:jc w:val="both"/>
        <w:rPr>
          <w:rFonts w:ascii="Arial" w:hAnsi="Arial" w:cs="Arial"/>
          <w:color w:val="7F7F7F" w:themeColor="text1" w:themeTint="80"/>
          <w:sz w:val="22"/>
          <w:szCs w:val="22"/>
        </w:rPr>
      </w:pPr>
    </w:p>
    <w:p w14:paraId="1D3264F1" w14:textId="77777777" w:rsidR="00D959EF" w:rsidRPr="00D959EF" w:rsidRDefault="00D959EF" w:rsidP="00D959EF">
      <w:pPr>
        <w:pStyle w:val="ListParagraph"/>
        <w:ind w:left="426"/>
        <w:jc w:val="both"/>
        <w:rPr>
          <w:rFonts w:ascii="Arial" w:hAnsi="Arial" w:cs="Arial"/>
          <w:color w:val="7F7F7F" w:themeColor="text1" w:themeTint="80"/>
          <w:sz w:val="22"/>
          <w:szCs w:val="22"/>
        </w:rPr>
      </w:pPr>
    </w:p>
    <w:p w14:paraId="6973E9CA" w14:textId="77777777" w:rsidR="00026780" w:rsidRDefault="00D959EF" w:rsidP="00026780">
      <w:pPr>
        <w:pStyle w:val="ListParagraph"/>
        <w:numPr>
          <w:ilvl w:val="0"/>
          <w:numId w:val="40"/>
        </w:numPr>
        <w:spacing w:after="160" w:line="259" w:lineRule="auto"/>
        <w:jc w:val="both"/>
        <w:rPr>
          <w:rFonts w:ascii="Arial" w:hAnsi="Arial" w:cs="Arial"/>
          <w:color w:val="7F7F7F" w:themeColor="text1" w:themeTint="80"/>
          <w:sz w:val="22"/>
          <w:szCs w:val="22"/>
        </w:rPr>
      </w:pPr>
      <w:r w:rsidRPr="00D41E0A">
        <w:rPr>
          <w:rFonts w:ascii="Arial" w:hAnsi="Arial" w:cs="Arial"/>
          <w:b/>
          <w:color w:val="7F7F7F" w:themeColor="text1" w:themeTint="80"/>
          <w:sz w:val="22"/>
          <w:szCs w:val="22"/>
          <w:u w:val="single"/>
        </w:rPr>
        <w:t>SPL has a (supposedly independent) director, Mr Zhang, who lives in Hong Kong; and SPL also has a book-keeper, Mr Wong, who lives in Hong Kong.  Neither Mr Zhang nor Mr Wong are replying to emails from the liquidator</w:t>
      </w:r>
      <w:r w:rsidRPr="00D959EF">
        <w:rPr>
          <w:rFonts w:ascii="Arial" w:hAnsi="Arial" w:cs="Arial"/>
          <w:color w:val="7F7F7F" w:themeColor="text1" w:themeTint="80"/>
          <w:sz w:val="22"/>
          <w:szCs w:val="22"/>
        </w:rPr>
        <w:t>;</w:t>
      </w:r>
    </w:p>
    <w:p w14:paraId="77F34048" w14:textId="77777777" w:rsidR="00026780" w:rsidRDefault="00026780" w:rsidP="00026780">
      <w:pPr>
        <w:pStyle w:val="ListParagraph"/>
        <w:spacing w:after="160" w:line="259" w:lineRule="auto"/>
        <w:ind w:left="502"/>
        <w:jc w:val="both"/>
        <w:rPr>
          <w:rFonts w:ascii="Arial" w:hAnsi="Arial" w:cs="Arial"/>
          <w:b/>
          <w:color w:val="7F7F7F" w:themeColor="text1" w:themeTint="80"/>
          <w:sz w:val="22"/>
          <w:szCs w:val="22"/>
          <w:u w:val="single"/>
        </w:rPr>
      </w:pPr>
    </w:p>
    <w:p w14:paraId="7C6C55D4" w14:textId="2CE0140B" w:rsidR="00D41E0A" w:rsidRDefault="00D41E0A" w:rsidP="00026780">
      <w:pPr>
        <w:pStyle w:val="ListParagraph"/>
        <w:spacing w:after="160" w:line="259" w:lineRule="auto"/>
        <w:ind w:left="502"/>
        <w:jc w:val="both"/>
        <w:rPr>
          <w:rFonts w:ascii="Arial" w:hAnsi="Arial" w:cs="Arial"/>
          <w:color w:val="7F7F7F" w:themeColor="text1" w:themeTint="80"/>
          <w:sz w:val="22"/>
          <w:szCs w:val="22"/>
        </w:rPr>
      </w:pPr>
      <w:r w:rsidRPr="00026780">
        <w:rPr>
          <w:rFonts w:ascii="Arial" w:hAnsi="Arial" w:cs="Arial"/>
          <w:color w:val="7F7F7F" w:themeColor="text1" w:themeTint="80"/>
          <w:sz w:val="22"/>
          <w:szCs w:val="22"/>
        </w:rPr>
        <w:t xml:space="preserve">In </w:t>
      </w:r>
      <w:r w:rsidR="00026780">
        <w:rPr>
          <w:rFonts w:ascii="Arial" w:hAnsi="Arial" w:cs="Arial"/>
          <w:color w:val="7F7F7F" w:themeColor="text1" w:themeTint="80"/>
          <w:sz w:val="22"/>
          <w:szCs w:val="22"/>
        </w:rPr>
        <w:t xml:space="preserve">the recent cases of </w:t>
      </w:r>
      <w:r w:rsidRPr="00026780">
        <w:rPr>
          <w:rFonts w:ascii="Arial" w:hAnsi="Arial" w:cs="Arial"/>
          <w:i/>
          <w:color w:val="7F7F7F" w:themeColor="text1" w:themeTint="80"/>
          <w:sz w:val="22"/>
          <w:szCs w:val="22"/>
        </w:rPr>
        <w:t>Re BJB Career Education Co Ltd</w:t>
      </w:r>
      <w:r w:rsidRPr="00026780">
        <w:rPr>
          <w:rFonts w:ascii="Arial" w:hAnsi="Arial" w:cs="Arial"/>
          <w:color w:val="7F7F7F" w:themeColor="text1" w:themeTint="80"/>
          <w:sz w:val="22"/>
          <w:szCs w:val="22"/>
        </w:rPr>
        <w:t xml:space="preserve"> and </w:t>
      </w:r>
      <w:r w:rsidRPr="00026780">
        <w:rPr>
          <w:rFonts w:ascii="Arial" w:hAnsi="Arial" w:cs="Arial"/>
          <w:i/>
          <w:color w:val="7F7F7F" w:themeColor="text1" w:themeTint="80"/>
          <w:sz w:val="22"/>
          <w:szCs w:val="22"/>
        </w:rPr>
        <w:t>Re Centaur Litigation SPC</w:t>
      </w:r>
      <w:r w:rsidRPr="00026780">
        <w:rPr>
          <w:rFonts w:ascii="Arial" w:hAnsi="Arial" w:cs="Arial"/>
          <w:color w:val="7F7F7F" w:themeColor="text1" w:themeTint="80"/>
          <w:sz w:val="22"/>
          <w:szCs w:val="22"/>
        </w:rPr>
        <w:t xml:space="preserve">, it was held that the Hong Kong court may grant recognition orders to permit a foreign office holder (here, the BVI liquidator) to seek the production of documents and the examination of individuals in Hong Kong. </w:t>
      </w:r>
    </w:p>
    <w:p w14:paraId="2B6DC629" w14:textId="3BD48B45" w:rsidR="00026780" w:rsidRDefault="00026780" w:rsidP="00026780">
      <w:pPr>
        <w:pStyle w:val="ListParagraph"/>
        <w:spacing w:after="160" w:line="259" w:lineRule="auto"/>
        <w:ind w:left="502"/>
        <w:jc w:val="both"/>
        <w:rPr>
          <w:rFonts w:ascii="Arial" w:hAnsi="Arial" w:cs="Arial"/>
          <w:color w:val="7F7F7F" w:themeColor="text1" w:themeTint="80"/>
          <w:sz w:val="22"/>
          <w:szCs w:val="22"/>
        </w:rPr>
      </w:pPr>
    </w:p>
    <w:p w14:paraId="63EFB9A5" w14:textId="0E09DD93" w:rsidR="00026780" w:rsidRDefault="00026780" w:rsidP="00026780">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In this respect, the BVI liquidator may seek orders for Mr Wong to produce the books of SPL and for examination of both Mr Zhang and Mr Wong.</w:t>
      </w:r>
      <w:r w:rsidR="004A755B">
        <w:rPr>
          <w:rFonts w:ascii="Arial" w:hAnsi="Arial" w:cs="Arial"/>
          <w:color w:val="7F7F7F" w:themeColor="text1" w:themeTint="80"/>
          <w:sz w:val="22"/>
          <w:szCs w:val="22"/>
        </w:rPr>
        <w:t xml:space="preserve"> These are Hong Kong based persons with information relevant to the BVI liquidation. The powers of document production and examination exists in both BVI and Hong Kong so the Singularis principle would be satisfied. </w:t>
      </w:r>
    </w:p>
    <w:p w14:paraId="28C5E8A6" w14:textId="77777777" w:rsidR="00026780" w:rsidRPr="00026780" w:rsidRDefault="00026780" w:rsidP="00026780">
      <w:pPr>
        <w:pStyle w:val="ListParagraph"/>
        <w:spacing w:after="160" w:line="259" w:lineRule="auto"/>
        <w:ind w:left="502"/>
        <w:jc w:val="both"/>
        <w:rPr>
          <w:rFonts w:ascii="Arial" w:hAnsi="Arial" w:cs="Arial"/>
          <w:color w:val="7F7F7F" w:themeColor="text1" w:themeTint="80"/>
          <w:sz w:val="22"/>
          <w:szCs w:val="22"/>
        </w:rPr>
      </w:pPr>
    </w:p>
    <w:p w14:paraId="7C0297DC" w14:textId="77777777" w:rsidR="00D959EF" w:rsidRPr="00D959EF" w:rsidRDefault="00D959EF" w:rsidP="00D959EF">
      <w:pPr>
        <w:pStyle w:val="ListParagraph"/>
        <w:ind w:left="426"/>
        <w:rPr>
          <w:rFonts w:ascii="Arial" w:hAnsi="Arial" w:cs="Arial"/>
          <w:color w:val="7F7F7F" w:themeColor="text1" w:themeTint="80"/>
          <w:sz w:val="22"/>
          <w:szCs w:val="22"/>
        </w:rPr>
      </w:pPr>
    </w:p>
    <w:p w14:paraId="0A88D394" w14:textId="0EC74D40" w:rsidR="00D959EF" w:rsidRPr="00333B6A" w:rsidRDefault="00D959EF" w:rsidP="00D959EF">
      <w:pPr>
        <w:pStyle w:val="ListParagraph"/>
        <w:numPr>
          <w:ilvl w:val="0"/>
          <w:numId w:val="40"/>
        </w:numPr>
        <w:spacing w:after="160" w:line="259" w:lineRule="auto"/>
        <w:jc w:val="both"/>
        <w:rPr>
          <w:rFonts w:ascii="Arial" w:hAnsi="Arial" w:cs="Arial"/>
          <w:b/>
          <w:color w:val="7F7F7F" w:themeColor="text1" w:themeTint="80"/>
          <w:sz w:val="22"/>
          <w:szCs w:val="22"/>
          <w:u w:val="single"/>
        </w:rPr>
      </w:pPr>
      <w:r w:rsidRPr="00333B6A">
        <w:rPr>
          <w:rFonts w:ascii="Arial" w:hAnsi="Arial" w:cs="Arial"/>
          <w:b/>
          <w:color w:val="7F7F7F" w:themeColor="text1" w:themeTint="80"/>
          <w:sz w:val="22"/>
          <w:szCs w:val="22"/>
          <w:u w:val="single"/>
        </w:rPr>
        <w:t>SPL has a bank account at a bank in Hong Kong;</w:t>
      </w:r>
    </w:p>
    <w:p w14:paraId="0EEB3A4A" w14:textId="64259616" w:rsidR="000007B0" w:rsidRDefault="000007B0" w:rsidP="000007B0">
      <w:pPr>
        <w:pStyle w:val="ListParagraph"/>
        <w:spacing w:after="160" w:line="259" w:lineRule="auto"/>
        <w:ind w:left="502"/>
        <w:jc w:val="both"/>
        <w:rPr>
          <w:rFonts w:ascii="Arial" w:hAnsi="Arial" w:cs="Arial"/>
          <w:color w:val="7F7F7F" w:themeColor="text1" w:themeTint="80"/>
          <w:sz w:val="22"/>
          <w:szCs w:val="22"/>
        </w:rPr>
      </w:pPr>
    </w:p>
    <w:p w14:paraId="10FBA568" w14:textId="6A5FCCA1" w:rsidR="000007B0" w:rsidRDefault="000007B0" w:rsidP="000007B0">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The BVI liquidator will need to apply for a specific order to deal with any assets in Hong Kong (</w:t>
      </w:r>
      <w:r w:rsidRPr="000007B0">
        <w:rPr>
          <w:rFonts w:ascii="Arial" w:hAnsi="Arial" w:cs="Arial"/>
          <w:i/>
          <w:color w:val="7F7F7F" w:themeColor="text1" w:themeTint="80"/>
          <w:sz w:val="22"/>
          <w:szCs w:val="22"/>
        </w:rPr>
        <w:t>Re China Lumena New Materials Corp</w:t>
      </w:r>
      <w:r>
        <w:rPr>
          <w:rFonts w:ascii="Arial" w:hAnsi="Arial" w:cs="Arial"/>
          <w:color w:val="7F7F7F" w:themeColor="text1" w:themeTint="80"/>
          <w:sz w:val="22"/>
          <w:szCs w:val="22"/>
        </w:rPr>
        <w:t xml:space="preserve">). This is because, the court will need to balance the BVI liquidator;s need for convenience of access to the assets with the need for court supervision which creditors may expect. </w:t>
      </w:r>
    </w:p>
    <w:p w14:paraId="783A3738" w14:textId="2792C4A0" w:rsidR="000007B0" w:rsidRDefault="000007B0" w:rsidP="000007B0">
      <w:pPr>
        <w:pStyle w:val="ListParagraph"/>
        <w:spacing w:after="160" w:line="259" w:lineRule="auto"/>
        <w:ind w:left="502"/>
        <w:jc w:val="both"/>
        <w:rPr>
          <w:rFonts w:ascii="Arial" w:hAnsi="Arial" w:cs="Arial"/>
          <w:color w:val="7F7F7F" w:themeColor="text1" w:themeTint="80"/>
          <w:sz w:val="22"/>
          <w:szCs w:val="22"/>
        </w:rPr>
      </w:pPr>
    </w:p>
    <w:p w14:paraId="448DF455" w14:textId="5D9F65C1" w:rsidR="000007B0" w:rsidRPr="00D959EF" w:rsidRDefault="000007B0" w:rsidP="000007B0">
      <w:pPr>
        <w:pStyle w:val="ListParagraph"/>
        <w:spacing w:after="160" w:line="259" w:lineRule="auto"/>
        <w:ind w:left="502"/>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The Hong Kong bank account /funds therein are assets of SPL. The BVI liquidator must therefore specifically request an order in respect of dealing with the account in Hong Kong. </w:t>
      </w:r>
    </w:p>
    <w:p w14:paraId="3E298399" w14:textId="77777777" w:rsidR="00D959EF" w:rsidRPr="00D959EF" w:rsidRDefault="00D959EF" w:rsidP="00D959EF">
      <w:pPr>
        <w:pStyle w:val="ListParagraph"/>
        <w:ind w:left="426"/>
        <w:rPr>
          <w:rFonts w:ascii="Arial" w:hAnsi="Arial" w:cs="Arial"/>
          <w:color w:val="7F7F7F" w:themeColor="text1" w:themeTint="80"/>
          <w:sz w:val="22"/>
          <w:szCs w:val="22"/>
        </w:rPr>
      </w:pPr>
    </w:p>
    <w:p w14:paraId="59AA4C36" w14:textId="77777777" w:rsidR="00D959EF" w:rsidRPr="00333B6A" w:rsidRDefault="00D959EF" w:rsidP="00D959EF">
      <w:pPr>
        <w:pStyle w:val="ListParagraph"/>
        <w:numPr>
          <w:ilvl w:val="0"/>
          <w:numId w:val="40"/>
        </w:numPr>
        <w:spacing w:after="160" w:line="259" w:lineRule="auto"/>
        <w:jc w:val="both"/>
        <w:rPr>
          <w:rFonts w:ascii="Arial" w:hAnsi="Arial" w:cs="Arial"/>
          <w:b/>
          <w:color w:val="7F7F7F" w:themeColor="text1" w:themeTint="80"/>
          <w:sz w:val="22"/>
          <w:szCs w:val="22"/>
          <w:u w:val="single"/>
        </w:rPr>
      </w:pPr>
      <w:r w:rsidRPr="00333B6A">
        <w:rPr>
          <w:rFonts w:ascii="Arial" w:hAnsi="Arial" w:cs="Arial"/>
          <w:b/>
          <w:color w:val="7F7F7F" w:themeColor="text1" w:themeTint="80"/>
          <w:sz w:val="22"/>
          <w:szCs w:val="22"/>
          <w:u w:val="single"/>
        </w:rPr>
        <w:t>It is not known where Mr Qi is currently, but it is believed he is a Hong Kong resident;</w:t>
      </w:r>
    </w:p>
    <w:p w14:paraId="753AA654" w14:textId="77777777" w:rsidR="00D959EF" w:rsidRPr="00D959EF" w:rsidRDefault="00D959EF" w:rsidP="00D959EF">
      <w:pPr>
        <w:pStyle w:val="ListParagraph"/>
        <w:ind w:left="426"/>
        <w:rPr>
          <w:rFonts w:ascii="Arial" w:hAnsi="Arial" w:cs="Arial"/>
          <w:color w:val="7F7F7F" w:themeColor="text1" w:themeTint="80"/>
          <w:sz w:val="22"/>
          <w:szCs w:val="22"/>
        </w:rPr>
      </w:pPr>
    </w:p>
    <w:p w14:paraId="660BE83D" w14:textId="77777777" w:rsidR="00D959EF" w:rsidRPr="00333B6A" w:rsidRDefault="00D959EF" w:rsidP="00D959EF">
      <w:pPr>
        <w:pStyle w:val="ListParagraph"/>
        <w:numPr>
          <w:ilvl w:val="0"/>
          <w:numId w:val="40"/>
        </w:numPr>
        <w:spacing w:after="160" w:line="259" w:lineRule="auto"/>
        <w:jc w:val="both"/>
        <w:rPr>
          <w:rFonts w:ascii="Arial" w:hAnsi="Arial" w:cs="Arial"/>
          <w:b/>
          <w:color w:val="7F7F7F" w:themeColor="text1" w:themeTint="80"/>
          <w:sz w:val="22"/>
          <w:szCs w:val="22"/>
          <w:u w:val="single"/>
        </w:rPr>
      </w:pPr>
      <w:r w:rsidRPr="00333B6A">
        <w:rPr>
          <w:rFonts w:ascii="Arial" w:hAnsi="Arial" w:cs="Arial"/>
          <w:b/>
          <w:color w:val="7F7F7F" w:themeColor="text1" w:themeTint="80"/>
          <w:sz w:val="22"/>
          <w:szCs w:val="22"/>
          <w:u w:val="single"/>
        </w:rPr>
        <w:t>SPL is believed to have assets in the Mainland, but the liquidator is not sure where these assets are located.</w:t>
      </w:r>
    </w:p>
    <w:p w14:paraId="5A40FBFD" w14:textId="3B49F5F1" w:rsidR="00333B6A" w:rsidRDefault="00333B6A" w:rsidP="00333B6A">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Recognition in Hong Kong would not equate recognition in the PRC Mainland. The new co-operation mechanism established in May 2021 between </w:t>
      </w:r>
      <w:r w:rsidRPr="001F4019">
        <w:rPr>
          <w:rFonts w:ascii="Arial" w:hAnsi="Arial" w:cs="Arial"/>
          <w:color w:val="808080" w:themeColor="background1" w:themeShade="80"/>
          <w:sz w:val="22"/>
          <w:szCs w:val="22"/>
        </w:rPr>
        <w:t xml:space="preserve">Hong Kong and certain areas of the Mainland entered into a new arrangement, provide mechanisms for Hong Kong insolvency officeholders to obtain recognition and assistance in certain areas in Mainland. </w:t>
      </w:r>
    </w:p>
    <w:p w14:paraId="2B76222D" w14:textId="77777777" w:rsidR="00333B6A" w:rsidRDefault="00333B6A" w:rsidP="00333B6A">
      <w:pPr>
        <w:ind w:left="720"/>
        <w:jc w:val="both"/>
        <w:rPr>
          <w:rFonts w:ascii="Arial" w:hAnsi="Arial" w:cs="Arial"/>
          <w:color w:val="808080" w:themeColor="background1" w:themeShade="80"/>
          <w:sz w:val="22"/>
          <w:szCs w:val="22"/>
        </w:rPr>
      </w:pPr>
    </w:p>
    <w:p w14:paraId="5D5CD439" w14:textId="77777777" w:rsidR="000421BF" w:rsidRDefault="000421BF" w:rsidP="00333B6A">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mechanism only applies to </w:t>
      </w:r>
      <w:r w:rsidR="00333B6A" w:rsidRPr="00333B6A">
        <w:rPr>
          <w:rFonts w:ascii="Arial" w:hAnsi="Arial" w:cs="Arial"/>
          <w:color w:val="808080" w:themeColor="background1" w:themeShade="80"/>
          <w:sz w:val="22"/>
          <w:szCs w:val="22"/>
        </w:rPr>
        <w:t xml:space="preserve">Shanghai Municipality, Xiamen Municipality of Fujian Province and Shenzhen Municipality of Guangdong Province (the </w:t>
      </w:r>
      <w:r w:rsidR="00333B6A" w:rsidRPr="00333B6A">
        <w:rPr>
          <w:rFonts w:ascii="Arial" w:hAnsi="Arial" w:cs="Arial"/>
          <w:b/>
          <w:i/>
          <w:color w:val="808080" w:themeColor="background1" w:themeShade="80"/>
          <w:sz w:val="22"/>
          <w:szCs w:val="22"/>
        </w:rPr>
        <w:t>pilot area</w:t>
      </w:r>
      <w:r w:rsidR="00333B6A" w:rsidRPr="00333B6A">
        <w:rPr>
          <w:rFonts w:ascii="Arial" w:hAnsi="Arial" w:cs="Arial"/>
          <w:color w:val="808080" w:themeColor="background1" w:themeShade="80"/>
          <w:sz w:val="22"/>
          <w:szCs w:val="22"/>
        </w:rPr>
        <w:t>)</w:t>
      </w:r>
      <w:r w:rsidR="00333B6A">
        <w:rPr>
          <w:rFonts w:ascii="Arial" w:hAnsi="Arial" w:cs="Arial"/>
          <w:color w:val="808080" w:themeColor="background1" w:themeShade="80"/>
          <w:sz w:val="22"/>
          <w:szCs w:val="22"/>
        </w:rPr>
        <w:t xml:space="preserve">. </w:t>
      </w:r>
    </w:p>
    <w:p w14:paraId="7944B84D" w14:textId="77777777" w:rsidR="000421BF" w:rsidRDefault="000421BF" w:rsidP="00333B6A">
      <w:pPr>
        <w:ind w:left="720"/>
        <w:jc w:val="both"/>
        <w:rPr>
          <w:rFonts w:ascii="Arial" w:hAnsi="Arial" w:cs="Arial"/>
          <w:color w:val="808080" w:themeColor="background1" w:themeShade="80"/>
          <w:sz w:val="22"/>
          <w:szCs w:val="22"/>
        </w:rPr>
      </w:pPr>
    </w:p>
    <w:p w14:paraId="57D888D1" w14:textId="7D26A1CB" w:rsidR="00333B6A" w:rsidRDefault="000421BF" w:rsidP="00333B6A">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Additionally, it only applies to </w:t>
      </w:r>
      <w:r w:rsidR="00333B6A" w:rsidRPr="00333B6A">
        <w:rPr>
          <w:rFonts w:ascii="Arial" w:hAnsi="Arial" w:cs="Arial"/>
          <w:color w:val="808080" w:themeColor="background1" w:themeShade="80"/>
          <w:sz w:val="22"/>
          <w:szCs w:val="22"/>
        </w:rPr>
        <w:t>a Hong Kong collective insolvency proceeding commenced under the CWMPO or the C</w:t>
      </w:r>
      <w:r>
        <w:rPr>
          <w:rFonts w:ascii="Arial" w:hAnsi="Arial" w:cs="Arial"/>
          <w:color w:val="808080" w:themeColor="background1" w:themeShade="80"/>
          <w:sz w:val="22"/>
          <w:szCs w:val="22"/>
        </w:rPr>
        <w:t xml:space="preserve">ompany </w:t>
      </w:r>
      <w:r w:rsidR="00333B6A" w:rsidRPr="00333B6A">
        <w:rPr>
          <w:rFonts w:ascii="Arial" w:hAnsi="Arial" w:cs="Arial"/>
          <w:color w:val="808080" w:themeColor="background1" w:themeShade="80"/>
          <w:sz w:val="22"/>
          <w:szCs w:val="22"/>
        </w:rPr>
        <w:t>O</w:t>
      </w:r>
      <w:r>
        <w:rPr>
          <w:rFonts w:ascii="Arial" w:hAnsi="Arial" w:cs="Arial"/>
          <w:color w:val="808080" w:themeColor="background1" w:themeShade="80"/>
          <w:sz w:val="22"/>
          <w:szCs w:val="22"/>
        </w:rPr>
        <w:t>rdinance</w:t>
      </w:r>
      <w:r w:rsidR="00333B6A" w:rsidRPr="00333B6A">
        <w:rPr>
          <w:rFonts w:ascii="Arial" w:hAnsi="Arial" w:cs="Arial"/>
          <w:color w:val="808080" w:themeColor="background1" w:themeShade="80"/>
          <w:sz w:val="22"/>
          <w:szCs w:val="22"/>
        </w:rPr>
        <w:t xml:space="preserve"> and would include compulsory liquidations, creditors’ voluntary liquidations and schemes of arrangements which are promoted by the pr</w:t>
      </w:r>
      <w:r>
        <w:rPr>
          <w:rFonts w:ascii="Arial" w:hAnsi="Arial" w:cs="Arial"/>
          <w:color w:val="808080" w:themeColor="background1" w:themeShade="80"/>
          <w:sz w:val="22"/>
          <w:szCs w:val="22"/>
        </w:rPr>
        <w:t xml:space="preserve">ovisional liquidator/liquidator. </w:t>
      </w:r>
    </w:p>
    <w:p w14:paraId="4E19E1D4" w14:textId="005B6369" w:rsidR="000421BF" w:rsidRDefault="000421BF" w:rsidP="00333B6A">
      <w:pPr>
        <w:ind w:left="720"/>
        <w:jc w:val="both"/>
        <w:rPr>
          <w:rFonts w:ascii="Arial" w:hAnsi="Arial" w:cs="Arial"/>
          <w:color w:val="808080" w:themeColor="background1" w:themeShade="80"/>
          <w:sz w:val="22"/>
          <w:szCs w:val="22"/>
        </w:rPr>
      </w:pPr>
    </w:p>
    <w:p w14:paraId="40BE03C3" w14:textId="77777777" w:rsidR="000421BF" w:rsidRDefault="000421BF" w:rsidP="00333B6A">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Since the proceedings here were commenced under the common law, there is an argument to be made that the new mechanism does not apply. </w:t>
      </w:r>
    </w:p>
    <w:p w14:paraId="5B466A29" w14:textId="77777777" w:rsidR="000421BF" w:rsidRDefault="000421BF" w:rsidP="00333B6A">
      <w:pPr>
        <w:ind w:left="720"/>
        <w:jc w:val="both"/>
        <w:rPr>
          <w:rFonts w:ascii="Arial" w:hAnsi="Arial" w:cs="Arial"/>
          <w:color w:val="808080" w:themeColor="background1" w:themeShade="80"/>
          <w:sz w:val="22"/>
          <w:szCs w:val="22"/>
        </w:rPr>
      </w:pPr>
    </w:p>
    <w:p w14:paraId="312C7F50" w14:textId="77777777" w:rsidR="00EB2F31" w:rsidRDefault="000421BF" w:rsidP="00EB2F31">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Additionally SPL’s COMI must be Hong Kong. Since SPL was incorporated in the BVI then BVI is presumed the COMI. However, the court may be persuaded by evidence of the location of the company’s principal place of business or </w:t>
      </w:r>
      <w:r w:rsidR="00EB2F31">
        <w:rPr>
          <w:rFonts w:ascii="Arial" w:hAnsi="Arial" w:cs="Arial"/>
          <w:color w:val="808080" w:themeColor="background1" w:themeShade="80"/>
          <w:sz w:val="22"/>
          <w:szCs w:val="22"/>
        </w:rPr>
        <w:t xml:space="preserve">principal place of assets that the COMI is Hong. There is evidence of assets in Hong Kong and so that might assist with determining the COMI. </w:t>
      </w:r>
    </w:p>
    <w:p w14:paraId="5DA93AB4" w14:textId="77777777" w:rsidR="00EB2F31" w:rsidRDefault="00EB2F31" w:rsidP="00EB2F31">
      <w:pPr>
        <w:ind w:left="720"/>
        <w:jc w:val="both"/>
        <w:rPr>
          <w:rFonts w:ascii="Arial" w:hAnsi="Arial" w:cs="Arial"/>
          <w:color w:val="808080" w:themeColor="background1" w:themeShade="80"/>
          <w:sz w:val="22"/>
          <w:szCs w:val="22"/>
        </w:rPr>
      </w:pPr>
    </w:p>
    <w:p w14:paraId="5544E069" w14:textId="4AE63807" w:rsidR="00333B6A" w:rsidRPr="00EB2F31" w:rsidRDefault="00EB2F31" w:rsidP="00EB2F31">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There would also need to be evidence that SPL’</w:t>
      </w:r>
      <w:r w:rsidR="00333B6A" w:rsidRPr="00EB2F31">
        <w:rPr>
          <w:rFonts w:ascii="Arial" w:hAnsi="Arial" w:cs="Arial"/>
          <w:color w:val="808080" w:themeColor="background1" w:themeShade="80"/>
          <w:sz w:val="22"/>
          <w:szCs w:val="22"/>
        </w:rPr>
        <w:t>s principal assets are in the pilot area of the Mainland</w:t>
      </w:r>
      <w:r>
        <w:rPr>
          <w:rFonts w:ascii="Arial" w:hAnsi="Arial" w:cs="Arial"/>
          <w:color w:val="808080" w:themeColor="background1" w:themeShade="80"/>
          <w:sz w:val="22"/>
          <w:szCs w:val="22"/>
        </w:rPr>
        <w:t xml:space="preserve">. The liquidator would have to make the necessary checks. </w:t>
      </w:r>
      <w:r w:rsidR="00333B6A" w:rsidRPr="00EB2F31">
        <w:rPr>
          <w:rFonts w:ascii="Arial" w:hAnsi="Arial" w:cs="Arial"/>
          <w:color w:val="808080" w:themeColor="background1" w:themeShade="80"/>
          <w:sz w:val="22"/>
          <w:szCs w:val="22"/>
        </w:rPr>
        <w:t xml:space="preserve"> </w:t>
      </w:r>
    </w:p>
    <w:p w14:paraId="57D57819" w14:textId="77777777" w:rsidR="00C328C8" w:rsidRPr="00D959EF" w:rsidRDefault="00C328C8" w:rsidP="00E14FA7">
      <w:pPr>
        <w:jc w:val="both"/>
        <w:rPr>
          <w:rFonts w:ascii="Arial" w:hAnsi="Arial" w:cs="Arial"/>
          <w:color w:val="000000" w:themeColor="text1"/>
          <w:sz w:val="22"/>
          <w:szCs w:val="22"/>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430D" w14:textId="77777777" w:rsidR="00D959EF" w:rsidRDefault="00D959EF" w:rsidP="00241B44">
      <w:r>
        <w:separator/>
      </w:r>
    </w:p>
  </w:endnote>
  <w:endnote w:type="continuationSeparator" w:id="0">
    <w:p w14:paraId="6625C609" w14:textId="77777777" w:rsidR="00D959EF" w:rsidRDefault="00D959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959EF" w:rsidRPr="00FC7B47" w:rsidRDefault="00D959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959EF" w:rsidRPr="00FC7B47" w:rsidRDefault="00D959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A12C36B" w:rsidR="00D959EF" w:rsidRPr="009B4976" w:rsidRDefault="00D959EF" w:rsidP="0056705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D6317">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62E6029C" w:rsidR="00D959EF" w:rsidRDefault="009D6317" w:rsidP="009B4976">
    <w:pPr>
      <w:pStyle w:val="Footer"/>
      <w:ind w:right="360"/>
      <w:rPr>
        <w:rFonts w:ascii="Arial" w:hAnsi="Arial" w:cs="Arial"/>
        <w:sz w:val="18"/>
        <w:szCs w:val="18"/>
        <w:lang w:val="en-GB"/>
      </w:rPr>
    </w:pPr>
    <w:r>
      <w:rPr>
        <w:rFonts w:ascii="Arial" w:hAnsi="Arial" w:cs="Arial"/>
        <w:sz w:val="18"/>
        <w:szCs w:val="18"/>
      </w:rPr>
      <w:t>202122-604</w:t>
    </w:r>
    <w:r>
      <w:rPr>
        <w:rFonts w:ascii="Arial" w:hAnsi="Arial" w:cs="Arial"/>
        <w:sz w:val="18"/>
        <w:szCs w:val="18"/>
        <w:lang w:val="en-GB"/>
      </w:rPr>
      <w:t>.</w:t>
    </w: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D959EF" w:rsidRPr="009B4976">
      <w:rPr>
        <w:rFonts w:ascii="Arial" w:hAnsi="Arial" w:cs="Arial"/>
        <w:sz w:val="18"/>
        <w:szCs w:val="18"/>
        <w:lang w:val="en-GB"/>
      </w:rPr>
      <w:t>student</w:t>
    </w:r>
    <w:r w:rsidR="00D959EF">
      <w:rPr>
        <w:rFonts w:ascii="Arial" w:hAnsi="Arial" w:cs="Arial"/>
        <w:sz w:val="18"/>
        <w:szCs w:val="18"/>
        <w:lang w:val="en-GB"/>
      </w:rPr>
      <w:t>ID</w:t>
    </w:r>
    <w:r w:rsidR="00D959EF" w:rsidRPr="009B4976">
      <w:rPr>
        <w:rFonts w:ascii="Arial" w:hAnsi="Arial" w:cs="Arial"/>
        <w:sz w:val="18"/>
        <w:szCs w:val="18"/>
        <w:lang w:val="en-GB"/>
      </w:rPr>
      <w:t>.assessment</w:t>
    </w:r>
    <w:r>
      <w:rPr>
        <w:rFonts w:ascii="Arial" w:hAnsi="Arial"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D959EF" w:rsidRPr="003D7879" w:rsidRDefault="00D959EF"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1D9" w14:textId="77777777" w:rsidR="00D959EF" w:rsidRDefault="00D959EF" w:rsidP="00241B44">
      <w:r>
        <w:separator/>
      </w:r>
    </w:p>
  </w:footnote>
  <w:footnote w:type="continuationSeparator" w:id="0">
    <w:p w14:paraId="7C52732E" w14:textId="77777777" w:rsidR="00D959EF" w:rsidRDefault="00D959E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B5694"/>
    <w:multiLevelType w:val="hybridMultilevel"/>
    <w:tmpl w:val="BBF68716"/>
    <w:lvl w:ilvl="0" w:tplc="031CC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6175D"/>
    <w:multiLevelType w:val="hybridMultilevel"/>
    <w:tmpl w:val="66F2B18E"/>
    <w:lvl w:ilvl="0" w:tplc="0D7C9FA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E00C12"/>
    <w:multiLevelType w:val="hybridMultilevel"/>
    <w:tmpl w:val="B70A90EA"/>
    <w:lvl w:ilvl="0" w:tplc="20FCCD4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B4AB5"/>
    <w:multiLevelType w:val="hybridMultilevel"/>
    <w:tmpl w:val="3EA83B5C"/>
    <w:lvl w:ilvl="0" w:tplc="98DE1CA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F4B49"/>
    <w:multiLevelType w:val="hybridMultilevel"/>
    <w:tmpl w:val="66F2B18E"/>
    <w:lvl w:ilvl="0" w:tplc="0D7C9FA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73226"/>
    <w:multiLevelType w:val="hybridMultilevel"/>
    <w:tmpl w:val="838C0FC4"/>
    <w:lvl w:ilvl="0" w:tplc="FA9E48A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360EAD"/>
    <w:multiLevelType w:val="hybridMultilevel"/>
    <w:tmpl w:val="E2543734"/>
    <w:lvl w:ilvl="0" w:tplc="1C3A2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132DA"/>
    <w:multiLevelType w:val="hybridMultilevel"/>
    <w:tmpl w:val="F91E9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711A6"/>
    <w:multiLevelType w:val="hybridMultilevel"/>
    <w:tmpl w:val="1A687C66"/>
    <w:lvl w:ilvl="0" w:tplc="2ACEA4C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E611F99"/>
    <w:multiLevelType w:val="hybridMultilevel"/>
    <w:tmpl w:val="838C0FC4"/>
    <w:lvl w:ilvl="0" w:tplc="FA9E48A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8A765A"/>
    <w:multiLevelType w:val="hybridMultilevel"/>
    <w:tmpl w:val="451E163C"/>
    <w:lvl w:ilvl="0" w:tplc="76DEC25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0022D"/>
    <w:multiLevelType w:val="hybridMultilevel"/>
    <w:tmpl w:val="5FB061D4"/>
    <w:lvl w:ilvl="0" w:tplc="58C0545A">
      <w:start w:val="9"/>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14640"/>
    <w:multiLevelType w:val="hybridMultilevel"/>
    <w:tmpl w:val="39668E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83941"/>
    <w:multiLevelType w:val="hybridMultilevel"/>
    <w:tmpl w:val="749E546A"/>
    <w:lvl w:ilvl="0" w:tplc="ABB280B8">
      <w:start w:val="1"/>
      <w:numFmt w:val="lowerLetter"/>
      <w:lvlText w:val="(%1)"/>
      <w:lvlJc w:val="left"/>
      <w:pPr>
        <w:ind w:left="502" w:hanging="360"/>
      </w:pPr>
      <w:rPr>
        <w:rFonts w:hint="default"/>
      </w:rPr>
    </w:lvl>
    <w:lvl w:ilvl="1" w:tplc="08090019" w:tentative="1">
      <w:start w:val="1"/>
      <w:numFmt w:val="lowerLetter"/>
      <w:lvlText w:val="%2."/>
      <w:lvlJc w:val="left"/>
      <w:pPr>
        <w:ind w:left="-398" w:hanging="360"/>
      </w:pPr>
    </w:lvl>
    <w:lvl w:ilvl="2" w:tplc="0809001B" w:tentative="1">
      <w:start w:val="1"/>
      <w:numFmt w:val="lowerRoman"/>
      <w:lvlText w:val="%3."/>
      <w:lvlJc w:val="right"/>
      <w:pPr>
        <w:ind w:left="322" w:hanging="180"/>
      </w:pPr>
    </w:lvl>
    <w:lvl w:ilvl="3" w:tplc="0809000F" w:tentative="1">
      <w:start w:val="1"/>
      <w:numFmt w:val="decimal"/>
      <w:lvlText w:val="%4."/>
      <w:lvlJc w:val="left"/>
      <w:pPr>
        <w:ind w:left="1042" w:hanging="360"/>
      </w:pPr>
    </w:lvl>
    <w:lvl w:ilvl="4" w:tplc="08090019" w:tentative="1">
      <w:start w:val="1"/>
      <w:numFmt w:val="lowerLetter"/>
      <w:lvlText w:val="%5."/>
      <w:lvlJc w:val="left"/>
      <w:pPr>
        <w:ind w:left="1762" w:hanging="360"/>
      </w:pPr>
    </w:lvl>
    <w:lvl w:ilvl="5" w:tplc="0809001B" w:tentative="1">
      <w:start w:val="1"/>
      <w:numFmt w:val="lowerRoman"/>
      <w:lvlText w:val="%6."/>
      <w:lvlJc w:val="right"/>
      <w:pPr>
        <w:ind w:left="2482" w:hanging="180"/>
      </w:pPr>
    </w:lvl>
    <w:lvl w:ilvl="6" w:tplc="0809000F" w:tentative="1">
      <w:start w:val="1"/>
      <w:numFmt w:val="decimal"/>
      <w:lvlText w:val="%7."/>
      <w:lvlJc w:val="left"/>
      <w:pPr>
        <w:ind w:left="3202" w:hanging="360"/>
      </w:pPr>
    </w:lvl>
    <w:lvl w:ilvl="7" w:tplc="08090019" w:tentative="1">
      <w:start w:val="1"/>
      <w:numFmt w:val="lowerLetter"/>
      <w:lvlText w:val="%8."/>
      <w:lvlJc w:val="left"/>
      <w:pPr>
        <w:ind w:left="3922" w:hanging="360"/>
      </w:pPr>
    </w:lvl>
    <w:lvl w:ilvl="8" w:tplc="0809001B" w:tentative="1">
      <w:start w:val="1"/>
      <w:numFmt w:val="lowerRoman"/>
      <w:lvlText w:val="%9."/>
      <w:lvlJc w:val="right"/>
      <w:pPr>
        <w:ind w:left="4642" w:hanging="180"/>
      </w:pPr>
    </w:lvl>
  </w:abstractNum>
  <w:abstractNum w:abstractNumId="3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16"/>
  </w:num>
  <w:num w:numId="4">
    <w:abstractNumId w:val="21"/>
  </w:num>
  <w:num w:numId="5">
    <w:abstractNumId w:val="10"/>
  </w:num>
  <w:num w:numId="6">
    <w:abstractNumId w:val="8"/>
  </w:num>
  <w:num w:numId="7">
    <w:abstractNumId w:val="7"/>
  </w:num>
  <w:num w:numId="8">
    <w:abstractNumId w:val="20"/>
  </w:num>
  <w:num w:numId="9">
    <w:abstractNumId w:val="3"/>
  </w:num>
  <w:num w:numId="10">
    <w:abstractNumId w:val="28"/>
  </w:num>
  <w:num w:numId="11">
    <w:abstractNumId w:val="14"/>
  </w:num>
  <w:num w:numId="12">
    <w:abstractNumId w:val="22"/>
  </w:num>
  <w:num w:numId="13">
    <w:abstractNumId w:val="40"/>
  </w:num>
  <w:num w:numId="14">
    <w:abstractNumId w:val="29"/>
  </w:num>
  <w:num w:numId="15">
    <w:abstractNumId w:val="26"/>
  </w:num>
  <w:num w:numId="16">
    <w:abstractNumId w:val="25"/>
  </w:num>
  <w:num w:numId="17">
    <w:abstractNumId w:val="5"/>
  </w:num>
  <w:num w:numId="18">
    <w:abstractNumId w:val="39"/>
  </w:num>
  <w:num w:numId="19">
    <w:abstractNumId w:val="30"/>
  </w:num>
  <w:num w:numId="20">
    <w:abstractNumId w:val="37"/>
  </w:num>
  <w:num w:numId="21">
    <w:abstractNumId w:val="13"/>
  </w:num>
  <w:num w:numId="22">
    <w:abstractNumId w:val="18"/>
  </w:num>
  <w:num w:numId="23">
    <w:abstractNumId w:val="0"/>
  </w:num>
  <w:num w:numId="24">
    <w:abstractNumId w:val="31"/>
  </w:num>
  <w:num w:numId="25">
    <w:abstractNumId w:val="6"/>
  </w:num>
  <w:num w:numId="26">
    <w:abstractNumId w:val="1"/>
  </w:num>
  <w:num w:numId="27">
    <w:abstractNumId w:val="2"/>
  </w:num>
  <w:num w:numId="28">
    <w:abstractNumId w:val="11"/>
  </w:num>
  <w:num w:numId="29">
    <w:abstractNumId w:val="32"/>
  </w:num>
  <w:num w:numId="30">
    <w:abstractNumId w:val="17"/>
  </w:num>
  <w:num w:numId="31">
    <w:abstractNumId w:val="33"/>
  </w:num>
  <w:num w:numId="32">
    <w:abstractNumId w:val="24"/>
  </w:num>
  <w:num w:numId="33">
    <w:abstractNumId w:val="15"/>
  </w:num>
  <w:num w:numId="34">
    <w:abstractNumId w:val="23"/>
  </w:num>
  <w:num w:numId="35">
    <w:abstractNumId w:val="12"/>
  </w:num>
  <w:num w:numId="36">
    <w:abstractNumId w:val="4"/>
  </w:num>
  <w:num w:numId="37">
    <w:abstractNumId w:val="34"/>
  </w:num>
  <w:num w:numId="38">
    <w:abstractNumId w:val="19"/>
  </w:num>
  <w:num w:numId="39">
    <w:abstractNumId w:val="9"/>
  </w:num>
  <w:num w:numId="40">
    <w:abstractNumId w:val="36"/>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7B0"/>
    <w:rsid w:val="00007BF3"/>
    <w:rsid w:val="00010809"/>
    <w:rsid w:val="00010BA0"/>
    <w:rsid w:val="000168DB"/>
    <w:rsid w:val="00020557"/>
    <w:rsid w:val="00021FC2"/>
    <w:rsid w:val="000250C7"/>
    <w:rsid w:val="00026780"/>
    <w:rsid w:val="00026F16"/>
    <w:rsid w:val="00037621"/>
    <w:rsid w:val="000421BF"/>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4F1"/>
    <w:rsid w:val="001E7B5A"/>
    <w:rsid w:val="001F4019"/>
    <w:rsid w:val="001F7412"/>
    <w:rsid w:val="0020090A"/>
    <w:rsid w:val="00202DFE"/>
    <w:rsid w:val="0020725B"/>
    <w:rsid w:val="00210115"/>
    <w:rsid w:val="002110F1"/>
    <w:rsid w:val="00224266"/>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E6ED4"/>
    <w:rsid w:val="002F1956"/>
    <w:rsid w:val="002F3440"/>
    <w:rsid w:val="002F75A3"/>
    <w:rsid w:val="0030392B"/>
    <w:rsid w:val="00303C2F"/>
    <w:rsid w:val="003144EF"/>
    <w:rsid w:val="00321FE0"/>
    <w:rsid w:val="00326292"/>
    <w:rsid w:val="00326415"/>
    <w:rsid w:val="00330937"/>
    <w:rsid w:val="00330F31"/>
    <w:rsid w:val="003311A1"/>
    <w:rsid w:val="00331552"/>
    <w:rsid w:val="00333B6A"/>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16D7B"/>
    <w:rsid w:val="0042108F"/>
    <w:rsid w:val="00430FED"/>
    <w:rsid w:val="00434A8C"/>
    <w:rsid w:val="0043616E"/>
    <w:rsid w:val="00437297"/>
    <w:rsid w:val="004414C7"/>
    <w:rsid w:val="00444284"/>
    <w:rsid w:val="00445CE6"/>
    <w:rsid w:val="004534C2"/>
    <w:rsid w:val="0045446F"/>
    <w:rsid w:val="0045683E"/>
    <w:rsid w:val="00477C72"/>
    <w:rsid w:val="00485546"/>
    <w:rsid w:val="00491675"/>
    <w:rsid w:val="00493855"/>
    <w:rsid w:val="00495E79"/>
    <w:rsid w:val="00496120"/>
    <w:rsid w:val="004A2D83"/>
    <w:rsid w:val="004A57DD"/>
    <w:rsid w:val="004A755B"/>
    <w:rsid w:val="004A7B51"/>
    <w:rsid w:val="004A7D71"/>
    <w:rsid w:val="004A7EF3"/>
    <w:rsid w:val="004B11FD"/>
    <w:rsid w:val="004B23A2"/>
    <w:rsid w:val="004D1A5A"/>
    <w:rsid w:val="004D2FFF"/>
    <w:rsid w:val="004D3721"/>
    <w:rsid w:val="004D400A"/>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055"/>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1ED2"/>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3BB3"/>
    <w:rsid w:val="00697EA1"/>
    <w:rsid w:val="006A2646"/>
    <w:rsid w:val="006A4138"/>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97A94"/>
    <w:rsid w:val="007A06A0"/>
    <w:rsid w:val="007A2A33"/>
    <w:rsid w:val="007B5C89"/>
    <w:rsid w:val="007C1FCC"/>
    <w:rsid w:val="007C399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069F"/>
    <w:rsid w:val="008A298C"/>
    <w:rsid w:val="008A4DF2"/>
    <w:rsid w:val="008A6CFE"/>
    <w:rsid w:val="008B5333"/>
    <w:rsid w:val="008B6223"/>
    <w:rsid w:val="008C66E0"/>
    <w:rsid w:val="008E1E43"/>
    <w:rsid w:val="008E3339"/>
    <w:rsid w:val="008F20FC"/>
    <w:rsid w:val="008F4673"/>
    <w:rsid w:val="008F5FFE"/>
    <w:rsid w:val="00905A43"/>
    <w:rsid w:val="00912C79"/>
    <w:rsid w:val="009147E7"/>
    <w:rsid w:val="00921B8C"/>
    <w:rsid w:val="009337CE"/>
    <w:rsid w:val="00933E5D"/>
    <w:rsid w:val="00942123"/>
    <w:rsid w:val="0095207B"/>
    <w:rsid w:val="009578F6"/>
    <w:rsid w:val="00962045"/>
    <w:rsid w:val="00966B3B"/>
    <w:rsid w:val="00980E61"/>
    <w:rsid w:val="0098256E"/>
    <w:rsid w:val="00982BEF"/>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D6317"/>
    <w:rsid w:val="009E2AEB"/>
    <w:rsid w:val="009E2E27"/>
    <w:rsid w:val="009E45DF"/>
    <w:rsid w:val="009E4DE3"/>
    <w:rsid w:val="009F275E"/>
    <w:rsid w:val="00A0319B"/>
    <w:rsid w:val="00A047EE"/>
    <w:rsid w:val="00A11FB6"/>
    <w:rsid w:val="00A15B1B"/>
    <w:rsid w:val="00A2274A"/>
    <w:rsid w:val="00A235B7"/>
    <w:rsid w:val="00A27A7A"/>
    <w:rsid w:val="00A303C9"/>
    <w:rsid w:val="00A32290"/>
    <w:rsid w:val="00A34ABE"/>
    <w:rsid w:val="00A407EF"/>
    <w:rsid w:val="00A46B4C"/>
    <w:rsid w:val="00A5117B"/>
    <w:rsid w:val="00A56D34"/>
    <w:rsid w:val="00A60074"/>
    <w:rsid w:val="00A61E58"/>
    <w:rsid w:val="00A6325B"/>
    <w:rsid w:val="00A6627C"/>
    <w:rsid w:val="00A706C7"/>
    <w:rsid w:val="00A71019"/>
    <w:rsid w:val="00A81029"/>
    <w:rsid w:val="00A845F5"/>
    <w:rsid w:val="00A87BA2"/>
    <w:rsid w:val="00A930C3"/>
    <w:rsid w:val="00A96489"/>
    <w:rsid w:val="00AA0C60"/>
    <w:rsid w:val="00AB2425"/>
    <w:rsid w:val="00AB685C"/>
    <w:rsid w:val="00AB6C2D"/>
    <w:rsid w:val="00AC08F7"/>
    <w:rsid w:val="00AC3839"/>
    <w:rsid w:val="00AC7082"/>
    <w:rsid w:val="00AD4BE8"/>
    <w:rsid w:val="00AF228E"/>
    <w:rsid w:val="00B016A8"/>
    <w:rsid w:val="00B14819"/>
    <w:rsid w:val="00B15E2F"/>
    <w:rsid w:val="00B16E85"/>
    <w:rsid w:val="00B17AA9"/>
    <w:rsid w:val="00B22016"/>
    <w:rsid w:val="00B25814"/>
    <w:rsid w:val="00B37538"/>
    <w:rsid w:val="00B44713"/>
    <w:rsid w:val="00B46A79"/>
    <w:rsid w:val="00B51B95"/>
    <w:rsid w:val="00B5317F"/>
    <w:rsid w:val="00B5423F"/>
    <w:rsid w:val="00B55F3C"/>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528F"/>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1439"/>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1E0A"/>
    <w:rsid w:val="00D423E5"/>
    <w:rsid w:val="00D53719"/>
    <w:rsid w:val="00D63EFD"/>
    <w:rsid w:val="00D759CE"/>
    <w:rsid w:val="00D832A3"/>
    <w:rsid w:val="00D84752"/>
    <w:rsid w:val="00D86B3B"/>
    <w:rsid w:val="00D8748A"/>
    <w:rsid w:val="00D92542"/>
    <w:rsid w:val="00D93196"/>
    <w:rsid w:val="00D94882"/>
    <w:rsid w:val="00D94F60"/>
    <w:rsid w:val="00D959EF"/>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8671D"/>
    <w:rsid w:val="00E90991"/>
    <w:rsid w:val="00E909F0"/>
    <w:rsid w:val="00E90D47"/>
    <w:rsid w:val="00E93993"/>
    <w:rsid w:val="00E9597C"/>
    <w:rsid w:val="00EA0913"/>
    <w:rsid w:val="00EA5B00"/>
    <w:rsid w:val="00EB146B"/>
    <w:rsid w:val="00EB2F31"/>
    <w:rsid w:val="00EB45AC"/>
    <w:rsid w:val="00EB4E15"/>
    <w:rsid w:val="00EC02D0"/>
    <w:rsid w:val="00EC0C75"/>
    <w:rsid w:val="00EC2126"/>
    <w:rsid w:val="00EC3D7B"/>
    <w:rsid w:val="00EC441F"/>
    <w:rsid w:val="00EC4755"/>
    <w:rsid w:val="00ED0BC4"/>
    <w:rsid w:val="00ED447D"/>
    <w:rsid w:val="00EE4971"/>
    <w:rsid w:val="00EE6CB0"/>
    <w:rsid w:val="00EE7983"/>
    <w:rsid w:val="00EF08FA"/>
    <w:rsid w:val="00EF090E"/>
    <w:rsid w:val="00EF5572"/>
    <w:rsid w:val="00F033DA"/>
    <w:rsid w:val="00F054BB"/>
    <w:rsid w:val="00F13691"/>
    <w:rsid w:val="00F13FB1"/>
    <w:rsid w:val="00F14088"/>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6B5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D6E6-ECC9-4C10-BDC2-BD1D9B63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5091</Words>
  <Characters>29022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2020-06-08T04:09:00Z</cp:lastPrinted>
  <dcterms:created xsi:type="dcterms:W3CDTF">2022-08-01T09:22:00Z</dcterms:created>
  <dcterms:modified xsi:type="dcterms:W3CDTF">2022-08-01T09:22:00Z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