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9C3052">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4C5C92" w:rsidRDefault="000F6063" w:rsidP="007E03FA">
      <w:pPr>
        <w:pStyle w:val="ListParagraph"/>
        <w:numPr>
          <w:ilvl w:val="0"/>
          <w:numId w:val="32"/>
        </w:numPr>
        <w:ind w:left="426"/>
        <w:rPr>
          <w:rFonts w:ascii="Arial" w:hAnsi="Arial" w:cs="Arial"/>
          <w:sz w:val="22"/>
          <w:szCs w:val="22"/>
          <w:lang w:val="en-GB"/>
        </w:rPr>
      </w:pPr>
      <w:r w:rsidRPr="004C5C92">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9C3052" w:rsidRDefault="000F6063" w:rsidP="007E03FA">
      <w:pPr>
        <w:pStyle w:val="ListParagraph"/>
        <w:numPr>
          <w:ilvl w:val="0"/>
          <w:numId w:val="32"/>
        </w:numPr>
        <w:ind w:left="426"/>
        <w:rPr>
          <w:rFonts w:ascii="Arial" w:hAnsi="Arial" w:cs="Arial"/>
          <w:sz w:val="22"/>
          <w:szCs w:val="22"/>
          <w:highlight w:val="yellow"/>
          <w:lang w:val="en-GB"/>
        </w:rPr>
      </w:pPr>
      <w:r w:rsidRPr="009C3052">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EF325B" w:rsidRDefault="00210493" w:rsidP="00920BE7">
      <w:pPr>
        <w:rPr>
          <w:rFonts w:ascii="Arial" w:hAnsi="Arial" w:cs="Arial"/>
          <w:color w:val="000000" w:themeColor="text1"/>
          <w:sz w:val="22"/>
          <w:szCs w:val="22"/>
          <w:lang w:val="en-GB"/>
        </w:rPr>
      </w:pPr>
      <w:r w:rsidRPr="00EF325B">
        <w:rPr>
          <w:rFonts w:ascii="Arial" w:hAnsi="Arial" w:cs="Arial"/>
          <w:color w:val="000000" w:themeColor="text1"/>
          <w:sz w:val="22"/>
          <w:szCs w:val="22"/>
          <w:lang w:val="en-GB"/>
        </w:rPr>
        <w:t>In a voluntary liquidation:</w:t>
      </w:r>
    </w:p>
    <w:p w14:paraId="58F5B7AC" w14:textId="32FF2E22" w:rsidR="00210493" w:rsidRPr="00EF325B" w:rsidRDefault="00210493" w:rsidP="00920BE7">
      <w:pPr>
        <w:rPr>
          <w:rFonts w:ascii="Arial" w:hAnsi="Arial" w:cs="Arial"/>
          <w:color w:val="000000" w:themeColor="text1"/>
          <w:sz w:val="22"/>
          <w:szCs w:val="22"/>
          <w:lang w:val="en-GB"/>
        </w:rPr>
      </w:pPr>
    </w:p>
    <w:p w14:paraId="0299A1C0" w14:textId="6533AFE5" w:rsidR="00210493" w:rsidRPr="00EF325B" w:rsidRDefault="00210493" w:rsidP="00EF325B">
      <w:pPr>
        <w:pStyle w:val="ListParagraph"/>
        <w:numPr>
          <w:ilvl w:val="0"/>
          <w:numId w:val="33"/>
        </w:numPr>
        <w:ind w:left="426"/>
        <w:rPr>
          <w:rFonts w:ascii="Arial" w:hAnsi="Arial" w:cs="Arial"/>
          <w:color w:val="000000" w:themeColor="text1"/>
          <w:sz w:val="22"/>
          <w:szCs w:val="22"/>
          <w:lang w:val="en-GB"/>
        </w:rPr>
      </w:pPr>
      <w:r w:rsidRPr="00EF325B">
        <w:rPr>
          <w:rFonts w:ascii="Arial" w:hAnsi="Arial" w:cs="Arial"/>
          <w:color w:val="000000" w:themeColor="text1"/>
          <w:sz w:val="22"/>
          <w:szCs w:val="22"/>
          <w:lang w:val="en-GB"/>
        </w:rPr>
        <w:t>The company may cease trading where it is necessary and beneficial to the liquidation</w:t>
      </w:r>
      <w:r w:rsidR="00A46FE2" w:rsidRPr="00EF325B">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5B385F"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5B385F">
        <w:rPr>
          <w:rFonts w:ascii="Arial" w:hAnsi="Arial" w:cs="Arial"/>
          <w:color w:val="000000" w:themeColor="text1"/>
          <w:sz w:val="22"/>
          <w:szCs w:val="22"/>
          <w:highlight w:val="yellow"/>
          <w:lang w:val="en-GB"/>
        </w:rPr>
        <w:t>The company must cease trading except where it is necessary and beneficial to the liquidation</w:t>
      </w:r>
      <w:r w:rsidR="00A46FE2" w:rsidRPr="005B385F">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5B385F" w:rsidRDefault="00CB2364" w:rsidP="00924973">
      <w:pPr>
        <w:pStyle w:val="ListParagraph"/>
        <w:numPr>
          <w:ilvl w:val="0"/>
          <w:numId w:val="34"/>
        </w:numPr>
        <w:ind w:left="426"/>
        <w:rPr>
          <w:rFonts w:ascii="Arial" w:hAnsi="Arial" w:cs="Arial"/>
          <w:sz w:val="22"/>
          <w:szCs w:val="22"/>
          <w:highlight w:val="yellow"/>
          <w:lang w:val="en-GB"/>
        </w:rPr>
      </w:pPr>
      <w:r w:rsidRPr="005B385F">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B212F8" w:rsidRDefault="000F6063" w:rsidP="00924973">
      <w:pPr>
        <w:pStyle w:val="ListParagraph"/>
        <w:numPr>
          <w:ilvl w:val="0"/>
          <w:numId w:val="35"/>
        </w:numPr>
        <w:ind w:left="426"/>
        <w:rPr>
          <w:rFonts w:ascii="Arial" w:hAnsi="Arial" w:cs="Arial"/>
          <w:sz w:val="22"/>
          <w:szCs w:val="22"/>
          <w:highlight w:val="yellow"/>
          <w:lang w:val="en-GB"/>
        </w:rPr>
      </w:pPr>
      <w:r w:rsidRPr="00B212F8">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B212F8" w:rsidRDefault="00E177F0" w:rsidP="00924973">
      <w:pPr>
        <w:pStyle w:val="ListParagraph"/>
        <w:numPr>
          <w:ilvl w:val="0"/>
          <w:numId w:val="36"/>
        </w:numPr>
        <w:ind w:left="426"/>
        <w:rPr>
          <w:rFonts w:ascii="Arial" w:hAnsi="Arial" w:cs="Arial"/>
          <w:sz w:val="22"/>
          <w:szCs w:val="22"/>
          <w:highlight w:val="yellow"/>
          <w:lang w:val="en-GB"/>
        </w:rPr>
      </w:pPr>
      <w:r w:rsidRPr="00B212F8">
        <w:rPr>
          <w:rFonts w:ascii="Arial" w:hAnsi="Arial" w:cs="Arial"/>
          <w:sz w:val="22"/>
          <w:szCs w:val="22"/>
          <w:highlight w:val="yellow"/>
          <w:lang w:val="en-GB"/>
        </w:rPr>
        <w:t>May enforce their security without leave of the court</w:t>
      </w:r>
      <w:r w:rsidR="00803C72" w:rsidRPr="00B212F8">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B212F8" w:rsidRDefault="000F6063" w:rsidP="00924973">
      <w:pPr>
        <w:pStyle w:val="ListParagraph"/>
        <w:numPr>
          <w:ilvl w:val="0"/>
          <w:numId w:val="37"/>
        </w:numPr>
        <w:ind w:left="426"/>
        <w:jc w:val="both"/>
        <w:rPr>
          <w:rFonts w:ascii="Arial" w:hAnsi="Arial" w:cs="Arial"/>
          <w:sz w:val="22"/>
          <w:szCs w:val="22"/>
          <w:highlight w:val="yellow"/>
          <w:lang w:val="en-GB"/>
        </w:rPr>
      </w:pPr>
      <w:r w:rsidRPr="00B212F8">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B212F8" w:rsidRDefault="00853B56" w:rsidP="00924973">
      <w:pPr>
        <w:pStyle w:val="ListParagraph"/>
        <w:numPr>
          <w:ilvl w:val="0"/>
          <w:numId w:val="38"/>
        </w:numPr>
        <w:ind w:left="426"/>
        <w:jc w:val="both"/>
        <w:rPr>
          <w:rFonts w:ascii="Arial" w:hAnsi="Arial" w:cs="Arial"/>
          <w:sz w:val="22"/>
          <w:szCs w:val="22"/>
          <w:highlight w:val="yellow"/>
          <w:lang w:val="en-GB"/>
        </w:rPr>
      </w:pPr>
      <w:r w:rsidRPr="00B212F8">
        <w:rPr>
          <w:rFonts w:ascii="Arial" w:hAnsi="Arial" w:cs="Arial"/>
          <w:sz w:val="22"/>
          <w:szCs w:val="22"/>
          <w:highlight w:val="yellow"/>
          <w:lang w:val="en-GB"/>
        </w:rPr>
        <w:t>Amounts due to p</w:t>
      </w:r>
      <w:r w:rsidR="005327B7" w:rsidRPr="00B212F8">
        <w:rPr>
          <w:rFonts w:ascii="Arial" w:hAnsi="Arial" w:cs="Arial"/>
          <w:sz w:val="22"/>
          <w:szCs w:val="22"/>
          <w:highlight w:val="yellow"/>
          <w:lang w:val="en-GB"/>
        </w:rPr>
        <w:t>referred shareholders</w:t>
      </w:r>
      <w:r w:rsidR="00803C72" w:rsidRPr="00B212F8">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B212F8" w:rsidRDefault="005327B7" w:rsidP="00924973">
      <w:pPr>
        <w:pStyle w:val="ListParagraph"/>
        <w:numPr>
          <w:ilvl w:val="0"/>
          <w:numId w:val="39"/>
        </w:numPr>
        <w:ind w:left="426"/>
        <w:jc w:val="both"/>
        <w:rPr>
          <w:rFonts w:ascii="Arial" w:hAnsi="Arial" w:cs="Arial"/>
          <w:sz w:val="22"/>
          <w:szCs w:val="22"/>
          <w:highlight w:val="yellow"/>
          <w:lang w:val="en-GB"/>
        </w:rPr>
      </w:pPr>
      <w:r w:rsidRPr="00B212F8">
        <w:rPr>
          <w:rFonts w:ascii="Arial" w:hAnsi="Arial" w:cs="Arial"/>
          <w:sz w:val="22"/>
          <w:szCs w:val="22"/>
          <w:highlight w:val="yellow"/>
          <w:lang w:val="en-GB"/>
        </w:rPr>
        <w:t>The board of directors decides it is “just and equitable” for the company to be wound up</w:t>
      </w:r>
      <w:r w:rsidR="00D06A87" w:rsidRPr="00B212F8">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B212F8" w:rsidRDefault="000F6063" w:rsidP="00924973">
      <w:pPr>
        <w:pStyle w:val="ListParagraph"/>
        <w:numPr>
          <w:ilvl w:val="0"/>
          <w:numId w:val="40"/>
        </w:numPr>
        <w:ind w:left="426"/>
        <w:jc w:val="both"/>
        <w:rPr>
          <w:rFonts w:ascii="Arial" w:hAnsi="Arial" w:cs="Arial"/>
          <w:sz w:val="22"/>
          <w:szCs w:val="22"/>
          <w:highlight w:val="yellow"/>
          <w:lang w:val="en-GB"/>
        </w:rPr>
      </w:pPr>
      <w:r w:rsidRPr="00B212F8">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Pr="000E73AA" w:rsidRDefault="00A26898" w:rsidP="00D27CBC">
      <w:pPr>
        <w:jc w:val="both"/>
        <w:rPr>
          <w:rFonts w:ascii="Arial" w:hAnsi="Arial" w:cs="Arial"/>
          <w:color w:val="7F7F7F" w:themeColor="text1" w:themeTint="80"/>
          <w:sz w:val="22"/>
          <w:szCs w:val="22"/>
          <w:lang w:val="en-GB"/>
        </w:rPr>
      </w:pPr>
    </w:p>
    <w:p w14:paraId="7BD79994" w14:textId="128E0D09" w:rsidR="00607469" w:rsidRPr="000E73AA" w:rsidRDefault="00B212F8" w:rsidP="00B212F8">
      <w:p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A creditor may take security over immovable and movable assets in the Cayman Islands</w:t>
      </w:r>
      <w:r w:rsidR="00607469" w:rsidRPr="000E73AA">
        <w:rPr>
          <w:rFonts w:ascii="Arial" w:hAnsi="Arial" w:cs="Arial"/>
          <w:color w:val="7F7F7F" w:themeColor="text1" w:themeTint="80"/>
          <w:sz w:val="22"/>
          <w:szCs w:val="22"/>
          <w:lang w:val="en-GB"/>
        </w:rPr>
        <w:t xml:space="preserve"> (</w:t>
      </w:r>
      <w:r w:rsidRPr="000E73AA">
        <w:rPr>
          <w:rFonts w:ascii="Arial" w:hAnsi="Arial" w:cs="Arial"/>
          <w:color w:val="7F7F7F" w:themeColor="text1" w:themeTint="80"/>
          <w:sz w:val="22"/>
          <w:szCs w:val="22"/>
          <w:lang w:val="en-GB"/>
        </w:rPr>
        <w:t>section 54 of the Companies Act</w:t>
      </w:r>
      <w:r w:rsidR="00607469" w:rsidRPr="000E73AA">
        <w:rPr>
          <w:rFonts w:ascii="Arial" w:hAnsi="Arial" w:cs="Arial"/>
          <w:color w:val="7F7F7F" w:themeColor="text1" w:themeTint="80"/>
          <w:sz w:val="22"/>
          <w:szCs w:val="22"/>
          <w:lang w:val="en-GB"/>
        </w:rPr>
        <w:t>). It is therefore possible for a creditor to register its security over real estate, ships, aircraft, motor vehicles and intellectual property in the Cayman Islands.</w:t>
      </w:r>
    </w:p>
    <w:p w14:paraId="4AC52D72" w14:textId="77777777" w:rsidR="00607469" w:rsidRPr="000E73AA" w:rsidRDefault="00607469" w:rsidP="00B212F8">
      <w:pPr>
        <w:jc w:val="both"/>
        <w:rPr>
          <w:rFonts w:ascii="Arial" w:hAnsi="Arial" w:cs="Arial"/>
          <w:color w:val="7F7F7F" w:themeColor="text1" w:themeTint="80"/>
          <w:sz w:val="22"/>
          <w:szCs w:val="22"/>
          <w:lang w:val="en-GB"/>
        </w:rPr>
      </w:pPr>
    </w:p>
    <w:p w14:paraId="7ED342AA" w14:textId="77777777" w:rsidR="00607469" w:rsidRPr="000E73AA" w:rsidRDefault="00607469" w:rsidP="00607469">
      <w:p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w:t>
      </w:r>
      <w:r w:rsidR="00B212F8" w:rsidRPr="000E73AA">
        <w:rPr>
          <w:rFonts w:ascii="Arial" w:hAnsi="Arial" w:cs="Arial"/>
          <w:color w:val="7F7F7F" w:themeColor="text1" w:themeTint="80"/>
          <w:sz w:val="22"/>
          <w:szCs w:val="22"/>
          <w:lang w:val="en-GB"/>
        </w:rPr>
        <w:t>security interests are required to be entered in the register of mortgages and charges of the debtor company</w:t>
      </w:r>
      <w:r w:rsidRPr="000E73AA">
        <w:rPr>
          <w:rFonts w:ascii="Arial" w:hAnsi="Arial" w:cs="Arial"/>
          <w:color w:val="7F7F7F" w:themeColor="text1" w:themeTint="80"/>
          <w:sz w:val="22"/>
          <w:szCs w:val="22"/>
          <w:lang w:val="en-GB"/>
        </w:rPr>
        <w:t xml:space="preserve"> (section 54)</w:t>
      </w:r>
      <w:r w:rsidR="00B212F8" w:rsidRPr="000E73AA">
        <w:rPr>
          <w:rFonts w:ascii="Arial" w:hAnsi="Arial" w:cs="Arial"/>
          <w:color w:val="7F7F7F" w:themeColor="text1" w:themeTint="80"/>
          <w:sz w:val="22"/>
          <w:szCs w:val="22"/>
          <w:lang w:val="en-GB"/>
        </w:rPr>
        <w:t>.</w:t>
      </w:r>
      <w:r w:rsidRPr="000E73AA">
        <w:rPr>
          <w:rFonts w:ascii="Arial" w:hAnsi="Arial" w:cs="Arial"/>
          <w:color w:val="7F7F7F" w:themeColor="text1" w:themeTint="80"/>
          <w:sz w:val="22"/>
          <w:szCs w:val="22"/>
          <w:lang w:val="en-GB"/>
        </w:rPr>
        <w:t xml:space="preserve"> R</w:t>
      </w:r>
      <w:r w:rsidR="00B212F8" w:rsidRPr="000E73AA">
        <w:rPr>
          <w:rFonts w:ascii="Arial" w:hAnsi="Arial" w:cs="Arial"/>
          <w:color w:val="7F7F7F" w:themeColor="text1" w:themeTint="80"/>
          <w:sz w:val="22"/>
          <w:szCs w:val="22"/>
          <w:lang w:val="en-GB"/>
        </w:rPr>
        <w:t xml:space="preserve">egistration of a security in the company’s register </w:t>
      </w:r>
      <w:r w:rsidRPr="000E73AA">
        <w:rPr>
          <w:rFonts w:ascii="Arial" w:hAnsi="Arial" w:cs="Arial"/>
          <w:color w:val="7F7F7F" w:themeColor="text1" w:themeTint="80"/>
          <w:sz w:val="22"/>
          <w:szCs w:val="22"/>
          <w:lang w:val="en-GB"/>
        </w:rPr>
        <w:t>would</w:t>
      </w:r>
      <w:r w:rsidR="00B212F8" w:rsidRPr="000E73AA">
        <w:rPr>
          <w:rFonts w:ascii="Arial" w:hAnsi="Arial" w:cs="Arial"/>
          <w:color w:val="7F7F7F" w:themeColor="text1" w:themeTint="80"/>
          <w:sz w:val="22"/>
          <w:szCs w:val="22"/>
          <w:lang w:val="en-GB"/>
        </w:rPr>
        <w:t xml:space="preserve"> not create priority</w:t>
      </w:r>
      <w:r w:rsidRPr="000E73AA">
        <w:rPr>
          <w:rFonts w:ascii="Arial" w:hAnsi="Arial" w:cs="Arial"/>
          <w:color w:val="7F7F7F" w:themeColor="text1" w:themeTint="80"/>
          <w:sz w:val="22"/>
          <w:szCs w:val="22"/>
          <w:lang w:val="en-GB"/>
        </w:rPr>
        <w:t xml:space="preserve">. However, the register may be inspected by any member or creditor of the company and puts third parties on notice of the security. </w:t>
      </w:r>
    </w:p>
    <w:p w14:paraId="1BF5BF4F" w14:textId="77777777" w:rsidR="00607469" w:rsidRPr="000E73AA" w:rsidRDefault="00607469" w:rsidP="00607469">
      <w:pPr>
        <w:jc w:val="both"/>
        <w:rPr>
          <w:rFonts w:ascii="Arial" w:hAnsi="Arial" w:cs="Arial"/>
          <w:color w:val="7F7F7F" w:themeColor="text1" w:themeTint="80"/>
          <w:sz w:val="22"/>
          <w:szCs w:val="22"/>
          <w:lang w:val="en-GB"/>
        </w:rPr>
      </w:pPr>
    </w:p>
    <w:p w14:paraId="32B1EEFE" w14:textId="357657E7" w:rsidR="00607469" w:rsidRPr="000E73AA" w:rsidRDefault="00607469" w:rsidP="00607469">
      <w:p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creditor may also register the </w:t>
      </w:r>
      <w:r w:rsidR="000E73AA" w:rsidRPr="000E73AA">
        <w:rPr>
          <w:rFonts w:ascii="Arial" w:hAnsi="Arial" w:cs="Arial"/>
          <w:color w:val="7F7F7F" w:themeColor="text1" w:themeTint="80"/>
          <w:sz w:val="22"/>
          <w:szCs w:val="22"/>
          <w:lang w:val="en-GB"/>
        </w:rPr>
        <w:t xml:space="preserve">register the charge on the real estate, ships, aircraft, motor vehicles and intellectual property </w:t>
      </w:r>
      <w:r w:rsidRPr="000E73AA">
        <w:rPr>
          <w:rFonts w:ascii="Arial" w:hAnsi="Arial" w:cs="Arial"/>
          <w:color w:val="7F7F7F" w:themeColor="text1" w:themeTint="80"/>
          <w:sz w:val="22"/>
          <w:szCs w:val="22"/>
          <w:lang w:val="en-GB"/>
        </w:rPr>
        <w:t>centrally maintained registers</w:t>
      </w:r>
      <w:r w:rsidR="000E73AA" w:rsidRPr="000E73AA">
        <w:rPr>
          <w:rFonts w:ascii="Arial" w:hAnsi="Arial" w:cs="Arial"/>
          <w:color w:val="7F7F7F" w:themeColor="text1" w:themeTint="80"/>
          <w:sz w:val="22"/>
          <w:szCs w:val="22"/>
          <w:lang w:val="en-GB"/>
        </w:rPr>
        <w:t xml:space="preserve"> in the Cayman Islands</w:t>
      </w:r>
      <w:r w:rsidRPr="000E73AA">
        <w:rPr>
          <w:rFonts w:ascii="Arial" w:hAnsi="Arial" w:cs="Arial"/>
          <w:color w:val="7F7F7F" w:themeColor="text1" w:themeTint="80"/>
          <w:sz w:val="22"/>
          <w:szCs w:val="22"/>
          <w:lang w:val="en-GB"/>
        </w:rPr>
        <w:t>. This is</w:t>
      </w:r>
      <w:r w:rsidR="000E73AA" w:rsidRPr="000E73AA">
        <w:rPr>
          <w:rFonts w:ascii="Arial" w:hAnsi="Arial" w:cs="Arial"/>
          <w:color w:val="7F7F7F" w:themeColor="text1" w:themeTint="80"/>
          <w:sz w:val="22"/>
          <w:szCs w:val="22"/>
          <w:lang w:val="en-GB"/>
        </w:rPr>
        <w:t xml:space="preserve"> </w:t>
      </w:r>
      <w:r w:rsidRPr="000E73AA">
        <w:rPr>
          <w:rFonts w:ascii="Arial" w:hAnsi="Arial" w:cs="Arial"/>
          <w:color w:val="7F7F7F" w:themeColor="text1" w:themeTint="80"/>
          <w:sz w:val="22"/>
          <w:szCs w:val="22"/>
          <w:lang w:val="en-GB"/>
        </w:rPr>
        <w:t xml:space="preserve">important as a third-party purchaser would be deemed to have notice of the security interest and will acquire the asset subject to the secured creditors’ registered interest.  </w:t>
      </w:r>
    </w:p>
    <w:p w14:paraId="6F2A4DD4" w14:textId="77777777" w:rsidR="00607469" w:rsidRPr="000E73AA" w:rsidRDefault="00607469" w:rsidP="00607469">
      <w:pPr>
        <w:jc w:val="both"/>
        <w:rPr>
          <w:rFonts w:ascii="Arial" w:hAnsi="Arial" w:cs="Arial"/>
          <w:color w:val="7F7F7F" w:themeColor="text1" w:themeTint="80"/>
          <w:sz w:val="22"/>
          <w:szCs w:val="22"/>
          <w:lang w:val="en-GB"/>
        </w:rPr>
      </w:pPr>
    </w:p>
    <w:p w14:paraId="2A14D674" w14:textId="0B86CAA4" w:rsidR="00607469" w:rsidRDefault="00607469" w:rsidP="00B212F8">
      <w:pPr>
        <w:jc w:val="both"/>
        <w:rPr>
          <w:rFonts w:ascii="Arial" w:hAnsi="Arial" w:cs="Arial"/>
          <w:color w:val="FF000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4EB9307B" w14:textId="77777777" w:rsidR="00B212F8" w:rsidRPr="00B212F8" w:rsidRDefault="00B212F8" w:rsidP="00B212F8">
      <w:pPr>
        <w:jc w:val="both"/>
        <w:rPr>
          <w:rFonts w:ascii="Arial" w:hAnsi="Arial" w:cs="Arial"/>
          <w:b/>
          <w:bCs/>
          <w:color w:val="4472C4" w:themeColor="accent1"/>
          <w:sz w:val="22"/>
          <w:szCs w:val="22"/>
          <w:lang w:val="en-GB"/>
        </w:rPr>
      </w:pPr>
    </w:p>
    <w:p w14:paraId="75D7A919" w14:textId="77777777" w:rsidR="000E73AA" w:rsidRPr="000E73AA" w:rsidRDefault="00B212F8" w:rsidP="00B212F8">
      <w:p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w:t>
      </w:r>
      <w:r w:rsidR="000E73AA" w:rsidRPr="000E73AA">
        <w:rPr>
          <w:rFonts w:ascii="Arial" w:hAnsi="Arial" w:cs="Arial"/>
          <w:color w:val="7F7F7F" w:themeColor="text1" w:themeTint="80"/>
          <w:sz w:val="22"/>
          <w:szCs w:val="22"/>
          <w:lang w:val="en-GB"/>
        </w:rPr>
        <w:t>Court has</w:t>
      </w:r>
      <w:r w:rsidRPr="000E73AA">
        <w:rPr>
          <w:rFonts w:ascii="Arial" w:hAnsi="Arial" w:cs="Arial"/>
          <w:color w:val="7F7F7F" w:themeColor="text1" w:themeTint="80"/>
          <w:sz w:val="22"/>
          <w:szCs w:val="22"/>
          <w:lang w:val="en-GB"/>
        </w:rPr>
        <w:t xml:space="preserve"> the power to assist foreign bankruptcy proceedings </w:t>
      </w:r>
      <w:r w:rsidR="000E73AA" w:rsidRPr="000E73AA">
        <w:rPr>
          <w:rFonts w:ascii="Arial" w:hAnsi="Arial" w:cs="Arial"/>
          <w:color w:val="7F7F7F" w:themeColor="text1" w:themeTint="80"/>
          <w:sz w:val="22"/>
          <w:szCs w:val="22"/>
          <w:lang w:val="en-GB"/>
        </w:rPr>
        <w:t>in accordance with</w:t>
      </w:r>
      <w:r w:rsidRPr="000E73AA">
        <w:rPr>
          <w:rFonts w:ascii="Arial" w:hAnsi="Arial" w:cs="Arial"/>
          <w:color w:val="7F7F7F" w:themeColor="text1" w:themeTint="80"/>
          <w:sz w:val="22"/>
          <w:szCs w:val="22"/>
          <w:lang w:val="en-GB"/>
        </w:rPr>
        <w:t xml:space="preserve"> Part XVII of the Companies Act</w:t>
      </w:r>
      <w:r w:rsidR="000E73AA" w:rsidRPr="000E73AA">
        <w:rPr>
          <w:rFonts w:ascii="Arial" w:hAnsi="Arial" w:cs="Arial"/>
          <w:color w:val="7F7F7F" w:themeColor="text1" w:themeTint="80"/>
          <w:sz w:val="22"/>
          <w:szCs w:val="22"/>
          <w:lang w:val="en-GB"/>
        </w:rPr>
        <w:t xml:space="preserve">. The court can provide </w:t>
      </w:r>
      <w:r w:rsidRPr="000E73AA">
        <w:rPr>
          <w:rFonts w:ascii="Arial" w:hAnsi="Arial" w:cs="Arial"/>
          <w:color w:val="7F7F7F" w:themeColor="text1" w:themeTint="80"/>
          <w:sz w:val="22"/>
          <w:szCs w:val="22"/>
          <w:lang w:val="en-GB"/>
        </w:rPr>
        <w:t>ancillary relief such as</w:t>
      </w:r>
      <w:r w:rsidR="000E73AA" w:rsidRPr="000E73AA">
        <w:rPr>
          <w:rFonts w:ascii="Arial" w:hAnsi="Arial" w:cs="Arial"/>
          <w:color w:val="7F7F7F" w:themeColor="text1" w:themeTint="80"/>
          <w:sz w:val="22"/>
          <w:szCs w:val="22"/>
          <w:lang w:val="en-GB"/>
        </w:rPr>
        <w:t>:</w:t>
      </w:r>
    </w:p>
    <w:p w14:paraId="0E5AC5EC" w14:textId="77777777" w:rsidR="000E73AA" w:rsidRPr="000E73AA" w:rsidRDefault="000E73AA" w:rsidP="000E73AA">
      <w:pPr>
        <w:pStyle w:val="ListParagraph"/>
        <w:numPr>
          <w:ilvl w:val="0"/>
          <w:numId w:val="48"/>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Recognising the right of a foreign representative to act in the Cayman Islands on behalf of, or in the name of, a debtor;</w:t>
      </w:r>
    </w:p>
    <w:p w14:paraId="4B6796BF" w14:textId="77777777" w:rsidR="000E73AA" w:rsidRPr="000E73AA" w:rsidRDefault="000E73AA" w:rsidP="000E73AA">
      <w:pPr>
        <w:pStyle w:val="ListParagraph"/>
        <w:numPr>
          <w:ilvl w:val="0"/>
          <w:numId w:val="48"/>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Enjoining the commencement or staying the continuation of legal proceedings against the debtor;</w:t>
      </w:r>
    </w:p>
    <w:p w14:paraId="600EF713" w14:textId="77777777" w:rsidR="000E73AA" w:rsidRPr="000E73AA" w:rsidRDefault="000E73AA" w:rsidP="000E73AA">
      <w:pPr>
        <w:pStyle w:val="ListParagraph"/>
        <w:numPr>
          <w:ilvl w:val="0"/>
          <w:numId w:val="48"/>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Staying the enforcement of any judgment against a debtor;</w:t>
      </w:r>
    </w:p>
    <w:p w14:paraId="39297E00" w14:textId="77777777" w:rsidR="000E73AA" w:rsidRPr="000E73AA" w:rsidRDefault="000E73AA" w:rsidP="000E73AA">
      <w:pPr>
        <w:pStyle w:val="ListParagraph"/>
        <w:numPr>
          <w:ilvl w:val="0"/>
          <w:numId w:val="48"/>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Requiring a person in possession of information relating to the business or affairs of a debtor to be examined by and to produce documents to its foreign representative; and</w:t>
      </w:r>
    </w:p>
    <w:p w14:paraId="07D3A7A3" w14:textId="77777777" w:rsidR="000E73AA" w:rsidRPr="000E73AA" w:rsidRDefault="000E73AA" w:rsidP="000E73AA">
      <w:pPr>
        <w:pStyle w:val="ListParagraph"/>
        <w:numPr>
          <w:ilvl w:val="0"/>
          <w:numId w:val="48"/>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Ordering the hand-over to a foreign representative of any property belonging to a debtor.</w:t>
      </w:r>
    </w:p>
    <w:p w14:paraId="58509A2D" w14:textId="77777777" w:rsidR="000E73AA" w:rsidRPr="000E73AA" w:rsidRDefault="000E73AA" w:rsidP="000E73AA">
      <w:pPr>
        <w:jc w:val="both"/>
        <w:rPr>
          <w:rFonts w:ascii="Arial" w:hAnsi="Arial" w:cs="Arial"/>
          <w:color w:val="7F7F7F" w:themeColor="text1" w:themeTint="80"/>
          <w:sz w:val="22"/>
          <w:szCs w:val="22"/>
          <w:lang w:val="en-GB"/>
        </w:rPr>
      </w:pPr>
    </w:p>
    <w:p w14:paraId="3185CFC0" w14:textId="34F22CEC" w:rsidR="00B212F8" w:rsidRPr="000E73AA" w:rsidRDefault="000E73AA" w:rsidP="000E73AA">
      <w:p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The court will consider whether</w:t>
      </w:r>
      <w:r w:rsidR="00B212F8" w:rsidRPr="000E73AA">
        <w:rPr>
          <w:rFonts w:ascii="Arial" w:hAnsi="Arial" w:cs="Arial"/>
          <w:color w:val="7F7F7F" w:themeColor="text1" w:themeTint="80"/>
          <w:sz w:val="22"/>
          <w:szCs w:val="22"/>
          <w:lang w:val="en-GB"/>
        </w:rPr>
        <w:t xml:space="preserve"> it is appropriate for the Court to exercise its discretion </w:t>
      </w:r>
      <w:r w:rsidRPr="000E73AA">
        <w:rPr>
          <w:rFonts w:ascii="Arial" w:hAnsi="Arial" w:cs="Arial"/>
          <w:color w:val="7F7F7F" w:themeColor="text1" w:themeTint="80"/>
          <w:sz w:val="22"/>
          <w:szCs w:val="22"/>
          <w:lang w:val="en-GB"/>
        </w:rPr>
        <w:t>in</w:t>
      </w:r>
      <w:r w:rsidR="00B212F8" w:rsidRPr="000E73AA">
        <w:rPr>
          <w:rFonts w:ascii="Arial" w:hAnsi="Arial" w:cs="Arial"/>
          <w:color w:val="7F7F7F" w:themeColor="text1" w:themeTint="80"/>
          <w:sz w:val="22"/>
          <w:szCs w:val="22"/>
          <w:lang w:val="en-GB"/>
        </w:rPr>
        <w:t xml:space="preserve"> granting the relief sought</w:t>
      </w:r>
      <w:r w:rsidRPr="000E73AA">
        <w:rPr>
          <w:rFonts w:ascii="Arial" w:hAnsi="Arial" w:cs="Arial"/>
          <w:color w:val="7F7F7F" w:themeColor="text1" w:themeTint="80"/>
          <w:sz w:val="22"/>
          <w:szCs w:val="22"/>
          <w:lang w:val="en-GB"/>
        </w:rPr>
        <w:t xml:space="preserve"> upon considering</w:t>
      </w:r>
      <w:r w:rsidR="00B212F8" w:rsidRPr="000E73AA">
        <w:rPr>
          <w:rFonts w:ascii="Arial" w:hAnsi="Arial" w:cs="Arial"/>
          <w:color w:val="7F7F7F" w:themeColor="text1" w:themeTint="80"/>
          <w:sz w:val="22"/>
          <w:szCs w:val="22"/>
          <w:lang w:val="en-GB"/>
        </w:rPr>
        <w:t xml:space="preserve"> matters which will best assure an economic and expeditious administration of the debtor’s estate</w:t>
      </w:r>
      <w:r w:rsidRPr="000E73AA">
        <w:rPr>
          <w:rFonts w:ascii="Arial" w:hAnsi="Arial" w:cs="Arial"/>
          <w:color w:val="7F7F7F" w:themeColor="text1" w:themeTint="80"/>
          <w:sz w:val="22"/>
          <w:szCs w:val="22"/>
          <w:lang w:val="en-GB"/>
        </w:rPr>
        <w:t xml:space="preserve"> (section 242). This includes</w:t>
      </w:r>
      <w:r w:rsidR="00B212F8" w:rsidRPr="000E73AA">
        <w:rPr>
          <w:rFonts w:ascii="Arial" w:hAnsi="Arial" w:cs="Arial"/>
          <w:color w:val="7F7F7F" w:themeColor="text1" w:themeTint="80"/>
          <w:sz w:val="22"/>
          <w:szCs w:val="22"/>
          <w:lang w:val="en-GB"/>
        </w:rPr>
        <w:t xml:space="preserve">: </w:t>
      </w:r>
    </w:p>
    <w:p w14:paraId="757FD642" w14:textId="77777777" w:rsidR="00B212F8" w:rsidRPr="000E73AA" w:rsidRDefault="00B212F8" w:rsidP="00B212F8">
      <w:pPr>
        <w:jc w:val="both"/>
        <w:rPr>
          <w:rFonts w:ascii="Arial" w:hAnsi="Arial" w:cs="Arial"/>
          <w:color w:val="7F7F7F" w:themeColor="text1" w:themeTint="80"/>
          <w:sz w:val="22"/>
          <w:szCs w:val="22"/>
          <w:lang w:val="en-GB"/>
        </w:rPr>
      </w:pPr>
    </w:p>
    <w:p w14:paraId="444B9631" w14:textId="77777777" w:rsidR="00B212F8" w:rsidRPr="000E73AA" w:rsidRDefault="00B212F8" w:rsidP="00B212F8">
      <w:pPr>
        <w:pStyle w:val="ListParagraph"/>
        <w:numPr>
          <w:ilvl w:val="0"/>
          <w:numId w:val="44"/>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just treatment of all holders of claims, wherever they are domiciled, in accordance with the established principles of natural justice; </w:t>
      </w:r>
    </w:p>
    <w:p w14:paraId="22CDA527" w14:textId="77777777" w:rsidR="00B212F8" w:rsidRPr="000E73AA" w:rsidRDefault="00B212F8" w:rsidP="00B212F8">
      <w:pPr>
        <w:pStyle w:val="ListParagraph"/>
        <w:numPr>
          <w:ilvl w:val="0"/>
          <w:numId w:val="44"/>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protection of claim holders in the Cayman Islands against prejudice and inconvenience in the processing of claims in foreign proceedings; </w:t>
      </w:r>
    </w:p>
    <w:p w14:paraId="46458A5B" w14:textId="77777777" w:rsidR="00B212F8" w:rsidRPr="000E73AA" w:rsidRDefault="00B212F8" w:rsidP="00B212F8">
      <w:pPr>
        <w:pStyle w:val="ListParagraph"/>
        <w:numPr>
          <w:ilvl w:val="0"/>
          <w:numId w:val="44"/>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prevention or fraudulent dispositions of property in the debtor’s estate; </w:t>
      </w:r>
    </w:p>
    <w:p w14:paraId="74D99FF2" w14:textId="77777777" w:rsidR="00B212F8" w:rsidRPr="000E73AA" w:rsidRDefault="00B212F8" w:rsidP="00B212F8">
      <w:pPr>
        <w:pStyle w:val="ListParagraph"/>
        <w:numPr>
          <w:ilvl w:val="0"/>
          <w:numId w:val="44"/>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distribution of the estate among creditors substantially in accordance with the statutory order of priority; </w:t>
      </w:r>
    </w:p>
    <w:p w14:paraId="5BD9ED6A" w14:textId="77777777" w:rsidR="00B212F8" w:rsidRPr="000E73AA" w:rsidRDefault="00B212F8" w:rsidP="00B212F8">
      <w:pPr>
        <w:pStyle w:val="ListParagraph"/>
        <w:numPr>
          <w:ilvl w:val="0"/>
          <w:numId w:val="44"/>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recognition and enforcement of security interest created by the debtor; </w:t>
      </w:r>
    </w:p>
    <w:p w14:paraId="5275E7EE" w14:textId="77777777" w:rsidR="00B212F8" w:rsidRPr="000E73AA" w:rsidRDefault="00B212F8" w:rsidP="00B212F8">
      <w:pPr>
        <w:pStyle w:val="ListParagraph"/>
        <w:numPr>
          <w:ilvl w:val="0"/>
          <w:numId w:val="44"/>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 xml:space="preserve">The non-enforcement of foreign taxes, fines and penalties; </w:t>
      </w:r>
    </w:p>
    <w:p w14:paraId="104F68EF" w14:textId="13CB60AB" w:rsidR="00B212F8" w:rsidRPr="000E73AA" w:rsidRDefault="00B212F8" w:rsidP="00B212F8">
      <w:pPr>
        <w:pStyle w:val="ListParagraph"/>
        <w:numPr>
          <w:ilvl w:val="0"/>
          <w:numId w:val="44"/>
        </w:numPr>
        <w:jc w:val="both"/>
        <w:rPr>
          <w:rFonts w:ascii="Arial" w:hAnsi="Arial" w:cs="Arial"/>
          <w:color w:val="7F7F7F" w:themeColor="text1" w:themeTint="80"/>
          <w:sz w:val="22"/>
          <w:szCs w:val="22"/>
          <w:lang w:val="en-GB"/>
        </w:rPr>
      </w:pPr>
      <w:r w:rsidRPr="000E73AA">
        <w:rPr>
          <w:rFonts w:ascii="Arial" w:hAnsi="Arial" w:cs="Arial"/>
          <w:color w:val="7F7F7F" w:themeColor="text1" w:themeTint="80"/>
          <w:sz w:val="22"/>
          <w:szCs w:val="22"/>
          <w:lang w:val="en-GB"/>
        </w:rPr>
        <w:t>Comity (mutual recognition and co-operation concerning legal decisions).</w:t>
      </w:r>
    </w:p>
    <w:p w14:paraId="7C4846ED" w14:textId="3C444C27" w:rsidR="00B212F8" w:rsidRPr="000E73AA" w:rsidRDefault="00B212F8" w:rsidP="00B212F8">
      <w:pPr>
        <w:jc w:val="both"/>
        <w:rPr>
          <w:rFonts w:ascii="Arial" w:hAnsi="Arial" w:cs="Arial"/>
          <w:color w:val="7F7F7F" w:themeColor="text1" w:themeTint="80"/>
          <w:sz w:val="22"/>
          <w:szCs w:val="22"/>
          <w:lang w:val="en-GB"/>
        </w:rPr>
      </w:pPr>
    </w:p>
    <w:p w14:paraId="234C117E" w14:textId="77777777" w:rsidR="00B212F8" w:rsidRPr="00B212F8" w:rsidRDefault="00B212F8" w:rsidP="00B212F8">
      <w:pPr>
        <w:jc w:val="both"/>
        <w:rPr>
          <w:rFonts w:ascii="Arial" w:hAnsi="Arial" w:cs="Arial"/>
          <w:color w:val="FF0000"/>
          <w:sz w:val="22"/>
          <w:szCs w:val="22"/>
          <w:lang w:val="en-GB"/>
        </w:rPr>
      </w:pPr>
    </w:p>
    <w:p w14:paraId="28981D66" w14:textId="77777777" w:rsidR="00B212F8" w:rsidRDefault="00B212F8" w:rsidP="00B212F8">
      <w:pPr>
        <w:jc w:val="both"/>
        <w:rPr>
          <w:rFonts w:ascii="Arial" w:hAnsi="Arial" w:cs="Arial"/>
          <w:color w:val="808080" w:themeColor="background1" w:themeShade="80"/>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D663CAD" w14:textId="77777777" w:rsidR="000E73AA" w:rsidRPr="00840F79" w:rsidRDefault="00B212F8" w:rsidP="00B212F8">
      <w:p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 xml:space="preserve">A foreign judgment may be </w:t>
      </w:r>
      <w:r w:rsidR="000E73AA" w:rsidRPr="00840F79">
        <w:rPr>
          <w:rFonts w:ascii="Arial" w:hAnsi="Arial" w:cs="Arial"/>
          <w:color w:val="7F7F7F" w:themeColor="text1" w:themeTint="80"/>
          <w:sz w:val="22"/>
          <w:szCs w:val="22"/>
          <w:lang w:val="en-GB"/>
        </w:rPr>
        <w:t>recognised</w:t>
      </w:r>
      <w:r w:rsidRPr="00840F79">
        <w:rPr>
          <w:rFonts w:ascii="Arial" w:hAnsi="Arial" w:cs="Arial"/>
          <w:color w:val="7F7F7F" w:themeColor="text1" w:themeTint="80"/>
          <w:sz w:val="22"/>
          <w:szCs w:val="22"/>
          <w:lang w:val="en-GB"/>
        </w:rPr>
        <w:t xml:space="preserve"> either </w:t>
      </w:r>
      <w:r w:rsidR="000E73AA" w:rsidRPr="00840F79">
        <w:rPr>
          <w:rFonts w:ascii="Arial" w:hAnsi="Arial" w:cs="Arial"/>
          <w:color w:val="7F7F7F" w:themeColor="text1" w:themeTint="80"/>
          <w:sz w:val="22"/>
          <w:szCs w:val="22"/>
          <w:lang w:val="en-GB"/>
        </w:rPr>
        <w:t>by</w:t>
      </w:r>
      <w:r w:rsidRPr="00840F79">
        <w:rPr>
          <w:rFonts w:ascii="Arial" w:hAnsi="Arial" w:cs="Arial"/>
          <w:color w:val="7F7F7F" w:themeColor="text1" w:themeTint="80"/>
          <w:sz w:val="22"/>
          <w:szCs w:val="22"/>
          <w:lang w:val="en-GB"/>
        </w:rPr>
        <w:t xml:space="preserve"> </w:t>
      </w:r>
      <w:r w:rsidR="000E73AA" w:rsidRPr="00840F79">
        <w:rPr>
          <w:rFonts w:ascii="Arial" w:hAnsi="Arial" w:cs="Arial"/>
          <w:color w:val="7F7F7F" w:themeColor="text1" w:themeTint="80"/>
          <w:sz w:val="22"/>
          <w:szCs w:val="22"/>
          <w:lang w:val="en-GB"/>
        </w:rPr>
        <w:t xml:space="preserve">the requirements of Foreign Judgments Reciprocal Enforcement Act (1996 Revision) </w:t>
      </w:r>
      <w:r w:rsidRPr="00840F79">
        <w:rPr>
          <w:rFonts w:ascii="Arial" w:hAnsi="Arial" w:cs="Arial"/>
          <w:color w:val="7F7F7F" w:themeColor="text1" w:themeTint="80"/>
          <w:sz w:val="22"/>
          <w:szCs w:val="22"/>
          <w:lang w:val="en-GB"/>
        </w:rPr>
        <w:t xml:space="preserve">or at common law. </w:t>
      </w:r>
    </w:p>
    <w:p w14:paraId="7060323E" w14:textId="77777777" w:rsidR="000E73AA" w:rsidRPr="00840F79" w:rsidRDefault="000E73AA" w:rsidP="00B212F8">
      <w:pPr>
        <w:jc w:val="both"/>
        <w:rPr>
          <w:rFonts w:ascii="Arial" w:hAnsi="Arial" w:cs="Arial"/>
          <w:color w:val="7F7F7F" w:themeColor="text1" w:themeTint="80"/>
          <w:sz w:val="22"/>
          <w:szCs w:val="22"/>
          <w:lang w:val="en-GB"/>
        </w:rPr>
      </w:pPr>
    </w:p>
    <w:p w14:paraId="3F3137EF" w14:textId="796F075A" w:rsidR="00B212F8" w:rsidRPr="00840F79" w:rsidRDefault="00840F79" w:rsidP="00B212F8">
      <w:p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 xml:space="preserve">In order for a judgment to be recognised under the Act, the foreign judgment must be final, a money judgment and made after the Act was extended to a relevant foreign country. To date, the Act has only been extended to judgments from the Superior Courts of Australia. Additionally, the </w:t>
      </w:r>
      <w:r w:rsidR="00B212F8" w:rsidRPr="00840F79">
        <w:rPr>
          <w:rFonts w:ascii="Arial" w:hAnsi="Arial" w:cs="Arial"/>
          <w:color w:val="7F7F7F" w:themeColor="text1" w:themeTint="80"/>
          <w:sz w:val="22"/>
          <w:szCs w:val="22"/>
          <w:lang w:val="en-GB"/>
        </w:rPr>
        <w:t>judgment will only be enforceable within six years from the date of the judgment or, when there have been appeals, the date of the last judgment.</w:t>
      </w:r>
      <w:r w:rsidRPr="00840F79">
        <w:rPr>
          <w:rFonts w:ascii="Arial" w:hAnsi="Arial" w:cs="Arial"/>
          <w:color w:val="7F7F7F" w:themeColor="text1" w:themeTint="80"/>
          <w:sz w:val="22"/>
          <w:szCs w:val="22"/>
          <w:lang w:val="en-GB"/>
        </w:rPr>
        <w:t xml:space="preserve"> </w:t>
      </w:r>
    </w:p>
    <w:p w14:paraId="5E3BAE94" w14:textId="77777777" w:rsidR="00B212F8" w:rsidRPr="00840F79" w:rsidRDefault="00B212F8" w:rsidP="00B212F8">
      <w:pPr>
        <w:jc w:val="both"/>
        <w:rPr>
          <w:rFonts w:ascii="Arial" w:hAnsi="Arial" w:cs="Arial"/>
          <w:color w:val="7F7F7F" w:themeColor="text1" w:themeTint="80"/>
          <w:sz w:val="22"/>
          <w:szCs w:val="22"/>
          <w:lang w:val="en-GB"/>
        </w:rPr>
      </w:pPr>
    </w:p>
    <w:p w14:paraId="4C4AB4C0" w14:textId="77777777" w:rsidR="00840F79" w:rsidRPr="00840F79" w:rsidRDefault="00840F79" w:rsidP="00B212F8">
      <w:p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 xml:space="preserve">As a result of the limited application of the Act, </w:t>
      </w:r>
      <w:r w:rsidR="00B212F8" w:rsidRPr="00840F79">
        <w:rPr>
          <w:rFonts w:ascii="Arial" w:hAnsi="Arial" w:cs="Arial"/>
          <w:color w:val="7F7F7F" w:themeColor="text1" w:themeTint="80"/>
          <w:sz w:val="22"/>
          <w:szCs w:val="22"/>
          <w:lang w:val="en-GB"/>
        </w:rPr>
        <w:t>most foreign judgments are usually enforced at common law by commencing a n</w:t>
      </w:r>
      <w:r w:rsidRPr="00840F79">
        <w:rPr>
          <w:rFonts w:ascii="Arial" w:hAnsi="Arial" w:cs="Arial"/>
          <w:color w:val="7F7F7F" w:themeColor="text1" w:themeTint="80"/>
          <w:sz w:val="22"/>
          <w:szCs w:val="22"/>
          <w:lang w:val="en-GB"/>
        </w:rPr>
        <w:t>ew action in the Cayman Islands. The basis of the claim would be that t</w:t>
      </w:r>
      <w:r w:rsidR="00B212F8" w:rsidRPr="00840F79">
        <w:rPr>
          <w:rFonts w:ascii="Arial" w:hAnsi="Arial" w:cs="Arial"/>
          <w:color w:val="7F7F7F" w:themeColor="text1" w:themeTint="80"/>
          <w:sz w:val="22"/>
          <w:szCs w:val="22"/>
          <w:lang w:val="en-GB"/>
        </w:rPr>
        <w:t xml:space="preserve">he foreign judgment </w:t>
      </w:r>
      <w:r w:rsidRPr="00840F79">
        <w:rPr>
          <w:rFonts w:ascii="Arial" w:hAnsi="Arial" w:cs="Arial"/>
          <w:color w:val="7F7F7F" w:themeColor="text1" w:themeTint="80"/>
          <w:sz w:val="22"/>
          <w:szCs w:val="22"/>
          <w:lang w:val="en-GB"/>
        </w:rPr>
        <w:t xml:space="preserve">is an </w:t>
      </w:r>
      <w:r w:rsidR="00B212F8" w:rsidRPr="00840F79">
        <w:rPr>
          <w:rFonts w:ascii="Arial" w:hAnsi="Arial" w:cs="Arial"/>
          <w:color w:val="7F7F7F" w:themeColor="text1" w:themeTint="80"/>
          <w:sz w:val="22"/>
          <w:szCs w:val="22"/>
          <w:lang w:val="en-GB"/>
        </w:rPr>
        <w:t>unsatisfied debt or other obligation.</w:t>
      </w:r>
      <w:r w:rsidRPr="00840F79">
        <w:rPr>
          <w:rFonts w:ascii="Arial" w:hAnsi="Arial" w:cs="Arial"/>
          <w:color w:val="7F7F7F" w:themeColor="text1" w:themeTint="80"/>
          <w:sz w:val="22"/>
          <w:szCs w:val="22"/>
          <w:lang w:val="en-GB"/>
        </w:rPr>
        <w:t xml:space="preserve"> The common law requirements for recognition are </w:t>
      </w:r>
    </w:p>
    <w:p w14:paraId="32A54D0A" w14:textId="12B888EF" w:rsidR="00B212F8" w:rsidRPr="00840F79" w:rsidRDefault="00B212F8" w:rsidP="00B212F8">
      <w:p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 xml:space="preserve"> </w:t>
      </w:r>
    </w:p>
    <w:p w14:paraId="5350BCFC" w14:textId="77777777" w:rsidR="00B212F8" w:rsidRPr="00840F79" w:rsidRDefault="00B212F8" w:rsidP="00B212F8">
      <w:pPr>
        <w:pStyle w:val="ListParagraph"/>
        <w:numPr>
          <w:ilvl w:val="0"/>
          <w:numId w:val="45"/>
        </w:num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The judgment is final;</w:t>
      </w:r>
    </w:p>
    <w:p w14:paraId="5B6EFD17" w14:textId="77777777" w:rsidR="00B212F8" w:rsidRPr="00840F79" w:rsidRDefault="00B212F8" w:rsidP="00B212F8">
      <w:pPr>
        <w:pStyle w:val="ListParagraph"/>
        <w:numPr>
          <w:ilvl w:val="0"/>
          <w:numId w:val="45"/>
        </w:num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 xml:space="preserve">The foreign court had jurisdiction over the debtor; </w:t>
      </w:r>
    </w:p>
    <w:p w14:paraId="4BF04AA0" w14:textId="77777777" w:rsidR="00B212F8" w:rsidRPr="00840F79" w:rsidRDefault="00B212F8" w:rsidP="00B212F8">
      <w:pPr>
        <w:pStyle w:val="ListParagraph"/>
        <w:numPr>
          <w:ilvl w:val="0"/>
          <w:numId w:val="45"/>
        </w:num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The foreign judgment is obtained by fraud</w:t>
      </w:r>
    </w:p>
    <w:p w14:paraId="5C6BABD9" w14:textId="77777777" w:rsidR="00B212F8" w:rsidRPr="00840F79" w:rsidRDefault="00B212F8" w:rsidP="00B212F8">
      <w:pPr>
        <w:pStyle w:val="ListParagraph"/>
        <w:numPr>
          <w:ilvl w:val="0"/>
          <w:numId w:val="45"/>
        </w:num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 xml:space="preserve">The foreign judgment is not contrary to public policy of the Cayman Islands; and </w:t>
      </w:r>
    </w:p>
    <w:p w14:paraId="29AC87DD" w14:textId="77777777" w:rsidR="00B212F8" w:rsidRPr="00840F79" w:rsidRDefault="00B212F8" w:rsidP="00B212F8">
      <w:pPr>
        <w:pStyle w:val="ListParagraph"/>
        <w:numPr>
          <w:ilvl w:val="0"/>
          <w:numId w:val="45"/>
        </w:numPr>
        <w:jc w:val="both"/>
        <w:rPr>
          <w:rFonts w:ascii="Arial" w:hAnsi="Arial" w:cs="Arial"/>
          <w:color w:val="7F7F7F" w:themeColor="text1" w:themeTint="80"/>
          <w:sz w:val="22"/>
          <w:szCs w:val="22"/>
          <w:lang w:val="en-GB"/>
        </w:rPr>
      </w:pPr>
      <w:r w:rsidRPr="00840F79">
        <w:rPr>
          <w:rFonts w:ascii="Arial" w:hAnsi="Arial" w:cs="Arial"/>
          <w:color w:val="7F7F7F" w:themeColor="text1" w:themeTint="80"/>
          <w:sz w:val="22"/>
          <w:szCs w:val="22"/>
          <w:lang w:val="en-GB"/>
        </w:rPr>
        <w:t xml:space="preserve">The foreign judgment was not obtained contrary to the rules of natural justice. </w:t>
      </w:r>
    </w:p>
    <w:p w14:paraId="30F79B9E" w14:textId="47889392" w:rsidR="00E4294D" w:rsidRPr="00B212F8" w:rsidRDefault="00E4294D" w:rsidP="00E4294D">
      <w:pPr>
        <w:jc w:val="both"/>
        <w:rPr>
          <w:rFonts w:ascii="Arial" w:hAnsi="Arial" w:cs="Arial"/>
          <w:color w:val="4472C4" w:themeColor="accent1"/>
          <w:sz w:val="22"/>
          <w:szCs w:val="22"/>
          <w:lang w:val="en-GB"/>
        </w:rPr>
      </w:pPr>
    </w:p>
    <w:p w14:paraId="2F861A8C" w14:textId="46B54739" w:rsidR="00E4294D" w:rsidRDefault="00E4294D" w:rsidP="002A37BB">
      <w:pPr>
        <w:jc w:val="both"/>
        <w:rPr>
          <w:rFonts w:ascii="Arial" w:hAnsi="Arial" w:cs="Arial"/>
          <w:bCs/>
          <w:sz w:val="22"/>
          <w:szCs w:val="22"/>
          <w:lang w:val="en-GB"/>
        </w:rPr>
      </w:pPr>
    </w:p>
    <w:p w14:paraId="337A31CC" w14:textId="5AD6D933" w:rsidR="00E4294D" w:rsidRDefault="00E4294D" w:rsidP="002A37BB">
      <w:pPr>
        <w:jc w:val="both"/>
        <w:rPr>
          <w:rFonts w:ascii="Arial" w:hAnsi="Arial" w:cs="Arial"/>
          <w:bCs/>
          <w:sz w:val="22"/>
          <w:szCs w:val="22"/>
          <w:lang w:val="en-GB"/>
        </w:rPr>
      </w:pPr>
    </w:p>
    <w:p w14:paraId="7F57504A" w14:textId="6F249646" w:rsidR="00840F79" w:rsidRDefault="00840F79" w:rsidP="002A37BB">
      <w:pPr>
        <w:jc w:val="both"/>
        <w:rPr>
          <w:rFonts w:ascii="Arial" w:hAnsi="Arial" w:cs="Arial"/>
          <w:bCs/>
          <w:sz w:val="22"/>
          <w:szCs w:val="22"/>
          <w:lang w:val="en-GB"/>
        </w:rPr>
      </w:pPr>
    </w:p>
    <w:p w14:paraId="69A5FE2D" w14:textId="4FC7E09D" w:rsidR="00840F79" w:rsidRDefault="00840F79" w:rsidP="002A37BB">
      <w:pPr>
        <w:jc w:val="both"/>
        <w:rPr>
          <w:rFonts w:ascii="Arial" w:hAnsi="Arial" w:cs="Arial"/>
          <w:bCs/>
          <w:sz w:val="22"/>
          <w:szCs w:val="22"/>
          <w:lang w:val="en-GB"/>
        </w:rPr>
      </w:pPr>
    </w:p>
    <w:p w14:paraId="4200C778" w14:textId="002FCBE4" w:rsidR="00840F79" w:rsidRDefault="00840F79" w:rsidP="002A37BB">
      <w:pPr>
        <w:jc w:val="both"/>
        <w:rPr>
          <w:rFonts w:ascii="Arial" w:hAnsi="Arial" w:cs="Arial"/>
          <w:bCs/>
          <w:sz w:val="22"/>
          <w:szCs w:val="22"/>
          <w:lang w:val="en-GB"/>
        </w:rPr>
      </w:pPr>
    </w:p>
    <w:p w14:paraId="44AD9F41" w14:textId="4363BF2E" w:rsidR="00840F79" w:rsidRDefault="00840F79" w:rsidP="002A37BB">
      <w:pPr>
        <w:jc w:val="both"/>
        <w:rPr>
          <w:rFonts w:ascii="Arial" w:hAnsi="Arial" w:cs="Arial"/>
          <w:bCs/>
          <w:sz w:val="22"/>
          <w:szCs w:val="22"/>
          <w:lang w:val="en-GB"/>
        </w:rPr>
      </w:pPr>
    </w:p>
    <w:p w14:paraId="64AA13C3" w14:textId="7825DF4C" w:rsidR="00840F79" w:rsidRDefault="00840F79" w:rsidP="002A37BB">
      <w:pPr>
        <w:jc w:val="both"/>
        <w:rPr>
          <w:rFonts w:ascii="Arial" w:hAnsi="Arial" w:cs="Arial"/>
          <w:bCs/>
          <w:sz w:val="22"/>
          <w:szCs w:val="22"/>
          <w:lang w:val="en-GB"/>
        </w:rPr>
      </w:pPr>
    </w:p>
    <w:p w14:paraId="5FF46A08" w14:textId="148708A8" w:rsidR="00840F79" w:rsidRDefault="00840F79" w:rsidP="002A37BB">
      <w:pPr>
        <w:jc w:val="both"/>
        <w:rPr>
          <w:rFonts w:ascii="Arial" w:hAnsi="Arial" w:cs="Arial"/>
          <w:bCs/>
          <w:sz w:val="22"/>
          <w:szCs w:val="22"/>
          <w:lang w:val="en-GB"/>
        </w:rPr>
      </w:pPr>
    </w:p>
    <w:p w14:paraId="1B63DB77" w14:textId="5AA96CB2" w:rsidR="00840F79" w:rsidRDefault="00840F79" w:rsidP="002A37BB">
      <w:pPr>
        <w:jc w:val="both"/>
        <w:rPr>
          <w:rFonts w:ascii="Arial" w:hAnsi="Arial" w:cs="Arial"/>
          <w:bCs/>
          <w:sz w:val="22"/>
          <w:szCs w:val="22"/>
          <w:lang w:val="en-GB"/>
        </w:rPr>
      </w:pPr>
    </w:p>
    <w:p w14:paraId="30BBDB28" w14:textId="0EFDE03A" w:rsidR="00840F79" w:rsidRDefault="00840F79" w:rsidP="002A37BB">
      <w:pPr>
        <w:jc w:val="both"/>
        <w:rPr>
          <w:rFonts w:ascii="Arial" w:hAnsi="Arial" w:cs="Arial"/>
          <w:bCs/>
          <w:sz w:val="22"/>
          <w:szCs w:val="22"/>
          <w:lang w:val="en-GB"/>
        </w:rPr>
      </w:pPr>
    </w:p>
    <w:p w14:paraId="3C8FD51B" w14:textId="4292DEA4" w:rsidR="00840F79" w:rsidRDefault="00840F79" w:rsidP="002A37BB">
      <w:pPr>
        <w:jc w:val="both"/>
        <w:rPr>
          <w:rFonts w:ascii="Arial" w:hAnsi="Arial" w:cs="Arial"/>
          <w:bCs/>
          <w:sz w:val="22"/>
          <w:szCs w:val="22"/>
          <w:lang w:val="en-GB"/>
        </w:rPr>
      </w:pPr>
    </w:p>
    <w:p w14:paraId="17740D33" w14:textId="77777777" w:rsidR="00840F79" w:rsidRPr="002A37BB" w:rsidRDefault="00840F79"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13684103" w14:textId="77777777" w:rsidR="00840F79" w:rsidRPr="00EF325B" w:rsidRDefault="00840F79" w:rsidP="00B212F8">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T</w:t>
      </w:r>
      <w:r w:rsidR="00B212F8" w:rsidRPr="00EF325B">
        <w:rPr>
          <w:rFonts w:ascii="Arial" w:hAnsi="Arial" w:cs="Arial"/>
          <w:color w:val="7F7F7F" w:themeColor="text1" w:themeTint="80"/>
          <w:sz w:val="22"/>
          <w:szCs w:val="22"/>
          <w:lang w:val="en-GB"/>
        </w:rPr>
        <w:t xml:space="preserve">here is no statutory prohibition on insolvent trading in the Cayman Islands, </w:t>
      </w:r>
      <w:r w:rsidRPr="00EF325B">
        <w:rPr>
          <w:rFonts w:ascii="Arial" w:hAnsi="Arial" w:cs="Arial"/>
          <w:color w:val="7F7F7F" w:themeColor="text1" w:themeTint="80"/>
          <w:sz w:val="22"/>
          <w:szCs w:val="22"/>
          <w:lang w:val="en-GB"/>
        </w:rPr>
        <w:t xml:space="preserve">but under common law principles, the </w:t>
      </w:r>
      <w:r w:rsidR="00B212F8" w:rsidRPr="00EF325B">
        <w:rPr>
          <w:rFonts w:ascii="Arial" w:hAnsi="Arial" w:cs="Arial"/>
          <w:color w:val="7F7F7F" w:themeColor="text1" w:themeTint="80"/>
          <w:sz w:val="22"/>
          <w:szCs w:val="22"/>
          <w:lang w:val="en-GB"/>
        </w:rPr>
        <w:t>former directors of a company can be held personally liable to the company for any losses which they cause to the company</w:t>
      </w:r>
      <w:r w:rsidRPr="00EF325B">
        <w:rPr>
          <w:rFonts w:ascii="Arial" w:hAnsi="Arial" w:cs="Arial"/>
          <w:color w:val="7F7F7F" w:themeColor="text1" w:themeTint="80"/>
          <w:sz w:val="22"/>
          <w:szCs w:val="22"/>
          <w:lang w:val="en-GB"/>
        </w:rPr>
        <w:t xml:space="preserve">. The former directors will be so liable where </w:t>
      </w:r>
      <w:r w:rsidR="00B212F8" w:rsidRPr="00EF325B">
        <w:rPr>
          <w:rFonts w:ascii="Arial" w:hAnsi="Arial" w:cs="Arial"/>
          <w:color w:val="7F7F7F" w:themeColor="text1" w:themeTint="80"/>
          <w:sz w:val="22"/>
          <w:szCs w:val="22"/>
          <w:lang w:val="en-GB"/>
        </w:rPr>
        <w:t xml:space="preserve">they fail to discharge their fiduciary duty to act in the best interests of the company. </w:t>
      </w:r>
    </w:p>
    <w:p w14:paraId="6F8C7863" w14:textId="77777777" w:rsidR="00840F79" w:rsidRPr="00EF325B" w:rsidRDefault="00840F79" w:rsidP="00B212F8">
      <w:pPr>
        <w:jc w:val="both"/>
        <w:rPr>
          <w:rFonts w:ascii="Arial" w:hAnsi="Arial" w:cs="Arial"/>
          <w:color w:val="7F7F7F" w:themeColor="text1" w:themeTint="80"/>
          <w:sz w:val="22"/>
          <w:szCs w:val="22"/>
          <w:lang w:val="en-GB"/>
        </w:rPr>
      </w:pPr>
    </w:p>
    <w:p w14:paraId="68A2AB57" w14:textId="77777777" w:rsidR="008D4079" w:rsidRPr="00EF325B" w:rsidRDefault="008D4079" w:rsidP="008D4079">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 xml:space="preserve">A court appointed liquidator can purse a claim against the former directors and the court may hold that the former directors are liable to the company for any losses such as damages which they cause the company in breach of their fiduciary duties. As made clear in the case of </w:t>
      </w:r>
      <w:r w:rsidRPr="00EF325B">
        <w:rPr>
          <w:rFonts w:ascii="Arial" w:hAnsi="Arial" w:cs="Arial"/>
          <w:i/>
          <w:iCs/>
          <w:color w:val="7F7F7F" w:themeColor="text1" w:themeTint="80"/>
          <w:sz w:val="22"/>
          <w:szCs w:val="22"/>
          <w:lang w:val="en-GB"/>
        </w:rPr>
        <w:t>Prospect Properties v McNeil</w:t>
      </w:r>
      <w:r w:rsidRPr="00EF325B">
        <w:rPr>
          <w:rFonts w:ascii="Arial" w:hAnsi="Arial" w:cs="Arial"/>
          <w:color w:val="7F7F7F" w:themeColor="text1" w:themeTint="80"/>
          <w:sz w:val="22"/>
          <w:szCs w:val="22"/>
          <w:lang w:val="en-GB"/>
        </w:rPr>
        <w:t xml:space="preserve">, where a company is insolvent, the directors’ duty to act in the best interests of the company requires them to have regard to the interest of its creditors. A breach of this duty can bring about liability on their part. </w:t>
      </w:r>
    </w:p>
    <w:p w14:paraId="1BAFA06E" w14:textId="319628A9" w:rsidR="008D4079" w:rsidRPr="00EF325B" w:rsidRDefault="008D4079" w:rsidP="008D4079">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 xml:space="preserve"> </w:t>
      </w:r>
    </w:p>
    <w:p w14:paraId="45B0850D" w14:textId="2455BF89" w:rsidR="008D4079" w:rsidRPr="00EF325B" w:rsidRDefault="008D4079" w:rsidP="008D4079">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A court appointed may bring claims against the former directors in relation to: (i) avoidance of property dispositions, (ii) voidable preferences; (iii) dispositions at an undervalue and/or (iv) fraudulent trading.</w:t>
      </w:r>
    </w:p>
    <w:p w14:paraId="03037353" w14:textId="77777777" w:rsidR="008D4079" w:rsidRPr="00EF325B" w:rsidRDefault="008D4079" w:rsidP="00B212F8">
      <w:pPr>
        <w:jc w:val="both"/>
        <w:rPr>
          <w:rFonts w:ascii="Arial" w:hAnsi="Arial" w:cs="Arial"/>
          <w:color w:val="7F7F7F" w:themeColor="text1" w:themeTint="80"/>
          <w:sz w:val="22"/>
          <w:szCs w:val="22"/>
          <w:lang w:val="en-GB"/>
        </w:rPr>
      </w:pPr>
    </w:p>
    <w:p w14:paraId="404EAA42" w14:textId="77777777" w:rsidR="008D4079" w:rsidRPr="00EF325B" w:rsidRDefault="008D4079" w:rsidP="00B212F8">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 xml:space="preserve">The claim for voidable preferences is grounded under section 145, and can be brought for voidable preference if there is disposal of property to a creditor within six months before the deemed commencement of liquidation at a time when the insolvent company was unable to pay its debts and the dominant intention of the company’s directors was to put that creditor in a better position than it otherwise would have been. </w:t>
      </w:r>
    </w:p>
    <w:p w14:paraId="3CC4D44D" w14:textId="77777777" w:rsidR="008D4079" w:rsidRPr="00EF325B" w:rsidRDefault="008D4079" w:rsidP="00B212F8">
      <w:pPr>
        <w:jc w:val="both"/>
        <w:rPr>
          <w:rFonts w:ascii="Arial" w:hAnsi="Arial" w:cs="Arial"/>
          <w:color w:val="7F7F7F" w:themeColor="text1" w:themeTint="80"/>
          <w:sz w:val="22"/>
          <w:szCs w:val="22"/>
          <w:lang w:val="en-GB"/>
        </w:rPr>
      </w:pPr>
    </w:p>
    <w:p w14:paraId="64A9C48A" w14:textId="362F6369" w:rsidR="008D4079" w:rsidRPr="00EF325B" w:rsidRDefault="008D4079" w:rsidP="008D4079">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 xml:space="preserve">Section 146 also provides for the voidance of dispositions made at an undervalue where a property / asset was disposed of by the company at an undervalue with the intention of wilfully defeating an obligation owed to a creditor. </w:t>
      </w:r>
    </w:p>
    <w:p w14:paraId="5B61DBF1" w14:textId="77777777" w:rsidR="008D4079" w:rsidRPr="00EF325B" w:rsidRDefault="008D4079" w:rsidP="008D4079">
      <w:pPr>
        <w:jc w:val="both"/>
        <w:rPr>
          <w:rFonts w:ascii="Arial" w:hAnsi="Arial" w:cs="Arial"/>
          <w:color w:val="7F7F7F" w:themeColor="text1" w:themeTint="80"/>
          <w:sz w:val="22"/>
          <w:szCs w:val="22"/>
          <w:lang w:val="en-GB"/>
        </w:rPr>
      </w:pPr>
    </w:p>
    <w:p w14:paraId="13E89B08" w14:textId="65346837" w:rsidR="008D4079" w:rsidRPr="00EF325B" w:rsidRDefault="008D4079" w:rsidP="008D4079">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 xml:space="preserve">Also section 147 </w:t>
      </w:r>
      <w:r w:rsidR="00EF325B" w:rsidRPr="00EF325B">
        <w:rPr>
          <w:rFonts w:ascii="Arial" w:hAnsi="Arial" w:cs="Arial"/>
          <w:color w:val="7F7F7F" w:themeColor="text1" w:themeTint="80"/>
          <w:sz w:val="22"/>
          <w:szCs w:val="22"/>
          <w:lang w:val="en-GB"/>
        </w:rPr>
        <w:t xml:space="preserve">provides gives a liquidator the option to apply </w:t>
      </w:r>
      <w:r w:rsidRPr="00EF325B">
        <w:rPr>
          <w:rFonts w:ascii="Arial" w:hAnsi="Arial" w:cs="Arial"/>
          <w:color w:val="7F7F7F" w:themeColor="text1" w:themeTint="80"/>
          <w:sz w:val="22"/>
          <w:szCs w:val="22"/>
          <w:lang w:val="en-GB"/>
        </w:rPr>
        <w:t xml:space="preserve">for an order requiring any person who were knowingly parties to such conduct to make such contribution to the company’s assets as the Court thinks proper.  </w:t>
      </w:r>
    </w:p>
    <w:p w14:paraId="14019D9E" w14:textId="77777777" w:rsidR="008D4079" w:rsidRPr="00EF325B" w:rsidRDefault="008D4079" w:rsidP="00B212F8">
      <w:pPr>
        <w:jc w:val="both"/>
        <w:rPr>
          <w:rFonts w:ascii="Arial" w:hAnsi="Arial" w:cs="Arial"/>
          <w:color w:val="7F7F7F" w:themeColor="text1" w:themeTint="80"/>
          <w:sz w:val="22"/>
          <w:szCs w:val="22"/>
          <w:lang w:val="en-GB"/>
        </w:rPr>
      </w:pPr>
    </w:p>
    <w:p w14:paraId="57C108CA" w14:textId="77777777" w:rsidR="00B212F8" w:rsidRPr="00EF325B" w:rsidRDefault="00B212F8" w:rsidP="00B212F8">
      <w:pPr>
        <w:jc w:val="both"/>
        <w:rPr>
          <w:rFonts w:ascii="Arial" w:hAnsi="Arial" w:cs="Arial"/>
          <w:color w:val="7F7F7F" w:themeColor="text1" w:themeTint="80"/>
          <w:sz w:val="22"/>
          <w:szCs w:val="22"/>
          <w:lang w:val="en-GB"/>
        </w:rPr>
      </w:pPr>
    </w:p>
    <w:p w14:paraId="237B239F" w14:textId="38F3AA85" w:rsidR="00B212F8" w:rsidRPr="00EF325B" w:rsidRDefault="00EF325B" w:rsidP="00B212F8">
      <w:pPr>
        <w:jc w:val="both"/>
        <w:rPr>
          <w:rFonts w:ascii="Arial" w:hAnsi="Arial" w:cs="Arial"/>
          <w:color w:val="7F7F7F" w:themeColor="text1" w:themeTint="80"/>
          <w:sz w:val="22"/>
          <w:szCs w:val="22"/>
          <w:lang w:val="en-GB"/>
        </w:rPr>
      </w:pPr>
      <w:r w:rsidRPr="00EF325B">
        <w:rPr>
          <w:rFonts w:ascii="Arial" w:hAnsi="Arial" w:cs="Arial"/>
          <w:color w:val="7F7F7F" w:themeColor="text1" w:themeTint="80"/>
          <w:sz w:val="22"/>
          <w:szCs w:val="22"/>
          <w:lang w:val="en-GB"/>
        </w:rPr>
        <w:t>Additionally, under se</w:t>
      </w:r>
      <w:r w:rsidR="00B212F8" w:rsidRPr="00EF325B">
        <w:rPr>
          <w:rFonts w:ascii="Arial" w:hAnsi="Arial" w:cs="Arial"/>
          <w:color w:val="7F7F7F" w:themeColor="text1" w:themeTint="80"/>
          <w:sz w:val="22"/>
          <w:szCs w:val="22"/>
          <w:lang w:val="en-GB"/>
        </w:rPr>
        <w:t xml:space="preserve">ction 99 of the Companies Act, any disposition of a company’s property after the commencement of the winding-up will be void in the event that a winding-up order is subsequently made unless validated by the Court. </w:t>
      </w:r>
      <w:r w:rsidRPr="00EF325B">
        <w:rPr>
          <w:rFonts w:ascii="Arial" w:hAnsi="Arial" w:cs="Arial"/>
          <w:color w:val="7F7F7F" w:themeColor="text1" w:themeTint="80"/>
          <w:sz w:val="22"/>
          <w:szCs w:val="22"/>
          <w:lang w:val="en-GB"/>
        </w:rPr>
        <w:t>A</w:t>
      </w:r>
      <w:r w:rsidR="00B212F8" w:rsidRPr="00EF325B">
        <w:rPr>
          <w:rFonts w:ascii="Arial" w:hAnsi="Arial" w:cs="Arial"/>
          <w:color w:val="7F7F7F" w:themeColor="text1" w:themeTint="80"/>
          <w:sz w:val="22"/>
          <w:szCs w:val="22"/>
          <w:lang w:val="en-GB"/>
        </w:rPr>
        <w:t xml:space="preserve"> liquidator </w:t>
      </w:r>
      <w:r w:rsidRPr="00EF325B">
        <w:rPr>
          <w:rFonts w:ascii="Arial" w:hAnsi="Arial" w:cs="Arial"/>
          <w:color w:val="7F7F7F" w:themeColor="text1" w:themeTint="80"/>
          <w:sz w:val="22"/>
          <w:szCs w:val="22"/>
          <w:lang w:val="en-GB"/>
        </w:rPr>
        <w:t xml:space="preserve">may therefore seek </w:t>
      </w:r>
      <w:r w:rsidR="00B212F8" w:rsidRPr="00EF325B">
        <w:rPr>
          <w:rFonts w:ascii="Arial" w:hAnsi="Arial" w:cs="Arial"/>
          <w:color w:val="7F7F7F" w:themeColor="text1" w:themeTint="80"/>
          <w:sz w:val="22"/>
          <w:szCs w:val="22"/>
          <w:lang w:val="en-GB"/>
        </w:rPr>
        <w:t>repayment of the funds or the return of the asset.</w:t>
      </w:r>
    </w:p>
    <w:p w14:paraId="4612565D" w14:textId="77777777" w:rsidR="00B212F8" w:rsidRPr="00EF325B" w:rsidRDefault="00B212F8" w:rsidP="00B212F8">
      <w:pPr>
        <w:jc w:val="both"/>
        <w:rPr>
          <w:rFonts w:ascii="Arial" w:hAnsi="Arial" w:cs="Arial"/>
          <w:color w:val="7F7F7F" w:themeColor="text1" w:themeTint="80"/>
          <w:sz w:val="22"/>
          <w:szCs w:val="22"/>
          <w:lang w:val="en-GB"/>
        </w:rPr>
      </w:pPr>
    </w:p>
    <w:p w14:paraId="17F75DF1" w14:textId="77777777" w:rsidR="00B212F8" w:rsidRPr="00EF325B" w:rsidRDefault="00B212F8" w:rsidP="00B212F8">
      <w:pPr>
        <w:jc w:val="both"/>
        <w:rPr>
          <w:rFonts w:ascii="Arial" w:hAnsi="Arial" w:cs="Arial"/>
          <w:color w:val="7F7F7F" w:themeColor="text1" w:themeTint="80"/>
          <w:sz w:val="22"/>
          <w:szCs w:val="22"/>
          <w:lang w:val="en-GB"/>
        </w:rPr>
      </w:pPr>
    </w:p>
    <w:p w14:paraId="4C4CFD09" w14:textId="67E5A86D" w:rsidR="00B212F8" w:rsidRPr="00EF325B" w:rsidRDefault="00B212F8" w:rsidP="00B212F8">
      <w:pPr>
        <w:jc w:val="both"/>
        <w:rPr>
          <w:rFonts w:ascii="Arial" w:hAnsi="Arial" w:cs="Arial"/>
          <w:color w:val="7F7F7F" w:themeColor="text1" w:themeTint="80"/>
          <w:sz w:val="22"/>
          <w:szCs w:val="22"/>
          <w:shd w:val="clear" w:color="auto" w:fill="FFFFFF"/>
        </w:rPr>
      </w:pPr>
    </w:p>
    <w:p w14:paraId="707B405A" w14:textId="77777777" w:rsidR="00EF325B" w:rsidRDefault="00EF325B" w:rsidP="00B212F8">
      <w:pPr>
        <w:jc w:val="both"/>
        <w:rPr>
          <w:rFonts w:ascii="Arial" w:hAnsi="Arial" w:cs="Arial"/>
          <w:sz w:val="22"/>
          <w:szCs w:val="22"/>
          <w:shd w:val="clear" w:color="auto" w:fill="FFFFFF"/>
        </w:rPr>
      </w:pPr>
    </w:p>
    <w:p w14:paraId="6F724901" w14:textId="469BD4CC" w:rsidR="00D17FDC" w:rsidRDefault="00D17FDC"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lastRenderedPageBreak/>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2E76A54A" w14:textId="4D5E8E2B" w:rsidR="00EF325B" w:rsidRPr="00845044" w:rsidRDefault="00EF325B" w:rsidP="00B212F8">
      <w:pPr>
        <w:jc w:val="both"/>
        <w:rPr>
          <w:rFonts w:ascii="Arial" w:hAnsi="Arial" w:cs="Arial"/>
          <w:color w:val="7F7F7F" w:themeColor="text1" w:themeTint="80"/>
          <w:sz w:val="22"/>
          <w:szCs w:val="22"/>
          <w:lang w:val="en-GB"/>
        </w:rPr>
      </w:pPr>
      <w:r w:rsidRPr="00845044">
        <w:rPr>
          <w:rFonts w:ascii="Arial" w:hAnsi="Arial" w:cs="Arial"/>
          <w:color w:val="7F7F7F" w:themeColor="text1" w:themeTint="80"/>
          <w:sz w:val="22"/>
          <w:szCs w:val="22"/>
          <w:lang w:val="en-GB"/>
        </w:rPr>
        <w:t>Receivers can be appointed in respect of Cayman company</w:t>
      </w:r>
      <w:r w:rsidR="00757EC7" w:rsidRPr="00845044">
        <w:rPr>
          <w:rFonts w:ascii="Arial" w:hAnsi="Arial" w:cs="Arial"/>
          <w:color w:val="7F7F7F" w:themeColor="text1" w:themeTint="80"/>
          <w:sz w:val="22"/>
          <w:szCs w:val="22"/>
          <w:lang w:val="en-GB"/>
        </w:rPr>
        <w:t>, albeit they are not explicitly mentioned in statutory provisions dealing with insolvency. Additionally, the court rules contemplate that receivers may be appointed for collecting money or carrying out some other act deemed necessary</w:t>
      </w:r>
      <w:r w:rsidRPr="00845044">
        <w:rPr>
          <w:rFonts w:ascii="Arial" w:hAnsi="Arial" w:cs="Arial"/>
          <w:color w:val="7F7F7F" w:themeColor="text1" w:themeTint="80"/>
          <w:sz w:val="22"/>
          <w:szCs w:val="22"/>
          <w:lang w:val="en-GB"/>
        </w:rPr>
        <w:t xml:space="preserve">. </w:t>
      </w:r>
    </w:p>
    <w:p w14:paraId="65A0D651" w14:textId="77777777" w:rsidR="00EF325B" w:rsidRPr="00845044" w:rsidRDefault="00EF325B" w:rsidP="00B212F8">
      <w:pPr>
        <w:jc w:val="both"/>
        <w:rPr>
          <w:rFonts w:ascii="Arial" w:hAnsi="Arial" w:cs="Arial"/>
          <w:color w:val="7F7F7F" w:themeColor="text1" w:themeTint="80"/>
          <w:sz w:val="22"/>
          <w:szCs w:val="22"/>
          <w:lang w:val="en-GB"/>
        </w:rPr>
      </w:pPr>
    </w:p>
    <w:p w14:paraId="27E00E34" w14:textId="77777777" w:rsidR="00845044" w:rsidRPr="00845044" w:rsidRDefault="00757EC7" w:rsidP="00B212F8">
      <w:pPr>
        <w:jc w:val="both"/>
        <w:rPr>
          <w:rFonts w:ascii="Arial" w:hAnsi="Arial" w:cs="Arial"/>
          <w:color w:val="7F7F7F" w:themeColor="text1" w:themeTint="80"/>
          <w:sz w:val="22"/>
          <w:szCs w:val="22"/>
          <w:lang w:val="en-GB"/>
        </w:rPr>
      </w:pPr>
      <w:r w:rsidRPr="00845044">
        <w:rPr>
          <w:rFonts w:ascii="Arial" w:hAnsi="Arial" w:cs="Arial"/>
          <w:color w:val="7F7F7F" w:themeColor="text1" w:themeTint="80"/>
          <w:sz w:val="22"/>
          <w:szCs w:val="22"/>
          <w:lang w:val="en-GB"/>
        </w:rPr>
        <w:t>Receivers</w:t>
      </w:r>
      <w:r w:rsidR="00EF325B" w:rsidRPr="00845044">
        <w:rPr>
          <w:rFonts w:ascii="Arial" w:hAnsi="Arial" w:cs="Arial"/>
          <w:color w:val="7F7F7F" w:themeColor="text1" w:themeTint="80"/>
          <w:sz w:val="22"/>
          <w:szCs w:val="22"/>
          <w:lang w:val="en-GB"/>
        </w:rPr>
        <w:t xml:space="preserve"> are useful both to secured and unsecured creditors. For example, a secured creditor may </w:t>
      </w:r>
      <w:r w:rsidRPr="00845044">
        <w:rPr>
          <w:rFonts w:ascii="Arial" w:hAnsi="Arial" w:cs="Arial"/>
          <w:color w:val="7F7F7F" w:themeColor="text1" w:themeTint="80"/>
          <w:sz w:val="22"/>
          <w:szCs w:val="22"/>
          <w:lang w:val="en-GB"/>
        </w:rPr>
        <w:t>appoint a receiver</w:t>
      </w:r>
      <w:r w:rsidR="00EF325B" w:rsidRPr="00845044">
        <w:rPr>
          <w:rFonts w:ascii="Arial" w:hAnsi="Arial" w:cs="Arial"/>
          <w:color w:val="7F7F7F" w:themeColor="text1" w:themeTint="80"/>
          <w:sz w:val="22"/>
          <w:szCs w:val="22"/>
          <w:lang w:val="en-GB"/>
        </w:rPr>
        <w:t xml:space="preserve"> for the purposes of collecting money or to carry out some other act such as the execution of a contract or a document of title. </w:t>
      </w:r>
      <w:r w:rsidRPr="00845044">
        <w:rPr>
          <w:rFonts w:ascii="Arial" w:hAnsi="Arial" w:cs="Arial"/>
          <w:color w:val="7F7F7F" w:themeColor="text1" w:themeTint="80"/>
          <w:sz w:val="22"/>
          <w:szCs w:val="22"/>
          <w:lang w:val="en-GB"/>
        </w:rPr>
        <w:t>The secured creditor may therefore use this as an alternative to going before the court, and the receiver will owe a duty to the creditor rather than the company.</w:t>
      </w:r>
    </w:p>
    <w:p w14:paraId="70646A4E" w14:textId="77777777" w:rsidR="00845044" w:rsidRPr="00845044" w:rsidRDefault="00845044" w:rsidP="00B212F8">
      <w:pPr>
        <w:jc w:val="both"/>
        <w:rPr>
          <w:rFonts w:ascii="Arial" w:hAnsi="Arial" w:cs="Arial"/>
          <w:color w:val="7F7F7F" w:themeColor="text1" w:themeTint="80"/>
          <w:sz w:val="22"/>
          <w:szCs w:val="22"/>
          <w:lang w:val="en-GB"/>
        </w:rPr>
      </w:pPr>
    </w:p>
    <w:p w14:paraId="5E199CA4" w14:textId="532B0D99" w:rsidR="00845044" w:rsidRPr="00845044" w:rsidRDefault="00845044" w:rsidP="00845044">
      <w:pPr>
        <w:jc w:val="both"/>
        <w:rPr>
          <w:rFonts w:ascii="Arial" w:hAnsi="Arial" w:cs="Arial"/>
          <w:color w:val="7F7F7F" w:themeColor="text1" w:themeTint="80"/>
          <w:sz w:val="22"/>
          <w:szCs w:val="22"/>
          <w:lang w:val="en-GB"/>
        </w:rPr>
      </w:pPr>
      <w:r w:rsidRPr="00845044">
        <w:rPr>
          <w:rFonts w:ascii="Arial" w:hAnsi="Arial" w:cs="Arial"/>
          <w:color w:val="7F7F7F" w:themeColor="text1" w:themeTint="80"/>
          <w:sz w:val="22"/>
          <w:szCs w:val="22"/>
          <w:lang w:val="en-GB"/>
        </w:rPr>
        <w:t xml:space="preserve">The receiver appointed by the secured creditor will have powers under the security instrument and these powers will usually include a power of sale, whereby the receiver will be able to realise the value of the security and repay the creditor the amount of its unpaid debt. The receiver will therefore provide a route for the secured creditor to recover the debt. </w:t>
      </w:r>
    </w:p>
    <w:p w14:paraId="5E3C2F2D" w14:textId="2FEE9F5C" w:rsidR="00EF325B" w:rsidRPr="00845044" w:rsidRDefault="00757EC7" w:rsidP="00B212F8">
      <w:pPr>
        <w:jc w:val="both"/>
        <w:rPr>
          <w:rFonts w:ascii="Arial" w:hAnsi="Arial" w:cs="Arial"/>
          <w:color w:val="7F7F7F" w:themeColor="text1" w:themeTint="80"/>
          <w:sz w:val="22"/>
          <w:szCs w:val="22"/>
          <w:lang w:val="en-GB"/>
        </w:rPr>
      </w:pPr>
      <w:r w:rsidRPr="00845044">
        <w:rPr>
          <w:rFonts w:ascii="Arial" w:hAnsi="Arial" w:cs="Arial"/>
          <w:color w:val="7F7F7F" w:themeColor="text1" w:themeTint="80"/>
          <w:sz w:val="22"/>
          <w:szCs w:val="22"/>
          <w:lang w:val="en-GB"/>
        </w:rPr>
        <w:t xml:space="preserve"> </w:t>
      </w:r>
    </w:p>
    <w:p w14:paraId="343AA872" w14:textId="77777777" w:rsidR="00EF325B" w:rsidRPr="00845044" w:rsidRDefault="00EF325B" w:rsidP="00B212F8">
      <w:pPr>
        <w:jc w:val="both"/>
        <w:rPr>
          <w:rFonts w:ascii="Arial" w:hAnsi="Arial" w:cs="Arial"/>
          <w:color w:val="7F7F7F" w:themeColor="text1" w:themeTint="80"/>
          <w:sz w:val="22"/>
          <w:szCs w:val="22"/>
          <w:lang w:val="en-GB"/>
        </w:rPr>
      </w:pPr>
    </w:p>
    <w:p w14:paraId="0B81EEE8" w14:textId="0FF8F8DC" w:rsidR="00B212F8" w:rsidRPr="00845044" w:rsidRDefault="00EF325B" w:rsidP="00B212F8">
      <w:pPr>
        <w:jc w:val="both"/>
        <w:rPr>
          <w:rFonts w:ascii="Arial" w:hAnsi="Arial" w:cs="Arial"/>
          <w:color w:val="7F7F7F" w:themeColor="text1" w:themeTint="80"/>
          <w:sz w:val="22"/>
          <w:szCs w:val="22"/>
          <w:lang w:val="en-GB"/>
        </w:rPr>
      </w:pPr>
      <w:r w:rsidRPr="00845044">
        <w:rPr>
          <w:rFonts w:ascii="Arial" w:hAnsi="Arial" w:cs="Arial"/>
          <w:color w:val="7F7F7F" w:themeColor="text1" w:themeTint="80"/>
          <w:sz w:val="22"/>
          <w:szCs w:val="22"/>
          <w:lang w:val="en-GB"/>
        </w:rPr>
        <w:t xml:space="preserve">Receivers and receiverships order are also provided for by statute in relation to a SP company and are generally made by the court if it is satisfied that the SP’s assets attributed to a particular portfolio of the company are likely to be insufficient to discharge the claims of creditors. When the court is so satisfied, it will appoint a receiver to manage the company’s </w:t>
      </w:r>
      <w:r w:rsidR="00845044" w:rsidRPr="00845044">
        <w:rPr>
          <w:rFonts w:ascii="Arial" w:hAnsi="Arial" w:cs="Arial"/>
          <w:color w:val="7F7F7F" w:themeColor="text1" w:themeTint="80"/>
          <w:sz w:val="22"/>
          <w:szCs w:val="22"/>
          <w:lang w:val="en-GB"/>
        </w:rPr>
        <w:t xml:space="preserve">portfolio </w:t>
      </w:r>
      <w:r w:rsidR="00B212F8" w:rsidRPr="00845044">
        <w:rPr>
          <w:rFonts w:ascii="Arial" w:hAnsi="Arial" w:cs="Arial"/>
          <w:color w:val="7F7F7F" w:themeColor="text1" w:themeTint="80"/>
          <w:sz w:val="22"/>
          <w:szCs w:val="22"/>
          <w:lang w:val="en-GB"/>
        </w:rPr>
        <w:t xml:space="preserve">for the purposes of (i) the orderly closing down of the business of, or attributable to, the segregated portfolio and (ii) the distribution of the segregated portfolio assets attributable to the segregated portfolio to those entitled to have recourse to them. </w:t>
      </w:r>
      <w:r w:rsidR="00845044" w:rsidRPr="00845044">
        <w:rPr>
          <w:rFonts w:ascii="Arial" w:hAnsi="Arial" w:cs="Arial"/>
          <w:color w:val="7F7F7F" w:themeColor="text1" w:themeTint="80"/>
          <w:sz w:val="22"/>
          <w:szCs w:val="22"/>
          <w:lang w:val="en-GB"/>
        </w:rPr>
        <w:t>When the court grants</w:t>
      </w:r>
      <w:r w:rsidR="00B212F8" w:rsidRPr="00845044">
        <w:rPr>
          <w:rFonts w:ascii="Arial" w:hAnsi="Arial" w:cs="Arial"/>
          <w:color w:val="7F7F7F" w:themeColor="text1" w:themeTint="80"/>
          <w:sz w:val="22"/>
          <w:szCs w:val="22"/>
          <w:lang w:val="en-GB"/>
        </w:rPr>
        <w:t xml:space="preserve"> </w:t>
      </w:r>
      <w:r w:rsidR="00845044" w:rsidRPr="00845044">
        <w:rPr>
          <w:rFonts w:ascii="Arial" w:hAnsi="Arial" w:cs="Arial"/>
          <w:color w:val="7F7F7F" w:themeColor="text1" w:themeTint="80"/>
          <w:sz w:val="22"/>
          <w:szCs w:val="22"/>
          <w:lang w:val="en-GB"/>
        </w:rPr>
        <w:t xml:space="preserve">a receivership </w:t>
      </w:r>
      <w:r w:rsidR="00B212F8" w:rsidRPr="00845044">
        <w:rPr>
          <w:rFonts w:ascii="Arial" w:hAnsi="Arial" w:cs="Arial"/>
          <w:color w:val="7F7F7F" w:themeColor="text1" w:themeTint="80"/>
          <w:sz w:val="22"/>
          <w:szCs w:val="22"/>
          <w:lang w:val="en-GB"/>
        </w:rPr>
        <w:t xml:space="preserve">order, no claims may be commenced against the </w:t>
      </w:r>
      <w:r w:rsidR="00845044" w:rsidRPr="00845044">
        <w:rPr>
          <w:rFonts w:ascii="Arial" w:hAnsi="Arial" w:cs="Arial"/>
          <w:color w:val="7F7F7F" w:themeColor="text1" w:themeTint="80"/>
          <w:sz w:val="22"/>
          <w:szCs w:val="22"/>
          <w:lang w:val="en-GB"/>
        </w:rPr>
        <w:t>SP</w:t>
      </w:r>
      <w:r w:rsidR="00B212F8" w:rsidRPr="00845044">
        <w:rPr>
          <w:rFonts w:ascii="Arial" w:hAnsi="Arial" w:cs="Arial"/>
          <w:color w:val="7F7F7F" w:themeColor="text1" w:themeTint="80"/>
          <w:sz w:val="22"/>
          <w:szCs w:val="22"/>
          <w:lang w:val="en-GB"/>
        </w:rPr>
        <w:t xml:space="preserve"> in relation to the segregated portfolio in respect of which the receivership order was made without leave of the court. </w:t>
      </w:r>
    </w:p>
    <w:p w14:paraId="12B6F3E7" w14:textId="77777777" w:rsidR="00B212F8" w:rsidRPr="00845044" w:rsidRDefault="00B212F8" w:rsidP="00B212F8">
      <w:pPr>
        <w:jc w:val="both"/>
        <w:rPr>
          <w:rFonts w:ascii="Arial" w:hAnsi="Arial" w:cs="Arial"/>
          <w:color w:val="7F7F7F" w:themeColor="text1" w:themeTint="80"/>
          <w:sz w:val="22"/>
          <w:szCs w:val="22"/>
          <w:lang w:val="en-GB"/>
        </w:rPr>
      </w:pPr>
    </w:p>
    <w:p w14:paraId="6DD9BB66" w14:textId="4D3E04C1" w:rsidR="00FA18CF" w:rsidRPr="00845044" w:rsidRDefault="00845044" w:rsidP="002A37BB">
      <w:pPr>
        <w:jc w:val="both"/>
        <w:rPr>
          <w:rFonts w:ascii="Arial" w:hAnsi="Arial" w:cs="Arial"/>
          <w:color w:val="7F7F7F" w:themeColor="text1" w:themeTint="80"/>
          <w:sz w:val="22"/>
          <w:szCs w:val="22"/>
          <w:shd w:val="clear" w:color="auto" w:fill="FFFFFF"/>
          <w:lang w:val="en-GB"/>
        </w:rPr>
      </w:pPr>
      <w:r w:rsidRPr="00845044">
        <w:rPr>
          <w:rFonts w:ascii="Arial" w:hAnsi="Arial" w:cs="Arial"/>
          <w:color w:val="7F7F7F" w:themeColor="text1" w:themeTint="80"/>
          <w:sz w:val="22"/>
          <w:szCs w:val="22"/>
          <w:shd w:val="clear" w:color="auto" w:fill="FFFFFF"/>
          <w:lang w:val="en-GB"/>
        </w:rPr>
        <w:t xml:space="preserve">Receivers therefore play an important role in the Cayman Islands. </w:t>
      </w:r>
    </w:p>
    <w:p w14:paraId="5F493FB8" w14:textId="77777777" w:rsidR="00845044" w:rsidRPr="00B212F8" w:rsidRDefault="00845044" w:rsidP="002A37BB">
      <w:pPr>
        <w:jc w:val="both"/>
        <w:rPr>
          <w:rFonts w:ascii="Arial" w:hAnsi="Arial" w:cs="Arial"/>
          <w:sz w:val="22"/>
          <w:szCs w:val="22"/>
          <w:shd w:val="clear" w:color="auto" w:fill="FFFFFF"/>
          <w:lang w:val="en-GB"/>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EDB0313"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 xml:space="preserve">electricity and water costs for its huge dry dock facility, ongoing engineering and </w:t>
      </w:r>
      <w:r w:rsidR="00EE425D">
        <w:rPr>
          <w:rFonts w:ascii="Arial" w:hAnsi="Arial" w:cs="Arial"/>
          <w:sz w:val="22"/>
          <w:szCs w:val="22"/>
          <w:lang w:val="en-GB"/>
        </w:rPr>
        <w:lastRenderedPageBreak/>
        <w:t>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154681F0" w14:textId="56233045" w:rsidR="009D20B1" w:rsidRDefault="009D20B1" w:rsidP="00087F21">
      <w:pPr>
        <w:jc w:val="both"/>
        <w:rPr>
          <w:rFonts w:ascii="Arial" w:hAnsi="Arial" w:cs="Arial"/>
          <w:color w:val="808080" w:themeColor="background1" w:themeShade="80"/>
          <w:sz w:val="22"/>
          <w:szCs w:val="22"/>
          <w:lang w:val="en-GB"/>
        </w:rPr>
      </w:pPr>
    </w:p>
    <w:p w14:paraId="1EFFA554" w14:textId="4E0786CF" w:rsidR="00B212F8" w:rsidRPr="00834FFB" w:rsidRDefault="00B212F8" w:rsidP="00087F21">
      <w:pPr>
        <w:jc w:val="both"/>
        <w:rPr>
          <w:rFonts w:ascii="Arial" w:hAnsi="Arial" w:cs="Arial"/>
          <w:color w:val="7F7F7F" w:themeColor="text1" w:themeTint="80"/>
          <w:sz w:val="22"/>
          <w:szCs w:val="22"/>
          <w:lang w:val="en-GB"/>
        </w:rPr>
      </w:pPr>
    </w:p>
    <w:p w14:paraId="07EE1D2D" w14:textId="77777777" w:rsidR="00B212F8" w:rsidRPr="00834FFB" w:rsidRDefault="00B212F8" w:rsidP="00B212F8">
      <w:pPr>
        <w:jc w:val="both"/>
        <w:rPr>
          <w:rFonts w:ascii="Arial" w:hAnsi="Arial" w:cs="Arial"/>
          <w:b/>
          <w:color w:val="7F7F7F" w:themeColor="text1" w:themeTint="80"/>
          <w:sz w:val="22"/>
          <w:szCs w:val="22"/>
          <w:u w:val="single"/>
          <w:lang w:val="en-GB"/>
        </w:rPr>
      </w:pPr>
      <w:r w:rsidRPr="00834FFB">
        <w:rPr>
          <w:rFonts w:ascii="Arial" w:hAnsi="Arial" w:cs="Arial"/>
          <w:b/>
          <w:color w:val="7F7F7F" w:themeColor="text1" w:themeTint="80"/>
          <w:sz w:val="22"/>
          <w:szCs w:val="22"/>
          <w:u w:val="single"/>
          <w:lang w:val="en-GB"/>
        </w:rPr>
        <w:t>What action can Sparrow take to protect its interests?</w:t>
      </w:r>
    </w:p>
    <w:p w14:paraId="54E20503" w14:textId="77777777" w:rsidR="00B212F8" w:rsidRPr="00834FFB" w:rsidRDefault="00B212F8" w:rsidP="00B212F8">
      <w:pPr>
        <w:jc w:val="both"/>
        <w:rPr>
          <w:rFonts w:ascii="Arial" w:hAnsi="Arial" w:cs="Arial"/>
          <w:color w:val="7F7F7F" w:themeColor="text1" w:themeTint="80"/>
          <w:sz w:val="22"/>
          <w:szCs w:val="22"/>
          <w:lang w:val="en-GB"/>
        </w:rPr>
      </w:pPr>
    </w:p>
    <w:p w14:paraId="7DE730BB" w14:textId="0AF0BE7F" w:rsidR="00B212F8" w:rsidRPr="00834FFB" w:rsidRDefault="00B212F8" w:rsidP="00B212F8">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Sparrow</w:t>
      </w:r>
      <w:r w:rsidR="00402FDA" w:rsidRPr="00834FFB">
        <w:rPr>
          <w:rFonts w:ascii="Arial" w:hAnsi="Arial" w:cs="Arial"/>
          <w:color w:val="7F7F7F" w:themeColor="text1" w:themeTint="80"/>
          <w:sz w:val="22"/>
          <w:szCs w:val="22"/>
          <w:lang w:val="en-GB"/>
        </w:rPr>
        <w:t xml:space="preserve">, </w:t>
      </w:r>
      <w:r w:rsidRPr="00834FFB">
        <w:rPr>
          <w:rFonts w:ascii="Arial" w:hAnsi="Arial" w:cs="Arial"/>
          <w:color w:val="7F7F7F" w:themeColor="text1" w:themeTint="80"/>
          <w:sz w:val="22"/>
          <w:szCs w:val="22"/>
          <w:lang w:val="en-GB"/>
        </w:rPr>
        <w:t>a</w:t>
      </w:r>
      <w:r w:rsidR="00402FDA" w:rsidRPr="00834FFB">
        <w:rPr>
          <w:rFonts w:ascii="Arial" w:hAnsi="Arial" w:cs="Arial"/>
          <w:color w:val="7F7F7F" w:themeColor="text1" w:themeTint="80"/>
          <w:sz w:val="22"/>
          <w:szCs w:val="22"/>
          <w:lang w:val="en-GB"/>
        </w:rPr>
        <w:t>s a</w:t>
      </w:r>
      <w:r w:rsidRPr="00834FFB">
        <w:rPr>
          <w:rFonts w:ascii="Arial" w:hAnsi="Arial" w:cs="Arial"/>
          <w:color w:val="7F7F7F" w:themeColor="text1" w:themeTint="80"/>
          <w:sz w:val="22"/>
          <w:szCs w:val="22"/>
          <w:lang w:val="en-GB"/>
        </w:rPr>
        <w:t xml:space="preserve"> secured creditor for $80 m</w:t>
      </w:r>
      <w:r w:rsidR="00402FDA" w:rsidRPr="00834FFB">
        <w:rPr>
          <w:rFonts w:ascii="Arial" w:hAnsi="Arial" w:cs="Arial"/>
          <w:color w:val="7F7F7F" w:themeColor="text1" w:themeTint="80"/>
          <w:sz w:val="22"/>
          <w:szCs w:val="22"/>
          <w:lang w:val="en-GB"/>
        </w:rPr>
        <w:t xml:space="preserve">illion of the $200 million debt, </w:t>
      </w:r>
      <w:r w:rsidRPr="00834FFB">
        <w:rPr>
          <w:rFonts w:ascii="Arial" w:hAnsi="Arial" w:cs="Arial"/>
          <w:color w:val="7F7F7F" w:themeColor="text1" w:themeTint="80"/>
          <w:sz w:val="22"/>
          <w:szCs w:val="22"/>
          <w:lang w:val="en-GB"/>
        </w:rPr>
        <w:t>may appoint a receiver over the secured assets which are 4 of S &amp; C’s party boats</w:t>
      </w:r>
      <w:r w:rsidR="00402FDA" w:rsidRPr="00834FFB">
        <w:rPr>
          <w:rFonts w:ascii="Arial" w:hAnsi="Arial" w:cs="Arial"/>
          <w:color w:val="7F7F7F" w:themeColor="text1" w:themeTint="80"/>
          <w:sz w:val="22"/>
          <w:szCs w:val="22"/>
          <w:lang w:val="en-GB"/>
        </w:rPr>
        <w:t>, up to the value of the security.</w:t>
      </w:r>
      <w:r w:rsidRPr="00834FFB">
        <w:rPr>
          <w:rFonts w:ascii="Arial" w:hAnsi="Arial" w:cs="Arial"/>
          <w:color w:val="7F7F7F" w:themeColor="text1" w:themeTint="80"/>
          <w:sz w:val="22"/>
          <w:szCs w:val="22"/>
          <w:lang w:val="en-GB"/>
        </w:rPr>
        <w:t xml:space="preserve"> Th</w:t>
      </w:r>
      <w:r w:rsidR="00402FDA" w:rsidRPr="00834FFB">
        <w:rPr>
          <w:rFonts w:ascii="Arial" w:hAnsi="Arial" w:cs="Arial"/>
          <w:color w:val="7F7F7F" w:themeColor="text1" w:themeTint="80"/>
          <w:sz w:val="22"/>
          <w:szCs w:val="22"/>
          <w:lang w:val="en-GB"/>
        </w:rPr>
        <w:t>is is provided that the mortgage / security agreement is in standard terms whereby it provided Sparrow with the right to appoint a receiver upon default.</w:t>
      </w:r>
      <w:r w:rsidR="00C224C2" w:rsidRPr="00834FFB">
        <w:rPr>
          <w:rFonts w:ascii="Arial" w:hAnsi="Arial" w:cs="Arial"/>
          <w:color w:val="7F7F7F" w:themeColor="text1" w:themeTint="80"/>
          <w:sz w:val="22"/>
          <w:szCs w:val="22"/>
          <w:lang w:val="en-GB"/>
        </w:rPr>
        <w:t xml:space="preserve"> Through the receiver, Sparrow would be able to deal with the 4 boats which are subject to the mortgage, outside of any insolvency proceedings. Sparrow could also </w:t>
      </w:r>
      <w:r w:rsidRPr="00834FFB">
        <w:rPr>
          <w:rFonts w:ascii="Arial" w:hAnsi="Arial" w:cs="Arial"/>
          <w:color w:val="7F7F7F" w:themeColor="text1" w:themeTint="80"/>
          <w:sz w:val="22"/>
          <w:szCs w:val="22"/>
          <w:lang w:val="en-GB"/>
        </w:rPr>
        <w:t xml:space="preserve">sell the 4 party boats </w:t>
      </w:r>
      <w:r w:rsidR="00C224C2" w:rsidRPr="00834FFB">
        <w:rPr>
          <w:rFonts w:ascii="Arial" w:hAnsi="Arial" w:cs="Arial"/>
          <w:color w:val="7F7F7F" w:themeColor="text1" w:themeTint="80"/>
          <w:sz w:val="22"/>
          <w:szCs w:val="22"/>
          <w:lang w:val="en-GB"/>
        </w:rPr>
        <w:t>through the receiver who would</w:t>
      </w:r>
      <w:r w:rsidRPr="00834FFB">
        <w:rPr>
          <w:rFonts w:ascii="Arial" w:hAnsi="Arial" w:cs="Arial"/>
          <w:color w:val="7F7F7F" w:themeColor="text1" w:themeTint="80"/>
          <w:sz w:val="22"/>
          <w:szCs w:val="22"/>
          <w:lang w:val="en-GB"/>
        </w:rPr>
        <w:t xml:space="preserve"> pay over the proceeds to Sparrow.</w:t>
      </w:r>
    </w:p>
    <w:p w14:paraId="294584AC" w14:textId="77777777" w:rsidR="00B212F8" w:rsidRPr="00834FFB" w:rsidRDefault="00B212F8" w:rsidP="00B212F8">
      <w:pPr>
        <w:jc w:val="both"/>
        <w:rPr>
          <w:rFonts w:ascii="Arial" w:hAnsi="Arial" w:cs="Arial"/>
          <w:color w:val="7F7F7F" w:themeColor="text1" w:themeTint="80"/>
          <w:sz w:val="22"/>
          <w:szCs w:val="22"/>
          <w:lang w:val="en-GB"/>
        </w:rPr>
      </w:pPr>
    </w:p>
    <w:p w14:paraId="6A124403" w14:textId="3D75886A" w:rsidR="00B212F8" w:rsidRPr="00834FFB" w:rsidRDefault="00B212F8" w:rsidP="00B212F8">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Sparrow may also consider bringing a winding up petition to seek to recover the excess outstanding</w:t>
      </w:r>
      <w:r w:rsidR="00C224C2" w:rsidRPr="00834FFB">
        <w:rPr>
          <w:rFonts w:ascii="Arial" w:hAnsi="Arial" w:cs="Arial"/>
          <w:color w:val="7F7F7F" w:themeColor="text1" w:themeTint="80"/>
          <w:sz w:val="22"/>
          <w:szCs w:val="22"/>
          <w:lang w:val="en-GB"/>
        </w:rPr>
        <w:t xml:space="preserve"> loan amount, as an unsecured creditor. This is because the mortgage only applied to $80 million of the $200 million loan.  </w:t>
      </w:r>
    </w:p>
    <w:p w14:paraId="59C81383" w14:textId="77777777" w:rsidR="00B212F8" w:rsidRPr="00834FFB" w:rsidRDefault="00B212F8" w:rsidP="00B212F8">
      <w:pPr>
        <w:jc w:val="both"/>
        <w:rPr>
          <w:rFonts w:ascii="Arial" w:hAnsi="Arial" w:cs="Arial"/>
          <w:color w:val="7F7F7F" w:themeColor="text1" w:themeTint="80"/>
          <w:sz w:val="22"/>
          <w:szCs w:val="22"/>
          <w:lang w:val="en-GB"/>
        </w:rPr>
      </w:pPr>
    </w:p>
    <w:p w14:paraId="6BA15C0F" w14:textId="77777777" w:rsidR="00B212F8" w:rsidRPr="00834FFB" w:rsidRDefault="00B212F8" w:rsidP="00C224C2">
      <w:pPr>
        <w:jc w:val="both"/>
        <w:rPr>
          <w:rFonts w:ascii="Arial" w:hAnsi="Arial" w:cs="Arial"/>
          <w:b/>
          <w:color w:val="7F7F7F" w:themeColor="text1" w:themeTint="80"/>
          <w:sz w:val="22"/>
          <w:szCs w:val="22"/>
          <w:u w:val="single"/>
          <w:lang w:val="en-GB"/>
        </w:rPr>
      </w:pPr>
      <w:r w:rsidRPr="00834FFB">
        <w:rPr>
          <w:rFonts w:ascii="Arial" w:hAnsi="Arial" w:cs="Arial"/>
          <w:b/>
          <w:color w:val="7F7F7F" w:themeColor="text1" w:themeTint="80"/>
          <w:sz w:val="22"/>
          <w:szCs w:val="22"/>
          <w:u w:val="single"/>
          <w:lang w:val="en-GB"/>
        </w:rPr>
        <w:t>What action can Roger Jolly take to protect its interests?</w:t>
      </w:r>
    </w:p>
    <w:p w14:paraId="285592A1" w14:textId="77777777" w:rsidR="00B212F8" w:rsidRPr="00834FFB" w:rsidRDefault="00B212F8" w:rsidP="00B212F8">
      <w:pPr>
        <w:jc w:val="both"/>
        <w:rPr>
          <w:rFonts w:ascii="Arial" w:hAnsi="Arial" w:cs="Arial"/>
          <w:color w:val="7F7F7F" w:themeColor="text1" w:themeTint="80"/>
          <w:sz w:val="22"/>
          <w:szCs w:val="22"/>
          <w:lang w:val="en-GB"/>
        </w:rPr>
      </w:pPr>
    </w:p>
    <w:p w14:paraId="4C22826F" w14:textId="77777777" w:rsidR="0037416B" w:rsidRPr="00834FFB" w:rsidRDefault="00B212F8" w:rsidP="00C224C2">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Roger Jolly may </w:t>
      </w:r>
      <w:r w:rsidR="00C224C2" w:rsidRPr="00834FFB">
        <w:rPr>
          <w:rFonts w:ascii="Arial" w:hAnsi="Arial" w:cs="Arial"/>
          <w:color w:val="7F7F7F" w:themeColor="text1" w:themeTint="80"/>
          <w:sz w:val="22"/>
          <w:szCs w:val="22"/>
          <w:lang w:val="en-GB"/>
        </w:rPr>
        <w:t>apply</w:t>
      </w:r>
      <w:r w:rsidRPr="00834FFB">
        <w:rPr>
          <w:rFonts w:ascii="Arial" w:hAnsi="Arial" w:cs="Arial"/>
          <w:color w:val="7F7F7F" w:themeColor="text1" w:themeTint="80"/>
          <w:sz w:val="22"/>
          <w:szCs w:val="22"/>
          <w:lang w:val="en-GB"/>
        </w:rPr>
        <w:t xml:space="preserve"> to recognise the ICC award in the Cayman Islands </w:t>
      </w:r>
      <w:r w:rsidR="00C224C2" w:rsidRPr="00834FFB">
        <w:rPr>
          <w:rFonts w:ascii="Arial" w:hAnsi="Arial" w:cs="Arial"/>
          <w:color w:val="7F7F7F" w:themeColor="text1" w:themeTint="80"/>
          <w:sz w:val="22"/>
          <w:szCs w:val="22"/>
          <w:lang w:val="en-GB"/>
        </w:rPr>
        <w:t xml:space="preserve">by bringing a common law claim for recovery of the USD 50 million dollar debt. </w:t>
      </w:r>
      <w:r w:rsidRPr="00834FFB">
        <w:rPr>
          <w:rFonts w:ascii="Arial" w:hAnsi="Arial" w:cs="Arial"/>
          <w:color w:val="7F7F7F" w:themeColor="text1" w:themeTint="80"/>
          <w:sz w:val="22"/>
          <w:szCs w:val="22"/>
          <w:lang w:val="en-GB"/>
        </w:rPr>
        <w:t xml:space="preserve"> </w:t>
      </w:r>
      <w:r w:rsidR="00C224C2" w:rsidRPr="00834FFB">
        <w:rPr>
          <w:rFonts w:ascii="Arial" w:hAnsi="Arial" w:cs="Arial"/>
          <w:color w:val="7F7F7F" w:themeColor="text1" w:themeTint="80"/>
          <w:sz w:val="22"/>
          <w:szCs w:val="22"/>
          <w:lang w:val="en-GB"/>
        </w:rPr>
        <w:t xml:space="preserve">The ICC award would be capable of being recognised provided it final, the arbitral panel had jurisdiction over the debtor, the award was not obtained by fraud, was not contrary to public policy of the Cayman Islands, and was not obtained contrary to the rules of natural justice. </w:t>
      </w:r>
    </w:p>
    <w:p w14:paraId="5937FA89" w14:textId="77777777" w:rsidR="0037416B" w:rsidRPr="00834FFB" w:rsidRDefault="0037416B" w:rsidP="00C224C2">
      <w:pPr>
        <w:jc w:val="both"/>
        <w:rPr>
          <w:rFonts w:ascii="Arial" w:hAnsi="Arial" w:cs="Arial"/>
          <w:color w:val="7F7F7F" w:themeColor="text1" w:themeTint="80"/>
          <w:sz w:val="22"/>
          <w:szCs w:val="22"/>
          <w:lang w:val="en-GB"/>
        </w:rPr>
      </w:pPr>
    </w:p>
    <w:p w14:paraId="2DCA94E5" w14:textId="4DCEFB2A" w:rsidR="00C224C2" w:rsidRPr="00834FFB" w:rsidRDefault="00C224C2" w:rsidP="00C224C2">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Once the award is recognised in the Cayman Islands, Roger Jolly may utilise the full range of domestic enforcement remedies available </w:t>
      </w:r>
      <w:r w:rsidR="0037416B" w:rsidRPr="00834FFB">
        <w:rPr>
          <w:rFonts w:ascii="Arial" w:hAnsi="Arial" w:cs="Arial"/>
          <w:color w:val="7F7F7F" w:themeColor="text1" w:themeTint="80"/>
          <w:sz w:val="22"/>
          <w:szCs w:val="22"/>
          <w:lang w:val="en-GB"/>
        </w:rPr>
        <w:t xml:space="preserve">for enforcing any ordinary judgment issued by </w:t>
      </w:r>
      <w:r w:rsidRPr="00834FFB">
        <w:rPr>
          <w:rFonts w:ascii="Arial" w:hAnsi="Arial" w:cs="Arial"/>
          <w:color w:val="7F7F7F" w:themeColor="text1" w:themeTint="80"/>
          <w:sz w:val="22"/>
          <w:szCs w:val="22"/>
          <w:lang w:val="en-GB"/>
        </w:rPr>
        <w:t>the Grand Court Rules.</w:t>
      </w:r>
      <w:r w:rsidR="0037416B" w:rsidRPr="00834FFB">
        <w:rPr>
          <w:rFonts w:ascii="Arial" w:hAnsi="Arial" w:cs="Arial"/>
          <w:color w:val="7F7F7F" w:themeColor="text1" w:themeTint="80"/>
          <w:sz w:val="22"/>
          <w:szCs w:val="22"/>
          <w:lang w:val="en-GB"/>
        </w:rPr>
        <w:t xml:space="preserve"> </w:t>
      </w:r>
    </w:p>
    <w:p w14:paraId="12BC5FFA" w14:textId="77777777" w:rsidR="00C224C2" w:rsidRPr="00834FFB" w:rsidRDefault="00C224C2" w:rsidP="00C224C2">
      <w:pPr>
        <w:jc w:val="both"/>
        <w:rPr>
          <w:rFonts w:ascii="Arial" w:hAnsi="Arial" w:cs="Arial"/>
          <w:color w:val="7F7F7F" w:themeColor="text1" w:themeTint="80"/>
          <w:sz w:val="22"/>
          <w:szCs w:val="22"/>
          <w:lang w:val="en-GB"/>
        </w:rPr>
      </w:pPr>
    </w:p>
    <w:p w14:paraId="32FC6935" w14:textId="77777777" w:rsidR="0037416B" w:rsidRPr="00834FFB" w:rsidRDefault="0037416B" w:rsidP="00C224C2">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However, it must be remembered that S&amp;C is insolvent and so that may affect any recovery Roger Jolly may realise. </w:t>
      </w:r>
    </w:p>
    <w:p w14:paraId="3BC35AB1" w14:textId="77777777" w:rsidR="0037416B" w:rsidRPr="00834FFB" w:rsidRDefault="0037416B" w:rsidP="00C224C2">
      <w:pPr>
        <w:jc w:val="both"/>
        <w:rPr>
          <w:rFonts w:ascii="Arial" w:hAnsi="Arial" w:cs="Arial"/>
          <w:color w:val="7F7F7F" w:themeColor="text1" w:themeTint="80"/>
          <w:sz w:val="22"/>
          <w:szCs w:val="22"/>
          <w:lang w:val="en-GB"/>
        </w:rPr>
      </w:pPr>
    </w:p>
    <w:p w14:paraId="75E6E29B" w14:textId="43D74303" w:rsidR="00B212F8" w:rsidRPr="00834FFB" w:rsidRDefault="0037416B" w:rsidP="00C224C2">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Joger Jolly should therefore also consider bringing an </w:t>
      </w:r>
      <w:r w:rsidR="00B212F8" w:rsidRPr="00834FFB">
        <w:rPr>
          <w:rFonts w:ascii="Arial" w:hAnsi="Arial" w:cs="Arial"/>
          <w:color w:val="7F7F7F" w:themeColor="text1" w:themeTint="80"/>
          <w:sz w:val="22"/>
          <w:szCs w:val="22"/>
          <w:lang w:val="en-GB"/>
        </w:rPr>
        <w:t>application to wind up S &amp; C on the basis that the company is unable to pay its debts within the meaning of section 93 of the Companies Act.</w:t>
      </w:r>
      <w:r w:rsidRPr="00834FFB">
        <w:rPr>
          <w:rFonts w:ascii="Arial" w:hAnsi="Arial" w:cs="Arial"/>
          <w:color w:val="7F7F7F" w:themeColor="text1" w:themeTint="80"/>
          <w:sz w:val="22"/>
          <w:szCs w:val="22"/>
          <w:lang w:val="en-GB"/>
        </w:rPr>
        <w:t xml:space="preserve"> In order to prove that the company is unable to pay its debt (and thus insolvent) Jolly may serve on the company a demand requiring payment of the 50m within 3 weeks. </w:t>
      </w:r>
    </w:p>
    <w:p w14:paraId="35905663" w14:textId="77777777" w:rsidR="00B212F8" w:rsidRPr="00834FFB" w:rsidRDefault="00B212F8" w:rsidP="00B212F8">
      <w:pPr>
        <w:jc w:val="both"/>
        <w:rPr>
          <w:rFonts w:ascii="Arial" w:hAnsi="Arial" w:cs="Arial"/>
          <w:color w:val="7F7F7F" w:themeColor="text1" w:themeTint="80"/>
          <w:sz w:val="22"/>
          <w:szCs w:val="22"/>
          <w:lang w:val="en-GB"/>
        </w:rPr>
      </w:pPr>
    </w:p>
    <w:p w14:paraId="7348F927" w14:textId="77777777" w:rsidR="00DF4670" w:rsidRPr="00834FFB" w:rsidRDefault="00DF4670" w:rsidP="00DF4670">
      <w:pPr>
        <w:jc w:val="both"/>
        <w:rPr>
          <w:rFonts w:ascii="Arial" w:hAnsi="Arial" w:cs="Arial"/>
          <w:color w:val="7F7F7F" w:themeColor="text1" w:themeTint="80"/>
          <w:sz w:val="22"/>
          <w:szCs w:val="22"/>
          <w:lang w:val="en-GB"/>
        </w:rPr>
      </w:pPr>
    </w:p>
    <w:p w14:paraId="149DC2BA" w14:textId="596B6C3F" w:rsidR="00B212F8" w:rsidRPr="00834FFB" w:rsidRDefault="00B212F8" w:rsidP="0037416B">
      <w:pPr>
        <w:jc w:val="both"/>
        <w:rPr>
          <w:rFonts w:ascii="Arial" w:hAnsi="Arial" w:cs="Arial"/>
          <w:b/>
          <w:color w:val="7F7F7F" w:themeColor="text1" w:themeTint="80"/>
          <w:sz w:val="22"/>
          <w:szCs w:val="22"/>
          <w:u w:val="single"/>
          <w:lang w:val="en-GB"/>
        </w:rPr>
      </w:pPr>
      <w:r w:rsidRPr="00834FFB">
        <w:rPr>
          <w:rFonts w:ascii="Arial" w:hAnsi="Arial" w:cs="Arial"/>
          <w:b/>
          <w:color w:val="7F7F7F" w:themeColor="text1" w:themeTint="80"/>
          <w:sz w:val="22"/>
          <w:szCs w:val="22"/>
          <w:u w:val="single"/>
          <w:lang w:val="en-GB"/>
        </w:rPr>
        <w:t>What action can the unpaid employees take against S &amp; C?</w:t>
      </w:r>
    </w:p>
    <w:p w14:paraId="03441D4F" w14:textId="77777777" w:rsidR="00B212F8" w:rsidRPr="00834FFB" w:rsidRDefault="00B212F8" w:rsidP="00B212F8">
      <w:pPr>
        <w:jc w:val="both"/>
        <w:rPr>
          <w:rFonts w:ascii="Arial" w:hAnsi="Arial" w:cs="Arial"/>
          <w:color w:val="7F7F7F" w:themeColor="text1" w:themeTint="80"/>
          <w:sz w:val="22"/>
          <w:szCs w:val="22"/>
          <w:lang w:val="en-GB"/>
        </w:rPr>
      </w:pPr>
    </w:p>
    <w:p w14:paraId="7636D02A" w14:textId="77777777" w:rsidR="009F578D" w:rsidRPr="00834FFB" w:rsidRDefault="00B212F8" w:rsidP="00B212F8">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The</w:t>
      </w:r>
      <w:r w:rsidR="009F578D" w:rsidRPr="00834FFB">
        <w:rPr>
          <w:rFonts w:ascii="Arial" w:hAnsi="Arial" w:cs="Arial"/>
          <w:color w:val="7F7F7F" w:themeColor="text1" w:themeTint="80"/>
          <w:sz w:val="22"/>
          <w:szCs w:val="22"/>
          <w:lang w:val="en-GB"/>
        </w:rPr>
        <w:t>y may apply to wind up the company</w:t>
      </w:r>
      <w:r w:rsidRPr="00834FFB">
        <w:rPr>
          <w:rFonts w:ascii="Arial" w:hAnsi="Arial" w:cs="Arial"/>
          <w:color w:val="7F7F7F" w:themeColor="text1" w:themeTint="80"/>
          <w:sz w:val="22"/>
          <w:szCs w:val="22"/>
          <w:lang w:val="en-GB"/>
        </w:rPr>
        <w:t xml:space="preserve"> the basis that they are creditors and the company is unable to </w:t>
      </w:r>
      <w:r w:rsidR="009F578D" w:rsidRPr="00834FFB">
        <w:rPr>
          <w:rFonts w:ascii="Arial" w:hAnsi="Arial" w:cs="Arial"/>
          <w:color w:val="7F7F7F" w:themeColor="text1" w:themeTint="80"/>
          <w:sz w:val="22"/>
          <w:szCs w:val="22"/>
          <w:lang w:val="en-GB"/>
        </w:rPr>
        <w:t>their salaries – which is a debt pursuant to section</w:t>
      </w:r>
      <w:r w:rsidRPr="00834FFB">
        <w:rPr>
          <w:rFonts w:ascii="Arial" w:hAnsi="Arial" w:cs="Arial"/>
          <w:color w:val="7F7F7F" w:themeColor="text1" w:themeTint="80"/>
          <w:sz w:val="22"/>
          <w:szCs w:val="22"/>
          <w:lang w:val="en-GB"/>
        </w:rPr>
        <w:t xml:space="preserve"> 93 of the Companies Act. </w:t>
      </w:r>
    </w:p>
    <w:p w14:paraId="66F3B97E" w14:textId="77777777" w:rsidR="009F578D" w:rsidRPr="00834FFB" w:rsidRDefault="009F578D" w:rsidP="00B212F8">
      <w:pPr>
        <w:jc w:val="both"/>
        <w:rPr>
          <w:rFonts w:ascii="Arial" w:hAnsi="Arial" w:cs="Arial"/>
          <w:color w:val="7F7F7F" w:themeColor="text1" w:themeTint="80"/>
          <w:sz w:val="22"/>
          <w:szCs w:val="22"/>
          <w:lang w:val="en-GB"/>
        </w:rPr>
      </w:pPr>
    </w:p>
    <w:p w14:paraId="67251AF7" w14:textId="3D1DFDE4" w:rsidR="00B212F8" w:rsidRPr="00834FFB" w:rsidRDefault="009F578D" w:rsidP="00B212F8">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Payments </w:t>
      </w:r>
      <w:r w:rsidR="00B212F8" w:rsidRPr="00834FFB">
        <w:rPr>
          <w:rFonts w:ascii="Arial" w:hAnsi="Arial" w:cs="Arial"/>
          <w:color w:val="7F7F7F" w:themeColor="text1" w:themeTint="80"/>
          <w:sz w:val="22"/>
          <w:szCs w:val="22"/>
          <w:lang w:val="en-GB"/>
        </w:rPr>
        <w:t>due to employees are treated as a preferential debt</w:t>
      </w:r>
      <w:r w:rsidRPr="00834FFB">
        <w:rPr>
          <w:rFonts w:ascii="Arial" w:hAnsi="Arial" w:cs="Arial"/>
          <w:color w:val="7F7F7F" w:themeColor="text1" w:themeTint="80"/>
          <w:sz w:val="22"/>
          <w:szCs w:val="22"/>
          <w:lang w:val="en-GB"/>
        </w:rPr>
        <w:t>s (</w:t>
      </w:r>
      <w:r w:rsidR="00B212F8" w:rsidRPr="00834FFB">
        <w:rPr>
          <w:rFonts w:ascii="Arial" w:hAnsi="Arial" w:cs="Arial"/>
          <w:color w:val="7F7F7F" w:themeColor="text1" w:themeTint="80"/>
          <w:sz w:val="22"/>
          <w:szCs w:val="22"/>
          <w:lang w:val="en-GB"/>
        </w:rPr>
        <w:t xml:space="preserve">section 141 </w:t>
      </w:r>
      <w:r w:rsidRPr="00834FFB">
        <w:rPr>
          <w:rFonts w:ascii="Arial" w:hAnsi="Arial" w:cs="Arial"/>
          <w:color w:val="7F7F7F" w:themeColor="text1" w:themeTint="80"/>
          <w:sz w:val="22"/>
          <w:szCs w:val="22"/>
          <w:lang w:val="en-GB"/>
        </w:rPr>
        <w:t>) and are paid in priority to all other debts save for liquidation expenses. The employees could therefore stand to benefit even if they do not themselves bring the application for winding up, as the liquidator will pay all debts based on priority (even if the winding up was brought by an application by Jolly or Sparrow). Where the company is wound up, the employees may submit their claims to the liquidator.</w:t>
      </w:r>
    </w:p>
    <w:p w14:paraId="15886993" w14:textId="7C8F0C38" w:rsidR="00B212F8" w:rsidRPr="00834FFB" w:rsidRDefault="00B212F8" w:rsidP="00B212F8">
      <w:pPr>
        <w:jc w:val="both"/>
        <w:rPr>
          <w:rFonts w:ascii="Arial" w:hAnsi="Arial" w:cs="Arial"/>
          <w:color w:val="7F7F7F" w:themeColor="text1" w:themeTint="80"/>
          <w:sz w:val="22"/>
          <w:szCs w:val="22"/>
          <w:lang w:val="en-GB"/>
        </w:rPr>
      </w:pPr>
    </w:p>
    <w:p w14:paraId="156BD0DE" w14:textId="724E72B3" w:rsidR="00B212F8" w:rsidRPr="00834FFB" w:rsidRDefault="00B212F8" w:rsidP="009F578D">
      <w:pPr>
        <w:jc w:val="both"/>
        <w:rPr>
          <w:rFonts w:ascii="Arial" w:hAnsi="Arial" w:cs="Arial"/>
          <w:b/>
          <w:color w:val="7F7F7F" w:themeColor="text1" w:themeTint="80"/>
          <w:sz w:val="22"/>
          <w:szCs w:val="22"/>
          <w:u w:val="single"/>
          <w:lang w:val="en-GB"/>
        </w:rPr>
      </w:pPr>
      <w:r w:rsidRPr="00834FFB">
        <w:rPr>
          <w:rFonts w:ascii="Arial" w:hAnsi="Arial" w:cs="Arial"/>
          <w:b/>
          <w:color w:val="7F7F7F" w:themeColor="text1" w:themeTint="80"/>
          <w:sz w:val="22"/>
          <w:szCs w:val="22"/>
          <w:u w:val="single"/>
          <w:lang w:val="en-GB"/>
        </w:rPr>
        <w:t xml:space="preserve">Does the Cayman Islands Court have jurisdiction over S &amp; C? </w:t>
      </w:r>
    </w:p>
    <w:p w14:paraId="64388C3E" w14:textId="77777777" w:rsidR="00B212F8" w:rsidRPr="00834FFB" w:rsidRDefault="00B212F8" w:rsidP="00B212F8">
      <w:pPr>
        <w:pStyle w:val="ListParagraph"/>
        <w:rPr>
          <w:rFonts w:ascii="Arial" w:hAnsi="Arial" w:cs="Arial"/>
          <w:color w:val="7F7F7F" w:themeColor="text1" w:themeTint="80"/>
          <w:sz w:val="22"/>
          <w:szCs w:val="22"/>
          <w:lang w:val="en-GB"/>
        </w:rPr>
      </w:pPr>
    </w:p>
    <w:p w14:paraId="39658F38" w14:textId="1A4D55DE" w:rsidR="00DF4670" w:rsidRPr="00834FFB" w:rsidRDefault="009F578D" w:rsidP="009F578D">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Yes. </w:t>
      </w:r>
      <w:r w:rsidR="00B212F8" w:rsidRPr="00834FFB">
        <w:rPr>
          <w:rFonts w:ascii="Arial" w:hAnsi="Arial" w:cs="Arial"/>
          <w:color w:val="7F7F7F" w:themeColor="text1" w:themeTint="80"/>
          <w:sz w:val="22"/>
          <w:szCs w:val="22"/>
          <w:lang w:val="en-GB"/>
        </w:rPr>
        <w:t xml:space="preserve">The Grand Court </w:t>
      </w:r>
      <w:r w:rsidRPr="00834FFB">
        <w:rPr>
          <w:rFonts w:ascii="Arial" w:hAnsi="Arial" w:cs="Arial"/>
          <w:color w:val="7F7F7F" w:themeColor="text1" w:themeTint="80"/>
          <w:sz w:val="22"/>
          <w:szCs w:val="22"/>
          <w:lang w:val="en-GB"/>
        </w:rPr>
        <w:t xml:space="preserve">has jurisdiction to make </w:t>
      </w:r>
      <w:r w:rsidR="00B212F8" w:rsidRPr="00834FFB">
        <w:rPr>
          <w:rFonts w:ascii="Arial" w:hAnsi="Arial" w:cs="Arial"/>
          <w:color w:val="7F7F7F" w:themeColor="text1" w:themeTint="80"/>
          <w:sz w:val="22"/>
          <w:szCs w:val="22"/>
          <w:lang w:val="en-GB"/>
        </w:rPr>
        <w:t xml:space="preserve">winding up orders in respect of </w:t>
      </w:r>
      <w:r w:rsidRPr="00834FFB">
        <w:rPr>
          <w:rFonts w:ascii="Arial" w:hAnsi="Arial" w:cs="Arial"/>
          <w:color w:val="7F7F7F" w:themeColor="text1" w:themeTint="80"/>
          <w:sz w:val="22"/>
          <w:szCs w:val="22"/>
          <w:lang w:val="en-GB"/>
        </w:rPr>
        <w:t xml:space="preserve">S&amp;C as it is a company that is </w:t>
      </w:r>
      <w:r w:rsidR="00DF4670" w:rsidRPr="00834FFB">
        <w:rPr>
          <w:rFonts w:ascii="Arial" w:hAnsi="Arial" w:cs="Arial"/>
          <w:color w:val="7F7F7F" w:themeColor="text1" w:themeTint="80"/>
          <w:sz w:val="22"/>
          <w:szCs w:val="22"/>
          <w:lang w:val="en-GB"/>
        </w:rPr>
        <w:t>registered in the Cayman Islands.</w:t>
      </w:r>
    </w:p>
    <w:p w14:paraId="23B7CDFD" w14:textId="77777777" w:rsidR="00B212F8" w:rsidRPr="00834FFB" w:rsidRDefault="00B212F8" w:rsidP="00B212F8">
      <w:pPr>
        <w:jc w:val="both"/>
        <w:rPr>
          <w:rFonts w:ascii="Arial" w:hAnsi="Arial" w:cs="Arial"/>
          <w:color w:val="7F7F7F" w:themeColor="text1" w:themeTint="80"/>
          <w:sz w:val="22"/>
          <w:szCs w:val="22"/>
          <w:lang w:val="en-GB"/>
        </w:rPr>
      </w:pPr>
    </w:p>
    <w:p w14:paraId="5D661F60" w14:textId="77777777" w:rsidR="00B212F8" w:rsidRPr="00834FFB" w:rsidRDefault="00B212F8" w:rsidP="00B212F8">
      <w:pPr>
        <w:jc w:val="both"/>
        <w:rPr>
          <w:rFonts w:ascii="Arial" w:hAnsi="Arial" w:cs="Arial"/>
          <w:color w:val="7F7F7F" w:themeColor="text1" w:themeTint="80"/>
          <w:sz w:val="22"/>
          <w:szCs w:val="22"/>
          <w:lang w:val="en-GB"/>
        </w:rPr>
      </w:pPr>
    </w:p>
    <w:p w14:paraId="31CE961E" w14:textId="77777777" w:rsidR="00B212F8" w:rsidRPr="00834FFB" w:rsidRDefault="00B212F8" w:rsidP="009F578D">
      <w:pPr>
        <w:jc w:val="both"/>
        <w:rPr>
          <w:rFonts w:ascii="Arial" w:hAnsi="Arial" w:cs="Arial"/>
          <w:b/>
          <w:color w:val="7F7F7F" w:themeColor="text1" w:themeTint="80"/>
          <w:sz w:val="22"/>
          <w:szCs w:val="22"/>
          <w:u w:val="single"/>
          <w:lang w:val="en-GB"/>
        </w:rPr>
      </w:pPr>
      <w:r w:rsidRPr="00834FFB">
        <w:rPr>
          <w:rFonts w:ascii="Arial" w:hAnsi="Arial" w:cs="Arial"/>
          <w:b/>
          <w:color w:val="7F7F7F" w:themeColor="text1" w:themeTint="80"/>
          <w:sz w:val="22"/>
          <w:szCs w:val="22"/>
          <w:u w:val="single"/>
          <w:lang w:val="en-GB"/>
        </w:rPr>
        <w:t xml:space="preserve">Is there a legal route via which S &amp; C can protect itself and seek to restructure? </w:t>
      </w:r>
    </w:p>
    <w:p w14:paraId="5D61DA7B" w14:textId="77777777" w:rsidR="00B212F8" w:rsidRPr="00834FFB" w:rsidRDefault="00B212F8" w:rsidP="00B212F8">
      <w:pPr>
        <w:jc w:val="both"/>
        <w:rPr>
          <w:rFonts w:ascii="Arial" w:hAnsi="Arial" w:cs="Arial"/>
          <w:b/>
          <w:color w:val="7F7F7F" w:themeColor="text1" w:themeTint="80"/>
          <w:sz w:val="22"/>
          <w:szCs w:val="22"/>
          <w:lang w:val="en-GB"/>
        </w:rPr>
      </w:pPr>
    </w:p>
    <w:p w14:paraId="06878957" w14:textId="6DE776EE" w:rsidR="00B94411" w:rsidRPr="00834FFB" w:rsidRDefault="00B94411" w:rsidP="00B94411">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S &amp; C may then enter into a scheme of arrangement with its creditors while seeking to appoint “light touch’ provisional liquidators and obtaining the benefit of a moratorium against any proceedings continuing or being commenced against a company. </w:t>
      </w:r>
    </w:p>
    <w:p w14:paraId="2FC2C342" w14:textId="77777777" w:rsidR="00B94411" w:rsidRPr="00834FFB" w:rsidRDefault="00B94411" w:rsidP="00B212F8">
      <w:pPr>
        <w:jc w:val="both"/>
        <w:rPr>
          <w:rFonts w:ascii="Arial" w:hAnsi="Arial" w:cs="Arial"/>
          <w:color w:val="7F7F7F" w:themeColor="text1" w:themeTint="80"/>
          <w:sz w:val="22"/>
          <w:szCs w:val="22"/>
          <w:lang w:val="en-GB"/>
        </w:rPr>
      </w:pPr>
    </w:p>
    <w:p w14:paraId="0E079BDE" w14:textId="4011CBBF" w:rsidR="00B212F8" w:rsidRPr="00834FFB" w:rsidRDefault="00B94411" w:rsidP="00B212F8">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In considering the application</w:t>
      </w:r>
      <w:r w:rsidR="00B212F8" w:rsidRPr="00834FFB">
        <w:rPr>
          <w:rFonts w:ascii="Arial" w:hAnsi="Arial" w:cs="Arial"/>
          <w:color w:val="7F7F7F" w:themeColor="text1" w:themeTint="80"/>
          <w:sz w:val="22"/>
          <w:szCs w:val="22"/>
          <w:lang w:val="en-GB"/>
        </w:rPr>
        <w:t xml:space="preserve"> </w:t>
      </w:r>
      <w:r w:rsidRPr="00834FFB">
        <w:rPr>
          <w:rFonts w:ascii="Arial" w:hAnsi="Arial" w:cs="Arial"/>
          <w:color w:val="7F7F7F" w:themeColor="text1" w:themeTint="80"/>
          <w:sz w:val="22"/>
          <w:szCs w:val="22"/>
          <w:lang w:val="en-GB"/>
        </w:rPr>
        <w:t xml:space="preserve">for light touch liquidators, the court will need to be satisfied that </w:t>
      </w:r>
      <w:r w:rsidR="00B212F8" w:rsidRPr="00834FFB">
        <w:rPr>
          <w:rFonts w:ascii="Arial" w:hAnsi="Arial" w:cs="Arial"/>
          <w:color w:val="7F7F7F" w:themeColor="text1" w:themeTint="80"/>
          <w:sz w:val="22"/>
          <w:szCs w:val="22"/>
          <w:lang w:val="en-GB"/>
        </w:rPr>
        <w:t>the affairs</w:t>
      </w:r>
      <w:r w:rsidRPr="00834FFB">
        <w:rPr>
          <w:rFonts w:ascii="Arial" w:hAnsi="Arial" w:cs="Arial"/>
          <w:color w:val="7F7F7F" w:themeColor="text1" w:themeTint="80"/>
          <w:sz w:val="22"/>
          <w:szCs w:val="22"/>
          <w:lang w:val="en-GB"/>
        </w:rPr>
        <w:t xml:space="preserve"> of the insolvent company</w:t>
      </w:r>
      <w:r w:rsidR="00B212F8" w:rsidRPr="00834FFB">
        <w:rPr>
          <w:rFonts w:ascii="Arial" w:hAnsi="Arial" w:cs="Arial"/>
          <w:color w:val="7F7F7F" w:themeColor="text1" w:themeTint="80"/>
          <w:sz w:val="22"/>
          <w:szCs w:val="22"/>
          <w:lang w:val="en-GB"/>
        </w:rPr>
        <w:t xml:space="preserve"> can be turned around by a scheme of arrangement. </w:t>
      </w:r>
    </w:p>
    <w:p w14:paraId="54F35ECD" w14:textId="77777777" w:rsidR="00B212F8" w:rsidRPr="00834FFB" w:rsidRDefault="00B212F8" w:rsidP="00B212F8">
      <w:pPr>
        <w:jc w:val="both"/>
        <w:rPr>
          <w:rFonts w:ascii="Arial" w:hAnsi="Arial" w:cs="Arial"/>
          <w:color w:val="7F7F7F" w:themeColor="text1" w:themeTint="80"/>
          <w:sz w:val="22"/>
          <w:szCs w:val="22"/>
          <w:lang w:val="en-GB"/>
        </w:rPr>
      </w:pPr>
    </w:p>
    <w:p w14:paraId="71FF4A8F" w14:textId="3ACE67EC" w:rsidR="00B94411" w:rsidRPr="00834FFB" w:rsidRDefault="00B94411" w:rsidP="00B212F8">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In order for implementing the scheme, S&amp;C will need to convene a </w:t>
      </w:r>
      <w:r w:rsidR="00B212F8" w:rsidRPr="00834FFB">
        <w:rPr>
          <w:rFonts w:ascii="Arial" w:hAnsi="Arial" w:cs="Arial"/>
          <w:color w:val="7F7F7F" w:themeColor="text1" w:themeTint="80"/>
          <w:sz w:val="22"/>
          <w:szCs w:val="22"/>
          <w:lang w:val="en-GB"/>
        </w:rPr>
        <w:t xml:space="preserve">meeting of the creditors, </w:t>
      </w:r>
      <w:r w:rsidRPr="00834FFB">
        <w:rPr>
          <w:rFonts w:ascii="Arial" w:hAnsi="Arial" w:cs="Arial"/>
          <w:color w:val="7F7F7F" w:themeColor="text1" w:themeTint="80"/>
          <w:sz w:val="22"/>
          <w:szCs w:val="22"/>
          <w:lang w:val="en-GB"/>
        </w:rPr>
        <w:t xml:space="preserve">and secure </w:t>
      </w:r>
      <w:r w:rsidR="00B212F8" w:rsidRPr="00834FFB">
        <w:rPr>
          <w:rFonts w:ascii="Arial" w:hAnsi="Arial" w:cs="Arial"/>
          <w:color w:val="7F7F7F" w:themeColor="text1" w:themeTint="80"/>
          <w:sz w:val="22"/>
          <w:szCs w:val="22"/>
          <w:lang w:val="en-GB"/>
        </w:rPr>
        <w:t>a majority in number (</w:t>
      </w:r>
      <w:r w:rsidRPr="00834FFB">
        <w:rPr>
          <w:rFonts w:ascii="Arial" w:hAnsi="Arial" w:cs="Arial"/>
          <w:color w:val="7F7F7F" w:themeColor="text1" w:themeTint="80"/>
          <w:sz w:val="22"/>
          <w:szCs w:val="22"/>
          <w:lang w:val="en-GB"/>
        </w:rPr>
        <w:t>o</w:t>
      </w:r>
      <w:r w:rsidR="00B212F8" w:rsidRPr="00834FFB">
        <w:rPr>
          <w:rFonts w:ascii="Arial" w:hAnsi="Arial" w:cs="Arial"/>
          <w:color w:val="7F7F7F" w:themeColor="text1" w:themeTint="80"/>
          <w:sz w:val="22"/>
          <w:szCs w:val="22"/>
          <w:lang w:val="en-GB"/>
        </w:rPr>
        <w:t xml:space="preserve">ver 50%) representing at least 75% in value of the creditors (or class of creditors) present and voting either in person or by proxy at the meeting who must agree to the arrangement. </w:t>
      </w:r>
      <w:r w:rsidRPr="00834FFB">
        <w:rPr>
          <w:rFonts w:ascii="Arial" w:hAnsi="Arial" w:cs="Arial"/>
          <w:color w:val="7F7F7F" w:themeColor="text1" w:themeTint="80"/>
          <w:sz w:val="22"/>
          <w:szCs w:val="22"/>
          <w:lang w:val="en-GB"/>
        </w:rPr>
        <w:t xml:space="preserve">Once this is done, it is binding on all creditors or class or creditors </w:t>
      </w:r>
      <w:r w:rsidR="00834FFB" w:rsidRPr="00834FFB">
        <w:rPr>
          <w:rFonts w:ascii="Arial" w:hAnsi="Arial" w:cs="Arial"/>
          <w:color w:val="7F7F7F" w:themeColor="text1" w:themeTint="80"/>
          <w:sz w:val="22"/>
          <w:szCs w:val="22"/>
          <w:lang w:val="en-GB"/>
        </w:rPr>
        <w:t xml:space="preserve">which approved the scheme. </w:t>
      </w:r>
    </w:p>
    <w:p w14:paraId="6B3F0AA0" w14:textId="20926A47" w:rsidR="00DF4670" w:rsidRPr="00834FFB" w:rsidRDefault="00DF4670" w:rsidP="00834FFB">
      <w:pPr>
        <w:jc w:val="both"/>
        <w:rPr>
          <w:rFonts w:ascii="Arial" w:hAnsi="Arial" w:cs="Arial"/>
          <w:color w:val="7F7F7F" w:themeColor="text1" w:themeTint="80"/>
          <w:sz w:val="22"/>
          <w:szCs w:val="22"/>
          <w:lang w:val="en-GB"/>
        </w:rPr>
      </w:pPr>
    </w:p>
    <w:p w14:paraId="7F19186C" w14:textId="09DF4400" w:rsidR="00B212F8" w:rsidRPr="00834FFB" w:rsidRDefault="00B212F8" w:rsidP="00834FFB">
      <w:pPr>
        <w:jc w:val="both"/>
        <w:rPr>
          <w:rFonts w:ascii="Arial" w:hAnsi="Arial" w:cs="Arial"/>
          <w:b/>
          <w:color w:val="7F7F7F" w:themeColor="text1" w:themeTint="80"/>
          <w:sz w:val="22"/>
          <w:szCs w:val="22"/>
          <w:u w:val="single"/>
          <w:lang w:val="en-GB"/>
        </w:rPr>
      </w:pPr>
      <w:r w:rsidRPr="00834FFB">
        <w:rPr>
          <w:rFonts w:ascii="Arial" w:hAnsi="Arial" w:cs="Arial"/>
          <w:b/>
          <w:color w:val="7F7F7F" w:themeColor="text1" w:themeTint="80"/>
          <w:sz w:val="22"/>
          <w:szCs w:val="22"/>
          <w:u w:val="single"/>
          <w:lang w:val="en-GB"/>
        </w:rPr>
        <w:t>Following on from (e) above, can the Rackham family continue play a part in running S &amp; C during any restructuring process?</w:t>
      </w:r>
    </w:p>
    <w:p w14:paraId="00CAE412" w14:textId="77777777" w:rsidR="00B212F8" w:rsidRPr="00834FFB" w:rsidRDefault="00B212F8" w:rsidP="00B212F8">
      <w:pPr>
        <w:ind w:left="66"/>
        <w:jc w:val="both"/>
        <w:rPr>
          <w:rFonts w:ascii="Arial" w:hAnsi="Arial" w:cs="Arial"/>
          <w:color w:val="7F7F7F" w:themeColor="text1" w:themeTint="80"/>
          <w:sz w:val="22"/>
          <w:szCs w:val="22"/>
          <w:lang w:val="en-GB"/>
        </w:rPr>
      </w:pPr>
    </w:p>
    <w:p w14:paraId="029C2B55" w14:textId="77777777" w:rsidR="00B212F8" w:rsidRPr="00834FFB" w:rsidRDefault="00B212F8" w:rsidP="00B212F8">
      <w:pPr>
        <w:ind w:left="66"/>
        <w:jc w:val="both"/>
        <w:rPr>
          <w:rFonts w:ascii="Arial" w:hAnsi="Arial" w:cs="Arial"/>
          <w:color w:val="7F7F7F" w:themeColor="text1" w:themeTint="80"/>
          <w:sz w:val="22"/>
          <w:szCs w:val="22"/>
          <w:lang w:val="en-GB"/>
        </w:rPr>
      </w:pPr>
    </w:p>
    <w:p w14:paraId="3C371679" w14:textId="58414CD6" w:rsidR="00B212F8" w:rsidRPr="00834FFB" w:rsidRDefault="00834FFB" w:rsidP="00B212F8">
      <w:pPr>
        <w:ind w:left="66"/>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Where light touch provisional liquidators are appointed </w:t>
      </w:r>
      <w:r w:rsidR="00B212F8" w:rsidRPr="00834FFB">
        <w:rPr>
          <w:rFonts w:ascii="Arial" w:hAnsi="Arial" w:cs="Arial"/>
          <w:color w:val="7F7F7F" w:themeColor="text1" w:themeTint="80"/>
          <w:sz w:val="22"/>
          <w:szCs w:val="22"/>
          <w:lang w:val="en-GB"/>
        </w:rPr>
        <w:t xml:space="preserve">the </w:t>
      </w:r>
      <w:r w:rsidRPr="00834FFB">
        <w:rPr>
          <w:rFonts w:ascii="Arial" w:hAnsi="Arial" w:cs="Arial"/>
          <w:color w:val="7F7F7F" w:themeColor="text1" w:themeTint="80"/>
          <w:sz w:val="22"/>
          <w:szCs w:val="22"/>
          <w:lang w:val="en-GB"/>
        </w:rPr>
        <w:t>c</w:t>
      </w:r>
      <w:r w:rsidR="00B212F8" w:rsidRPr="00834FFB">
        <w:rPr>
          <w:rFonts w:ascii="Arial" w:hAnsi="Arial" w:cs="Arial"/>
          <w:color w:val="7F7F7F" w:themeColor="text1" w:themeTint="80"/>
          <w:sz w:val="22"/>
          <w:szCs w:val="22"/>
          <w:lang w:val="en-GB"/>
        </w:rPr>
        <w:t xml:space="preserve">ourt will determine which powers will remain with the directors and which will be vested in the provisional liquidators. </w:t>
      </w:r>
      <w:r w:rsidRPr="00834FFB">
        <w:rPr>
          <w:rFonts w:ascii="Arial" w:hAnsi="Arial" w:cs="Arial"/>
          <w:color w:val="7F7F7F" w:themeColor="text1" w:themeTint="80"/>
          <w:sz w:val="22"/>
          <w:szCs w:val="22"/>
          <w:lang w:val="en-GB"/>
        </w:rPr>
        <w:t xml:space="preserve">Generally when </w:t>
      </w:r>
      <w:r w:rsidR="00B212F8" w:rsidRPr="00834FFB">
        <w:rPr>
          <w:rFonts w:ascii="Arial" w:hAnsi="Arial" w:cs="Arial"/>
          <w:color w:val="7F7F7F" w:themeColor="text1" w:themeTint="80"/>
          <w:sz w:val="22"/>
          <w:szCs w:val="22"/>
          <w:lang w:val="en-GB"/>
        </w:rPr>
        <w:t>a company enters into provisional liquidation for the p</w:t>
      </w:r>
      <w:r w:rsidRPr="00834FFB">
        <w:rPr>
          <w:rFonts w:ascii="Arial" w:hAnsi="Arial" w:cs="Arial"/>
          <w:color w:val="7F7F7F" w:themeColor="text1" w:themeTint="80"/>
          <w:sz w:val="22"/>
          <w:szCs w:val="22"/>
          <w:lang w:val="en-GB"/>
        </w:rPr>
        <w:t xml:space="preserve">urpose of restructuring </w:t>
      </w:r>
      <w:r w:rsidR="00B212F8" w:rsidRPr="00834FFB">
        <w:rPr>
          <w:rFonts w:ascii="Arial" w:hAnsi="Arial" w:cs="Arial"/>
          <w:color w:val="7F7F7F" w:themeColor="text1" w:themeTint="80"/>
          <w:sz w:val="22"/>
          <w:szCs w:val="22"/>
          <w:lang w:val="en-GB"/>
        </w:rPr>
        <w:t>or entering into a scheme of arrangement, the directors</w:t>
      </w:r>
      <w:r w:rsidRPr="00834FFB">
        <w:rPr>
          <w:rFonts w:ascii="Arial" w:hAnsi="Arial" w:cs="Arial"/>
          <w:color w:val="7F7F7F" w:themeColor="text1" w:themeTint="80"/>
          <w:sz w:val="22"/>
          <w:szCs w:val="22"/>
          <w:lang w:val="en-GB"/>
        </w:rPr>
        <w:t>/</w:t>
      </w:r>
      <w:r w:rsidR="00B212F8" w:rsidRPr="00834FFB">
        <w:rPr>
          <w:rFonts w:ascii="Arial" w:hAnsi="Arial" w:cs="Arial"/>
          <w:color w:val="7F7F7F" w:themeColor="text1" w:themeTint="80"/>
          <w:sz w:val="22"/>
          <w:szCs w:val="22"/>
          <w:lang w:val="en-GB"/>
        </w:rPr>
        <w:t>management will remain in place and continue to manage the company</w:t>
      </w:r>
      <w:r w:rsidRPr="00834FFB">
        <w:rPr>
          <w:rFonts w:ascii="Arial" w:hAnsi="Arial" w:cs="Arial"/>
          <w:color w:val="7F7F7F" w:themeColor="text1" w:themeTint="80"/>
          <w:sz w:val="22"/>
          <w:szCs w:val="22"/>
          <w:lang w:val="en-GB"/>
        </w:rPr>
        <w:t>, subject to whatever the court decides</w:t>
      </w:r>
      <w:r w:rsidR="00B212F8" w:rsidRPr="00834FFB">
        <w:rPr>
          <w:rFonts w:ascii="Arial" w:hAnsi="Arial" w:cs="Arial"/>
          <w:color w:val="7F7F7F" w:themeColor="text1" w:themeTint="80"/>
          <w:sz w:val="22"/>
          <w:szCs w:val="22"/>
          <w:lang w:val="en-GB"/>
        </w:rPr>
        <w:t xml:space="preserve">. </w:t>
      </w:r>
      <w:r w:rsidRPr="00834FFB">
        <w:rPr>
          <w:rFonts w:ascii="Arial" w:hAnsi="Arial" w:cs="Arial"/>
          <w:color w:val="7F7F7F" w:themeColor="text1" w:themeTint="80"/>
          <w:sz w:val="22"/>
          <w:szCs w:val="22"/>
          <w:lang w:val="en-GB"/>
        </w:rPr>
        <w:t xml:space="preserve">On this basis, it is possible for the court to allow the </w:t>
      </w:r>
      <w:r w:rsidR="00B212F8" w:rsidRPr="00834FFB">
        <w:rPr>
          <w:rFonts w:ascii="Arial" w:hAnsi="Arial" w:cs="Arial"/>
          <w:color w:val="7F7F7F" w:themeColor="text1" w:themeTint="80"/>
          <w:sz w:val="22"/>
          <w:szCs w:val="22"/>
          <w:lang w:val="en-GB"/>
        </w:rPr>
        <w:t xml:space="preserve">Rackham family </w:t>
      </w:r>
      <w:r w:rsidRPr="00834FFB">
        <w:rPr>
          <w:rFonts w:ascii="Arial" w:hAnsi="Arial" w:cs="Arial"/>
          <w:color w:val="7F7F7F" w:themeColor="text1" w:themeTint="80"/>
          <w:sz w:val="22"/>
          <w:szCs w:val="22"/>
          <w:lang w:val="en-GB"/>
        </w:rPr>
        <w:t xml:space="preserve">to continue to play some role in the </w:t>
      </w:r>
      <w:r w:rsidR="00B212F8" w:rsidRPr="00834FFB">
        <w:rPr>
          <w:rFonts w:ascii="Arial" w:hAnsi="Arial" w:cs="Arial"/>
          <w:color w:val="7F7F7F" w:themeColor="text1" w:themeTint="80"/>
          <w:sz w:val="22"/>
          <w:szCs w:val="22"/>
          <w:lang w:val="en-GB"/>
        </w:rPr>
        <w:t>restructuring process.</w:t>
      </w:r>
    </w:p>
    <w:p w14:paraId="286606F2" w14:textId="77777777" w:rsidR="00B212F8" w:rsidRPr="00834FFB" w:rsidRDefault="00B212F8" w:rsidP="00B212F8">
      <w:pPr>
        <w:ind w:left="66"/>
        <w:jc w:val="both"/>
        <w:rPr>
          <w:rFonts w:ascii="Arial" w:hAnsi="Arial" w:cs="Arial"/>
          <w:color w:val="7F7F7F" w:themeColor="text1" w:themeTint="80"/>
          <w:sz w:val="22"/>
          <w:szCs w:val="22"/>
          <w:lang w:val="en-GB"/>
        </w:rPr>
      </w:pPr>
    </w:p>
    <w:p w14:paraId="3AFBF15B" w14:textId="77777777" w:rsidR="00B212F8" w:rsidRPr="00834FFB" w:rsidRDefault="00B212F8" w:rsidP="00834FFB">
      <w:pPr>
        <w:jc w:val="both"/>
        <w:rPr>
          <w:rFonts w:ascii="Arial" w:hAnsi="Arial" w:cs="Arial"/>
          <w:b/>
          <w:color w:val="7F7F7F" w:themeColor="text1" w:themeTint="80"/>
          <w:sz w:val="22"/>
          <w:szCs w:val="22"/>
          <w:u w:val="single"/>
          <w:lang w:val="en-GB"/>
        </w:rPr>
      </w:pPr>
      <w:r w:rsidRPr="00834FFB">
        <w:rPr>
          <w:rFonts w:ascii="Arial" w:hAnsi="Arial" w:cs="Arial"/>
          <w:b/>
          <w:color w:val="7F7F7F" w:themeColor="text1" w:themeTint="80"/>
          <w:sz w:val="22"/>
          <w:szCs w:val="22"/>
          <w:u w:val="single"/>
          <w:lang w:val="en-GB"/>
        </w:rPr>
        <w:t>What factors will the Cayman Islands court take into consideration before approving any proposed restructuring?</w:t>
      </w:r>
    </w:p>
    <w:p w14:paraId="6E670A58" w14:textId="77777777" w:rsidR="00B212F8" w:rsidRPr="00834FFB" w:rsidRDefault="00B212F8" w:rsidP="00B212F8">
      <w:pPr>
        <w:jc w:val="both"/>
        <w:rPr>
          <w:rFonts w:ascii="Arial" w:hAnsi="Arial" w:cs="Arial"/>
          <w:color w:val="7F7F7F" w:themeColor="text1" w:themeTint="80"/>
          <w:sz w:val="22"/>
          <w:szCs w:val="22"/>
          <w:lang w:val="en-GB"/>
        </w:rPr>
      </w:pPr>
    </w:p>
    <w:p w14:paraId="0204CD74" w14:textId="77777777" w:rsidR="00B212F8" w:rsidRPr="00834FFB" w:rsidRDefault="00B212F8" w:rsidP="00B212F8">
      <w:pPr>
        <w:jc w:val="both"/>
        <w:rPr>
          <w:rFonts w:ascii="Arial" w:hAnsi="Arial" w:cs="Arial"/>
          <w:color w:val="7F7F7F" w:themeColor="text1" w:themeTint="80"/>
          <w:sz w:val="22"/>
          <w:szCs w:val="22"/>
          <w:lang w:val="en-GB"/>
        </w:rPr>
      </w:pPr>
    </w:p>
    <w:p w14:paraId="26D021B1" w14:textId="77777777" w:rsidR="00834FFB" w:rsidRPr="00834FFB" w:rsidRDefault="00834FFB" w:rsidP="00B212F8">
      <w:p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The court</w:t>
      </w:r>
      <w:r w:rsidR="00B212F8" w:rsidRPr="00834FFB">
        <w:rPr>
          <w:rFonts w:ascii="Arial" w:hAnsi="Arial" w:cs="Arial"/>
          <w:color w:val="7F7F7F" w:themeColor="text1" w:themeTint="80"/>
          <w:sz w:val="22"/>
          <w:szCs w:val="22"/>
          <w:lang w:val="en-GB"/>
        </w:rPr>
        <w:t xml:space="preserve"> consider</w:t>
      </w:r>
      <w:r w:rsidRPr="00834FFB">
        <w:rPr>
          <w:rFonts w:ascii="Arial" w:hAnsi="Arial" w:cs="Arial"/>
          <w:color w:val="7F7F7F" w:themeColor="text1" w:themeTint="80"/>
          <w:sz w:val="22"/>
          <w:szCs w:val="22"/>
          <w:lang w:val="en-GB"/>
        </w:rPr>
        <w:t>:</w:t>
      </w:r>
    </w:p>
    <w:p w14:paraId="1A5FD4B1" w14:textId="77777777" w:rsidR="00834FFB" w:rsidRPr="00834FFB" w:rsidRDefault="00B212F8" w:rsidP="00834FFB">
      <w:pPr>
        <w:pStyle w:val="ListParagraph"/>
        <w:numPr>
          <w:ilvl w:val="0"/>
          <w:numId w:val="50"/>
        </w:num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whether the scheme received the necessary creditor support</w:t>
      </w:r>
      <w:r w:rsidR="00834FFB" w:rsidRPr="00834FFB">
        <w:rPr>
          <w:rFonts w:ascii="Arial" w:hAnsi="Arial" w:cs="Arial"/>
          <w:color w:val="7F7F7F" w:themeColor="text1" w:themeTint="80"/>
          <w:sz w:val="22"/>
          <w:szCs w:val="22"/>
          <w:lang w:val="en-GB"/>
        </w:rPr>
        <w:t xml:space="preserve"> / approval;</w:t>
      </w:r>
    </w:p>
    <w:p w14:paraId="1769EEC9" w14:textId="77777777" w:rsidR="00834FFB" w:rsidRPr="00834FFB" w:rsidRDefault="00B212F8" w:rsidP="00834FFB">
      <w:pPr>
        <w:pStyle w:val="ListParagraph"/>
        <w:numPr>
          <w:ilvl w:val="0"/>
          <w:numId w:val="50"/>
        </w:num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 xml:space="preserve">whether the majority of the creditors fairly represent the class, </w:t>
      </w:r>
    </w:p>
    <w:p w14:paraId="152C0B15" w14:textId="77777777" w:rsidR="00834FFB" w:rsidRPr="00834FFB" w:rsidRDefault="00B212F8" w:rsidP="00834FFB">
      <w:pPr>
        <w:pStyle w:val="ListParagraph"/>
        <w:numPr>
          <w:ilvl w:val="0"/>
          <w:numId w:val="50"/>
        </w:num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whether the arrangement (having regard to the alternatives</w:t>
      </w:r>
      <w:r w:rsidR="00834FFB" w:rsidRPr="00834FFB">
        <w:rPr>
          <w:rFonts w:ascii="Arial" w:hAnsi="Arial" w:cs="Arial"/>
          <w:color w:val="7F7F7F" w:themeColor="text1" w:themeTint="80"/>
          <w:sz w:val="22"/>
          <w:szCs w:val="22"/>
          <w:lang w:val="en-GB"/>
        </w:rPr>
        <w:t>)</w:t>
      </w:r>
      <w:r w:rsidRPr="00834FFB">
        <w:rPr>
          <w:rFonts w:ascii="Arial" w:hAnsi="Arial" w:cs="Arial"/>
          <w:color w:val="7F7F7F" w:themeColor="text1" w:themeTint="80"/>
          <w:sz w:val="22"/>
          <w:szCs w:val="22"/>
          <w:lang w:val="en-GB"/>
        </w:rPr>
        <w:t xml:space="preserve"> is such that an intelligent, honest member of the class convened, acting in his own interest, might reasonably approve it. </w:t>
      </w:r>
    </w:p>
    <w:p w14:paraId="0D4A9BCF" w14:textId="2279C20B" w:rsidR="00B212F8" w:rsidRPr="00834FFB" w:rsidRDefault="00834FFB" w:rsidP="00834FFB">
      <w:pPr>
        <w:pStyle w:val="ListParagraph"/>
        <w:numPr>
          <w:ilvl w:val="0"/>
          <w:numId w:val="50"/>
        </w:numPr>
        <w:jc w:val="both"/>
        <w:rPr>
          <w:rFonts w:ascii="Arial" w:hAnsi="Arial" w:cs="Arial"/>
          <w:color w:val="7F7F7F" w:themeColor="text1" w:themeTint="80"/>
          <w:sz w:val="22"/>
          <w:szCs w:val="22"/>
          <w:lang w:val="en-GB"/>
        </w:rPr>
      </w:pPr>
      <w:r w:rsidRPr="00834FFB">
        <w:rPr>
          <w:rFonts w:ascii="Arial" w:hAnsi="Arial" w:cs="Arial"/>
          <w:color w:val="7F7F7F" w:themeColor="text1" w:themeTint="80"/>
          <w:sz w:val="22"/>
          <w:szCs w:val="22"/>
          <w:lang w:val="en-GB"/>
        </w:rPr>
        <w:t>Whether t</w:t>
      </w:r>
      <w:r w:rsidR="00B212F8" w:rsidRPr="00834FFB">
        <w:rPr>
          <w:rFonts w:ascii="Arial" w:hAnsi="Arial" w:cs="Arial"/>
          <w:color w:val="7F7F7F" w:themeColor="text1" w:themeTint="80"/>
          <w:sz w:val="22"/>
          <w:szCs w:val="22"/>
          <w:lang w:val="en-GB"/>
        </w:rPr>
        <w:t xml:space="preserve">he scheme </w:t>
      </w:r>
      <w:r w:rsidRPr="00834FFB">
        <w:rPr>
          <w:rFonts w:ascii="Arial" w:hAnsi="Arial" w:cs="Arial"/>
          <w:color w:val="7F7F7F" w:themeColor="text1" w:themeTint="80"/>
          <w:sz w:val="22"/>
          <w:szCs w:val="22"/>
          <w:lang w:val="en-GB"/>
        </w:rPr>
        <w:t xml:space="preserve">is </w:t>
      </w:r>
      <w:r w:rsidR="00B212F8" w:rsidRPr="00834FFB">
        <w:rPr>
          <w:rFonts w:ascii="Arial" w:hAnsi="Arial" w:cs="Arial"/>
          <w:color w:val="7F7F7F" w:themeColor="text1" w:themeTint="80"/>
          <w:sz w:val="22"/>
          <w:szCs w:val="22"/>
          <w:lang w:val="en-GB"/>
        </w:rPr>
        <w:t>fair.</w:t>
      </w:r>
    </w:p>
    <w:p w14:paraId="0247FE51" w14:textId="77777777" w:rsidR="00B212F8" w:rsidRPr="00834FFB" w:rsidRDefault="00B212F8" w:rsidP="00B212F8">
      <w:pPr>
        <w:jc w:val="both"/>
        <w:rPr>
          <w:rFonts w:ascii="Arial" w:hAnsi="Arial" w:cs="Arial"/>
          <w:color w:val="7F7F7F" w:themeColor="text1" w:themeTint="80"/>
          <w:sz w:val="22"/>
          <w:szCs w:val="22"/>
          <w:lang w:val="en-GB"/>
        </w:rPr>
      </w:pPr>
    </w:p>
    <w:p w14:paraId="1EF410AE" w14:textId="77777777" w:rsidR="00B212F8" w:rsidRPr="00834FFB" w:rsidRDefault="00B212F8" w:rsidP="00B212F8">
      <w:pPr>
        <w:jc w:val="both"/>
        <w:rPr>
          <w:rFonts w:ascii="Arial" w:hAnsi="Arial" w:cs="Arial"/>
          <w:color w:val="7F7F7F" w:themeColor="text1" w:themeTint="80"/>
          <w:sz w:val="22"/>
          <w:szCs w:val="22"/>
          <w:lang w:val="en-GB"/>
        </w:rPr>
      </w:pPr>
    </w:p>
    <w:p w14:paraId="11CB8DF1" w14:textId="77777777" w:rsidR="00B212F8" w:rsidRPr="00834FFB" w:rsidRDefault="00B212F8" w:rsidP="00087F21">
      <w:pPr>
        <w:jc w:val="both"/>
        <w:rPr>
          <w:rFonts w:ascii="Arial" w:hAnsi="Arial" w:cs="Arial"/>
          <w:color w:val="7F7F7F" w:themeColor="text1" w:themeTint="80"/>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7C67" w14:textId="77777777" w:rsidR="00C224C2" w:rsidRDefault="00C224C2" w:rsidP="00241B44">
      <w:r>
        <w:separator/>
      </w:r>
    </w:p>
  </w:endnote>
  <w:endnote w:type="continuationSeparator" w:id="0">
    <w:p w14:paraId="35DCFB1F" w14:textId="77777777" w:rsidR="00C224C2" w:rsidRDefault="00C224C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C224C2" w:rsidRPr="00FC7B47" w:rsidRDefault="00C224C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C224C2" w:rsidRPr="00FC7B47" w:rsidRDefault="00C224C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4732495A" w:rsidR="00C224C2" w:rsidRPr="009B4976" w:rsidRDefault="00C224C2"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C5C92">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4652DD67" w14:textId="115D317C" w:rsidR="00C224C2" w:rsidRPr="009B4976" w:rsidRDefault="004C5C92" w:rsidP="009B4976">
    <w:pPr>
      <w:pStyle w:val="Footer"/>
      <w:ind w:right="360"/>
      <w:rPr>
        <w:rFonts w:ascii="Arial" w:hAnsi="Arial" w:cs="Arial"/>
        <w:sz w:val="18"/>
        <w:szCs w:val="18"/>
        <w:lang w:val="en-GB"/>
      </w:rPr>
    </w:pPr>
    <w:r>
      <w:rPr>
        <w:rFonts w:ascii="Arial" w:hAnsi="Arial" w:cs="Arial"/>
        <w:sz w:val="18"/>
        <w:szCs w:val="18"/>
      </w:rPr>
      <w:t>202122-604</w:t>
    </w:r>
    <w:r>
      <w:rPr>
        <w:rFonts w:ascii="Arial" w:hAnsi="Arial" w:cs="Arial"/>
        <w:sz w:val="18"/>
        <w:szCs w:val="18"/>
        <w:lang w:val="en-GB"/>
      </w:rPr>
      <w:t>.</w:t>
    </w:r>
    <w:r w:rsidR="00C224C2">
      <w:rPr>
        <w:rFonts w:ascii="Arial" w:hAnsi="Arial" w:cs="Arial"/>
        <w:sz w:val="18"/>
        <w:szCs w:val="18"/>
        <w:lang w:val="en-GB"/>
      </w:rPr>
      <w:fldChar w:fldCharType="begin"/>
    </w:r>
    <w:r w:rsidR="00C224C2">
      <w:rPr>
        <w:rFonts w:ascii="Arial" w:hAnsi="Arial" w:cs="Arial"/>
        <w:sz w:val="18"/>
        <w:szCs w:val="18"/>
        <w:lang w:val="en-GB"/>
      </w:rPr>
      <w:instrText xml:space="preserve"> DOCPROPERTY iManageFooter \* MERGEFORMAT </w:instrText>
    </w:r>
    <w:r w:rsidR="00C224C2">
      <w:rPr>
        <w:rFonts w:ascii="Arial" w:hAnsi="Arial" w:cs="Arial"/>
        <w:sz w:val="18"/>
        <w:szCs w:val="18"/>
        <w:lang w:val="en-GB"/>
      </w:rPr>
      <w:fldChar w:fldCharType="end"/>
    </w:r>
    <w:r w:rsidR="00C224C2" w:rsidRPr="009B4976">
      <w:rPr>
        <w:rFonts w:ascii="Arial" w:hAnsi="Arial" w:cs="Arial"/>
        <w:sz w:val="18"/>
        <w:szCs w:val="18"/>
        <w:lang w:val="en-GB"/>
      </w:rPr>
      <w:t>student</w:t>
    </w:r>
    <w:r w:rsidR="00C224C2">
      <w:rPr>
        <w:rFonts w:ascii="Arial" w:hAnsi="Arial" w:cs="Arial"/>
        <w:sz w:val="18"/>
        <w:szCs w:val="18"/>
        <w:lang w:val="en-GB"/>
      </w:rPr>
      <w:t>ID</w:t>
    </w:r>
    <w:r w:rsidR="00C224C2" w:rsidRPr="009B4976">
      <w:rPr>
        <w:rFonts w:ascii="Arial" w:hAnsi="Arial" w:cs="Arial"/>
        <w:sz w:val="18"/>
        <w:szCs w:val="18"/>
        <w:lang w:val="en-GB"/>
      </w:rPr>
      <w:t>.assessment</w:t>
    </w:r>
    <w:r w:rsidR="00C224C2">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77A6" w14:textId="77777777" w:rsidR="00C224C2" w:rsidRDefault="00C224C2" w:rsidP="00241B44">
      <w:r>
        <w:separator/>
      </w:r>
    </w:p>
  </w:footnote>
  <w:footnote w:type="continuationSeparator" w:id="0">
    <w:p w14:paraId="3F1E7D27" w14:textId="77777777" w:rsidR="00C224C2" w:rsidRDefault="00C224C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94FBC"/>
    <w:multiLevelType w:val="hybridMultilevel"/>
    <w:tmpl w:val="0B24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84AD5"/>
    <w:multiLevelType w:val="hybridMultilevel"/>
    <w:tmpl w:val="7C86AFFA"/>
    <w:lvl w:ilvl="0" w:tplc="FA9E4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1C6173"/>
    <w:multiLevelType w:val="hybridMultilevel"/>
    <w:tmpl w:val="7AA6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E37FC"/>
    <w:multiLevelType w:val="hybridMultilevel"/>
    <w:tmpl w:val="370C230A"/>
    <w:lvl w:ilvl="0" w:tplc="2AAC89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F87928"/>
    <w:multiLevelType w:val="hybridMultilevel"/>
    <w:tmpl w:val="6D7243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EA412F"/>
    <w:multiLevelType w:val="hybridMultilevel"/>
    <w:tmpl w:val="70BC4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5A6794"/>
    <w:multiLevelType w:val="hybridMultilevel"/>
    <w:tmpl w:val="ECD2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8C17147"/>
    <w:multiLevelType w:val="hybridMultilevel"/>
    <w:tmpl w:val="72E67116"/>
    <w:lvl w:ilvl="0" w:tplc="05807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7"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45B127B"/>
    <w:multiLevelType w:val="hybridMultilevel"/>
    <w:tmpl w:val="DB108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5"/>
  </w:num>
  <w:num w:numId="3">
    <w:abstractNumId w:val="21"/>
  </w:num>
  <w:num w:numId="4">
    <w:abstractNumId w:val="44"/>
  </w:num>
  <w:num w:numId="5">
    <w:abstractNumId w:val="22"/>
  </w:num>
  <w:num w:numId="6">
    <w:abstractNumId w:val="36"/>
  </w:num>
  <w:num w:numId="7">
    <w:abstractNumId w:val="46"/>
  </w:num>
  <w:num w:numId="8">
    <w:abstractNumId w:val="39"/>
  </w:num>
  <w:num w:numId="9">
    <w:abstractNumId w:val="19"/>
  </w:num>
  <w:num w:numId="10">
    <w:abstractNumId w:val="12"/>
  </w:num>
  <w:num w:numId="11">
    <w:abstractNumId w:val="14"/>
  </w:num>
  <w:num w:numId="12">
    <w:abstractNumId w:val="20"/>
  </w:num>
  <w:num w:numId="13">
    <w:abstractNumId w:val="28"/>
  </w:num>
  <w:num w:numId="14">
    <w:abstractNumId w:val="3"/>
  </w:num>
  <w:num w:numId="15">
    <w:abstractNumId w:val="15"/>
  </w:num>
  <w:num w:numId="16">
    <w:abstractNumId w:val="43"/>
  </w:num>
  <w:num w:numId="17">
    <w:abstractNumId w:val="7"/>
  </w:num>
  <w:num w:numId="18">
    <w:abstractNumId w:val="10"/>
  </w:num>
  <w:num w:numId="19">
    <w:abstractNumId w:val="32"/>
  </w:num>
  <w:num w:numId="20">
    <w:abstractNumId w:val="29"/>
  </w:num>
  <w:num w:numId="21">
    <w:abstractNumId w:val="2"/>
  </w:num>
  <w:num w:numId="22">
    <w:abstractNumId w:val="13"/>
  </w:num>
  <w:num w:numId="23">
    <w:abstractNumId w:val="49"/>
  </w:num>
  <w:num w:numId="24">
    <w:abstractNumId w:val="0"/>
  </w:num>
  <w:num w:numId="25">
    <w:abstractNumId w:val="37"/>
  </w:num>
  <w:num w:numId="26">
    <w:abstractNumId w:val="11"/>
  </w:num>
  <w:num w:numId="27">
    <w:abstractNumId w:val="17"/>
  </w:num>
  <w:num w:numId="28">
    <w:abstractNumId w:val="5"/>
  </w:num>
  <w:num w:numId="29">
    <w:abstractNumId w:val="8"/>
  </w:num>
  <w:num w:numId="30">
    <w:abstractNumId w:val="23"/>
  </w:num>
  <w:num w:numId="31">
    <w:abstractNumId w:val="31"/>
  </w:num>
  <w:num w:numId="32">
    <w:abstractNumId w:val="26"/>
  </w:num>
  <w:num w:numId="33">
    <w:abstractNumId w:val="33"/>
  </w:num>
  <w:num w:numId="34">
    <w:abstractNumId w:val="24"/>
  </w:num>
  <w:num w:numId="35">
    <w:abstractNumId w:val="18"/>
  </w:num>
  <w:num w:numId="36">
    <w:abstractNumId w:val="1"/>
  </w:num>
  <w:num w:numId="37">
    <w:abstractNumId w:val="34"/>
  </w:num>
  <w:num w:numId="38">
    <w:abstractNumId w:val="27"/>
  </w:num>
  <w:num w:numId="39">
    <w:abstractNumId w:val="42"/>
  </w:num>
  <w:num w:numId="40">
    <w:abstractNumId w:val="38"/>
  </w:num>
  <w:num w:numId="41">
    <w:abstractNumId w:val="6"/>
  </w:num>
  <w:num w:numId="42">
    <w:abstractNumId w:val="45"/>
  </w:num>
  <w:num w:numId="43">
    <w:abstractNumId w:val="30"/>
  </w:num>
  <w:num w:numId="44">
    <w:abstractNumId w:val="40"/>
  </w:num>
  <w:num w:numId="45">
    <w:abstractNumId w:val="41"/>
  </w:num>
  <w:num w:numId="46">
    <w:abstractNumId w:val="16"/>
  </w:num>
  <w:num w:numId="47">
    <w:abstractNumId w:val="35"/>
  </w:num>
  <w:num w:numId="48">
    <w:abstractNumId w:val="48"/>
  </w:num>
  <w:num w:numId="49">
    <w:abstractNumId w:val="9"/>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3FE"/>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E73AA"/>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16B"/>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2FDA"/>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C9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385F"/>
    <w:rsid w:val="005B67AC"/>
    <w:rsid w:val="005B79F4"/>
    <w:rsid w:val="005C5A6D"/>
    <w:rsid w:val="005D16DD"/>
    <w:rsid w:val="005D43E0"/>
    <w:rsid w:val="005D58A3"/>
    <w:rsid w:val="005E1B79"/>
    <w:rsid w:val="005E6076"/>
    <w:rsid w:val="005E7008"/>
    <w:rsid w:val="005F026D"/>
    <w:rsid w:val="005F2AEA"/>
    <w:rsid w:val="005F2D0B"/>
    <w:rsid w:val="005F4B31"/>
    <w:rsid w:val="00607469"/>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57EC7"/>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425B"/>
    <w:rsid w:val="007F659B"/>
    <w:rsid w:val="00803C72"/>
    <w:rsid w:val="0080454E"/>
    <w:rsid w:val="00804C32"/>
    <w:rsid w:val="00806302"/>
    <w:rsid w:val="00807119"/>
    <w:rsid w:val="0082483F"/>
    <w:rsid w:val="008279C0"/>
    <w:rsid w:val="00834FFB"/>
    <w:rsid w:val="00840F79"/>
    <w:rsid w:val="00845044"/>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4079"/>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3052"/>
    <w:rsid w:val="009D0811"/>
    <w:rsid w:val="009D0EE1"/>
    <w:rsid w:val="009D20B1"/>
    <w:rsid w:val="009D3F45"/>
    <w:rsid w:val="009D47B8"/>
    <w:rsid w:val="009E2AEB"/>
    <w:rsid w:val="009E2E27"/>
    <w:rsid w:val="009E45DF"/>
    <w:rsid w:val="009E4DE3"/>
    <w:rsid w:val="009F275E"/>
    <w:rsid w:val="009F578D"/>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212F8"/>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4411"/>
    <w:rsid w:val="00B9639B"/>
    <w:rsid w:val="00BA3AE6"/>
    <w:rsid w:val="00BA4008"/>
    <w:rsid w:val="00BB0F2B"/>
    <w:rsid w:val="00BC3A55"/>
    <w:rsid w:val="00BD56CF"/>
    <w:rsid w:val="00BE4FF3"/>
    <w:rsid w:val="00BF50F7"/>
    <w:rsid w:val="00C02F29"/>
    <w:rsid w:val="00C17718"/>
    <w:rsid w:val="00C20AFE"/>
    <w:rsid w:val="00C224C2"/>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4670"/>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325B"/>
    <w:rsid w:val="00EF556F"/>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040647F"/>
  <w14:defaultImageDpi w14:val="330"/>
  <w15:docId w15:val="{A3E9418F-C34E-4240-B636-7F62523E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3563-B9C6-4500-8F3F-7D5234F5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3771</Words>
  <Characters>21499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2022-08-01T09:19:00Z</dcterms:created>
  <dcterms:modified xsi:type="dcterms:W3CDTF">2022-08-01T09:19:00Z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