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EA15AC" w:rsidRDefault="00D21F62" w:rsidP="003C4BCB">
      <w:pPr>
        <w:pStyle w:val="ListParagraph"/>
        <w:numPr>
          <w:ilvl w:val="0"/>
          <w:numId w:val="2"/>
        </w:numPr>
        <w:ind w:left="426"/>
        <w:jc w:val="both"/>
        <w:rPr>
          <w:rFonts w:ascii="Arial" w:hAnsi="Arial" w:cs="Arial"/>
          <w:sz w:val="22"/>
          <w:szCs w:val="22"/>
          <w:highlight w:val="yellow"/>
          <w:lang w:val="en-GB"/>
        </w:rPr>
      </w:pPr>
      <w:r w:rsidRPr="00EA15AC">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EA15AC">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2813A6" w:rsidRDefault="006D217A" w:rsidP="006D217A">
      <w:pPr>
        <w:pStyle w:val="ListParagraph"/>
        <w:numPr>
          <w:ilvl w:val="0"/>
          <w:numId w:val="3"/>
        </w:numPr>
        <w:ind w:left="426"/>
        <w:jc w:val="both"/>
        <w:rPr>
          <w:rFonts w:ascii="Arial" w:hAnsi="Arial" w:cs="Arial"/>
          <w:iCs/>
          <w:sz w:val="22"/>
          <w:szCs w:val="22"/>
          <w:highlight w:val="yellow"/>
          <w:lang w:val="en-GB"/>
        </w:rPr>
      </w:pPr>
      <w:r w:rsidRPr="002813A6">
        <w:rPr>
          <w:rFonts w:ascii="Arial" w:hAnsi="Arial" w:cs="Arial"/>
          <w:iCs/>
          <w:sz w:val="22"/>
          <w:szCs w:val="22"/>
          <w:highlight w:val="yellow"/>
          <w:lang w:val="en-GB"/>
        </w:rPr>
        <w:t>False</w:t>
      </w:r>
      <w:r w:rsidR="00D21F62" w:rsidRPr="002813A6">
        <w:rPr>
          <w:rFonts w:ascii="Arial" w:hAnsi="Arial" w:cs="Arial"/>
          <w:iCs/>
          <w:sz w:val="22"/>
          <w:szCs w:val="22"/>
          <w:highlight w:val="yellow"/>
          <w:lang w:val="en-GB"/>
        </w:rPr>
        <w:t>.</w:t>
      </w:r>
      <w:r w:rsidRPr="002813A6">
        <w:rPr>
          <w:rFonts w:ascii="Arial" w:hAnsi="Arial" w:cs="Arial"/>
          <w:iCs/>
          <w:sz w:val="22"/>
          <w:szCs w:val="22"/>
          <w:highlight w:val="yellow"/>
          <w:lang w:val="en-GB"/>
        </w:rPr>
        <w:t xml:space="preserve"> </w:t>
      </w:r>
      <w:r w:rsidR="00D21F62" w:rsidRPr="002813A6">
        <w:rPr>
          <w:rFonts w:ascii="Arial" w:hAnsi="Arial" w:cs="Arial"/>
          <w:sz w:val="22"/>
          <w:szCs w:val="22"/>
          <w:highlight w:val="yellow"/>
          <w:lang w:val="en-GB"/>
        </w:rPr>
        <w:t>T</w:t>
      </w:r>
      <w:r w:rsidRPr="002813A6">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982CD8" w:rsidRDefault="00D21F62" w:rsidP="003C4BCB">
      <w:pPr>
        <w:pStyle w:val="ListParagraph"/>
        <w:numPr>
          <w:ilvl w:val="0"/>
          <w:numId w:val="4"/>
        </w:numPr>
        <w:ind w:left="426"/>
        <w:jc w:val="both"/>
        <w:rPr>
          <w:rFonts w:ascii="Arial" w:hAnsi="Arial" w:cs="Arial"/>
          <w:sz w:val="22"/>
          <w:szCs w:val="22"/>
          <w:highlight w:val="yellow"/>
          <w:lang w:val="en-GB"/>
        </w:rPr>
      </w:pPr>
      <w:r w:rsidRPr="00982CD8">
        <w:rPr>
          <w:rFonts w:ascii="Arial" w:hAnsi="Arial" w:cs="Arial"/>
          <w:sz w:val="22"/>
          <w:szCs w:val="22"/>
          <w:highlight w:val="yellow"/>
          <w:lang w:val="en-GB"/>
        </w:rPr>
        <w:lastRenderedPageBreak/>
        <w:t xml:space="preserve">False. While </w:t>
      </w:r>
      <w:proofErr w:type="gramStart"/>
      <w:r w:rsidRPr="00982CD8">
        <w:rPr>
          <w:rFonts w:ascii="Arial" w:hAnsi="Arial" w:cs="Arial"/>
          <w:sz w:val="22"/>
          <w:szCs w:val="22"/>
          <w:highlight w:val="yellow"/>
          <w:lang w:val="en-GB"/>
        </w:rPr>
        <w:t>a number of</w:t>
      </w:r>
      <w:proofErr w:type="gramEnd"/>
      <w:r w:rsidRPr="00982CD8">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2E065D" w:rsidRDefault="00971896" w:rsidP="003C4BCB">
      <w:pPr>
        <w:pStyle w:val="ListParagraph"/>
        <w:numPr>
          <w:ilvl w:val="0"/>
          <w:numId w:val="5"/>
        </w:numPr>
        <w:ind w:left="426"/>
        <w:jc w:val="both"/>
        <w:rPr>
          <w:rFonts w:ascii="Arial" w:hAnsi="Arial" w:cs="Arial"/>
          <w:sz w:val="22"/>
          <w:szCs w:val="22"/>
          <w:highlight w:val="yellow"/>
          <w:lang w:val="en-GB"/>
        </w:rPr>
      </w:pPr>
      <w:r w:rsidRPr="002E065D">
        <w:rPr>
          <w:rFonts w:ascii="Arial" w:hAnsi="Arial" w:cs="Arial"/>
          <w:sz w:val="22"/>
          <w:szCs w:val="22"/>
          <w:highlight w:val="yellow"/>
          <w:lang w:val="en-GB"/>
        </w:rPr>
        <w:t xml:space="preserve">Although the EIR Recast includes relevant and useful innovations, it has stuck with the framework of the </w:t>
      </w:r>
      <w:r w:rsidR="006F0106" w:rsidRPr="002E065D">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9545CF" w:rsidRDefault="008E7371" w:rsidP="003C4BCB">
      <w:pPr>
        <w:pStyle w:val="ListParagraph"/>
        <w:numPr>
          <w:ilvl w:val="0"/>
          <w:numId w:val="6"/>
        </w:numPr>
        <w:ind w:left="426"/>
        <w:jc w:val="both"/>
        <w:rPr>
          <w:rFonts w:ascii="Arial" w:hAnsi="Arial" w:cs="Arial"/>
          <w:sz w:val="22"/>
          <w:szCs w:val="22"/>
          <w:highlight w:val="yellow"/>
          <w:lang w:val="en-GB"/>
        </w:rPr>
      </w:pPr>
      <w:r w:rsidRPr="009545CF">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820736" w:rsidRDefault="00113E29" w:rsidP="00D509A5">
      <w:pPr>
        <w:pStyle w:val="ListParagraph"/>
        <w:numPr>
          <w:ilvl w:val="0"/>
          <w:numId w:val="7"/>
        </w:numPr>
        <w:ind w:left="426"/>
        <w:jc w:val="both"/>
        <w:rPr>
          <w:rFonts w:ascii="Arial" w:hAnsi="Arial" w:cs="Arial"/>
          <w:sz w:val="22"/>
          <w:szCs w:val="22"/>
          <w:highlight w:val="yellow"/>
          <w:lang w:val="en-GB"/>
        </w:rPr>
      </w:pPr>
      <w:r w:rsidRPr="00820736">
        <w:rPr>
          <w:rFonts w:ascii="Arial" w:hAnsi="Arial" w:cs="Arial"/>
          <w:sz w:val="22"/>
          <w:szCs w:val="22"/>
          <w:highlight w:val="yellow"/>
          <w:lang w:val="en-GB"/>
        </w:rPr>
        <w:t xml:space="preserve">The </w:t>
      </w:r>
      <w:r w:rsidR="008E7371" w:rsidRPr="00820736">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3F4D75" w:rsidRDefault="0034705B" w:rsidP="003C4BCB">
      <w:pPr>
        <w:pStyle w:val="ListParagraph"/>
        <w:numPr>
          <w:ilvl w:val="0"/>
          <w:numId w:val="8"/>
        </w:numPr>
        <w:ind w:left="426"/>
        <w:jc w:val="both"/>
        <w:rPr>
          <w:rFonts w:ascii="Arial" w:hAnsi="Arial" w:cs="Arial"/>
          <w:sz w:val="22"/>
          <w:szCs w:val="22"/>
          <w:highlight w:val="yellow"/>
          <w:lang w:val="en-GB"/>
        </w:rPr>
      </w:pPr>
      <w:r w:rsidRPr="003F4D75">
        <w:rPr>
          <w:rFonts w:ascii="Arial" w:hAnsi="Arial" w:cs="Arial"/>
          <w:sz w:val="22"/>
          <w:szCs w:val="22"/>
          <w:highlight w:val="yellow"/>
          <w:lang w:val="en-GB"/>
        </w:rPr>
        <w:t>“</w:t>
      </w:r>
      <w:r w:rsidR="00F814B4" w:rsidRPr="003F4D75">
        <w:rPr>
          <w:rFonts w:ascii="Arial" w:hAnsi="Arial" w:cs="Arial"/>
          <w:sz w:val="22"/>
          <w:szCs w:val="22"/>
          <w:highlight w:val="yellow"/>
          <w:lang w:val="en-GB"/>
        </w:rPr>
        <w:t>Synthetic proceedings</w:t>
      </w:r>
      <w:r w:rsidRPr="003F4D75">
        <w:rPr>
          <w:rFonts w:ascii="Arial" w:hAnsi="Arial" w:cs="Arial"/>
          <w:sz w:val="22"/>
          <w:szCs w:val="22"/>
          <w:highlight w:val="yellow"/>
          <w:lang w:val="en-GB"/>
        </w:rPr>
        <w:t>”</w:t>
      </w:r>
      <w:r w:rsidR="00F814B4" w:rsidRPr="003F4D75">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060E78" w:rsidRDefault="00F814B4" w:rsidP="00F814B4">
      <w:pPr>
        <w:pStyle w:val="ListParagraph"/>
        <w:numPr>
          <w:ilvl w:val="0"/>
          <w:numId w:val="10"/>
        </w:numPr>
        <w:ind w:left="426"/>
        <w:jc w:val="both"/>
        <w:rPr>
          <w:rFonts w:ascii="Arial" w:hAnsi="Arial" w:cs="Arial"/>
          <w:sz w:val="22"/>
          <w:szCs w:val="22"/>
          <w:highlight w:val="yellow"/>
          <w:lang w:val="en-GB"/>
        </w:rPr>
      </w:pPr>
      <w:r w:rsidRPr="00060E78">
        <w:rPr>
          <w:rFonts w:ascii="Arial" w:hAnsi="Arial" w:cs="Arial"/>
          <w:sz w:val="22"/>
          <w:szCs w:val="22"/>
          <w:highlight w:val="yellow"/>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D3410C" w:rsidRDefault="00375D11" w:rsidP="00375D11">
      <w:pPr>
        <w:pStyle w:val="ListParagraph"/>
        <w:numPr>
          <w:ilvl w:val="0"/>
          <w:numId w:val="9"/>
        </w:numPr>
        <w:ind w:left="426"/>
        <w:jc w:val="both"/>
        <w:rPr>
          <w:rFonts w:ascii="Arial" w:hAnsi="Arial" w:cs="Arial"/>
          <w:sz w:val="22"/>
          <w:szCs w:val="22"/>
          <w:highlight w:val="yellow"/>
          <w:lang w:val="en-GB"/>
        </w:rPr>
      </w:pPr>
      <w:r w:rsidRPr="00D3410C">
        <w:rPr>
          <w:rFonts w:ascii="Arial" w:hAnsi="Arial" w:cs="Arial"/>
          <w:sz w:val="22"/>
          <w:szCs w:val="22"/>
          <w:highlight w:val="yellow"/>
          <w:lang w:val="en-GB"/>
        </w:rPr>
        <w:t xml:space="preserve">The contested transactions cannot be avoided if Lacroix SARL can prove that the </w:t>
      </w:r>
      <w:r w:rsidRPr="00D3410C">
        <w:rPr>
          <w:rFonts w:ascii="Arial" w:hAnsi="Arial" w:cs="Arial"/>
          <w:i/>
          <w:sz w:val="22"/>
          <w:szCs w:val="22"/>
          <w:highlight w:val="yellow"/>
          <w:lang w:val="en-GB"/>
        </w:rPr>
        <w:t xml:space="preserve">lex </w:t>
      </w:r>
      <w:proofErr w:type="spellStart"/>
      <w:r w:rsidRPr="00D3410C">
        <w:rPr>
          <w:rFonts w:ascii="Arial" w:hAnsi="Arial" w:cs="Arial"/>
          <w:i/>
          <w:sz w:val="22"/>
          <w:szCs w:val="22"/>
          <w:highlight w:val="yellow"/>
          <w:lang w:val="en-GB"/>
        </w:rPr>
        <w:t>causae</w:t>
      </w:r>
      <w:proofErr w:type="spellEnd"/>
      <w:r w:rsidRPr="00D3410C">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D3410C">
        <w:rPr>
          <w:rFonts w:ascii="Arial" w:hAnsi="Arial" w:cs="Arial"/>
          <w:sz w:val="22"/>
          <w:szCs w:val="22"/>
          <w:highlight w:val="yellow"/>
          <w:lang w:val="en-GB"/>
        </w:rPr>
        <w:t>transactions, and</w:t>
      </w:r>
      <w:proofErr w:type="gramEnd"/>
      <w:r w:rsidRPr="00D3410C">
        <w:rPr>
          <w:rFonts w:ascii="Arial" w:hAnsi="Arial" w:cs="Arial"/>
          <w:sz w:val="22"/>
          <w:szCs w:val="22"/>
          <w:highlight w:val="yellow"/>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0B6C7A" w:rsidRDefault="00FC48D8" w:rsidP="003C4BCB">
      <w:pPr>
        <w:pStyle w:val="ListParagraph"/>
        <w:numPr>
          <w:ilvl w:val="0"/>
          <w:numId w:val="11"/>
        </w:numPr>
        <w:ind w:left="426"/>
        <w:jc w:val="both"/>
        <w:rPr>
          <w:rFonts w:ascii="Arial" w:hAnsi="Arial" w:cs="Arial"/>
          <w:sz w:val="22"/>
          <w:szCs w:val="22"/>
          <w:highlight w:val="yellow"/>
          <w:lang w:val="en-GB"/>
        </w:rPr>
      </w:pPr>
      <w:r w:rsidRPr="000B6C7A">
        <w:rPr>
          <w:rFonts w:ascii="Arial" w:hAnsi="Arial" w:cs="Arial"/>
          <w:sz w:val="22"/>
          <w:szCs w:val="22"/>
          <w:highlight w:val="yellow"/>
          <w:lang w:val="en-GB"/>
        </w:rPr>
        <w:t xml:space="preserve">Within </w:t>
      </w:r>
      <w:r w:rsidR="006F2B12" w:rsidRPr="000B6C7A">
        <w:rPr>
          <w:rFonts w:ascii="Arial" w:hAnsi="Arial" w:cs="Arial"/>
          <w:sz w:val="22"/>
          <w:szCs w:val="22"/>
          <w:highlight w:val="yellow"/>
          <w:lang w:val="en-GB"/>
        </w:rPr>
        <w:t>one month</w:t>
      </w:r>
      <w:r w:rsidRPr="000B6C7A">
        <w:rPr>
          <w:rFonts w:ascii="Arial" w:hAnsi="Arial" w:cs="Arial"/>
          <w:sz w:val="22"/>
          <w:szCs w:val="22"/>
          <w:highlight w:val="yellow"/>
          <w:lang w:val="en-GB"/>
        </w:rPr>
        <w:t xml:space="preserve">, as stipulated in the applicable </w:t>
      </w:r>
      <w:r w:rsidRPr="000B6C7A">
        <w:rPr>
          <w:rFonts w:ascii="Arial" w:hAnsi="Arial" w:cs="Arial"/>
          <w:i/>
          <w:sz w:val="22"/>
          <w:szCs w:val="22"/>
          <w:highlight w:val="yellow"/>
          <w:lang w:val="en-GB"/>
        </w:rPr>
        <w:t xml:space="preserve">lex concursus </w:t>
      </w:r>
      <w:proofErr w:type="spellStart"/>
      <w:r w:rsidRPr="000B6C7A">
        <w:rPr>
          <w:rFonts w:ascii="Arial" w:hAnsi="Arial" w:cs="Arial"/>
          <w:i/>
          <w:sz w:val="22"/>
          <w:szCs w:val="22"/>
          <w:highlight w:val="yellow"/>
          <w:lang w:val="en-GB"/>
        </w:rPr>
        <w:t>secundarii</w:t>
      </w:r>
      <w:proofErr w:type="spellEnd"/>
      <w:r w:rsidRPr="000B6C7A">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89819B8" w:rsidR="00636C15" w:rsidRDefault="00636C15" w:rsidP="00636C15">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49CD1835" w14:textId="77777777" w:rsidR="008E7D0A" w:rsidRDefault="008E7D0A" w:rsidP="00636C15">
      <w:pPr>
        <w:ind w:left="720" w:hanging="720"/>
        <w:jc w:val="both"/>
        <w:rPr>
          <w:rFonts w:ascii="Arial" w:hAnsi="Arial" w:cs="Arial"/>
          <w:b/>
          <w:bCs/>
          <w:sz w:val="22"/>
          <w:szCs w:val="22"/>
          <w:lang w:val="en-GB"/>
        </w:rPr>
      </w:pPr>
    </w:p>
    <w:p w14:paraId="11CC996D" w14:textId="10849822" w:rsidR="00BB145D" w:rsidRPr="00BB145D" w:rsidRDefault="00BB145D" w:rsidP="00636C15">
      <w:pPr>
        <w:ind w:left="720" w:hanging="720"/>
        <w:jc w:val="both"/>
        <w:rPr>
          <w:rFonts w:ascii="Arial" w:hAnsi="Arial" w:cs="Arial"/>
          <w:b/>
          <w:bCs/>
          <w:sz w:val="22"/>
          <w:szCs w:val="22"/>
          <w:lang w:val="en-GB"/>
        </w:rPr>
      </w:pPr>
      <w:r w:rsidRPr="00BB145D">
        <w:rPr>
          <w:rFonts w:ascii="Arial" w:hAnsi="Arial" w:cs="Arial"/>
          <w:b/>
          <w:bCs/>
          <w:sz w:val="22"/>
          <w:szCs w:val="22"/>
          <w:lang w:val="en-GB"/>
        </w:rPr>
        <w:t xml:space="preserve">Answer: </w:t>
      </w:r>
    </w:p>
    <w:p w14:paraId="4D9C9496" w14:textId="77777777" w:rsidR="008E7D0A" w:rsidRDefault="008E7D0A" w:rsidP="00636C15">
      <w:pPr>
        <w:ind w:left="720" w:hanging="720"/>
        <w:jc w:val="both"/>
        <w:rPr>
          <w:rFonts w:ascii="Arial" w:hAnsi="Arial" w:cs="Arial"/>
          <w:sz w:val="22"/>
          <w:szCs w:val="22"/>
          <w:lang w:val="en-GB"/>
        </w:rPr>
      </w:pPr>
    </w:p>
    <w:p w14:paraId="7E1FAAE4" w14:textId="032DDFB7" w:rsidR="00BB145D" w:rsidRDefault="008E7D0A" w:rsidP="008E7D0A">
      <w:pPr>
        <w:pStyle w:val="ListParagraph"/>
        <w:numPr>
          <w:ilvl w:val="0"/>
          <w:numId w:val="12"/>
        </w:numPr>
        <w:jc w:val="both"/>
        <w:rPr>
          <w:rFonts w:ascii="Arial" w:hAnsi="Arial" w:cs="Arial"/>
          <w:sz w:val="22"/>
          <w:szCs w:val="22"/>
          <w:lang w:val="en-GB"/>
        </w:rPr>
      </w:pPr>
      <w:r>
        <w:rPr>
          <w:rFonts w:ascii="Arial" w:hAnsi="Arial" w:cs="Arial"/>
          <w:b/>
          <w:bCs/>
          <w:sz w:val="22"/>
          <w:szCs w:val="22"/>
          <w:lang w:val="en-GB"/>
        </w:rPr>
        <w:t xml:space="preserve">In re </w:t>
      </w:r>
      <w:r w:rsidR="00BB145D" w:rsidRPr="008E7D0A">
        <w:rPr>
          <w:rFonts w:ascii="Arial" w:hAnsi="Arial" w:cs="Arial"/>
          <w:b/>
          <w:bCs/>
          <w:sz w:val="22"/>
          <w:szCs w:val="22"/>
          <w:lang w:val="en-GB"/>
        </w:rPr>
        <w:t xml:space="preserve">Statement 1: </w:t>
      </w:r>
      <w:r w:rsidR="004924C7" w:rsidRPr="008E7D0A">
        <w:rPr>
          <w:rFonts w:ascii="Arial" w:hAnsi="Arial" w:cs="Arial"/>
          <w:sz w:val="22"/>
          <w:szCs w:val="22"/>
          <w:lang w:val="en-GB"/>
        </w:rPr>
        <w:t xml:space="preserve">Right to </w:t>
      </w:r>
      <w:r w:rsidR="00793561" w:rsidRPr="008E7D0A">
        <w:rPr>
          <w:rFonts w:ascii="Arial" w:hAnsi="Arial" w:cs="Arial"/>
          <w:sz w:val="22"/>
          <w:szCs w:val="22"/>
          <w:lang w:val="en-GB"/>
        </w:rPr>
        <w:t>G</w:t>
      </w:r>
      <w:r w:rsidR="004924C7" w:rsidRPr="008E7D0A">
        <w:rPr>
          <w:rFonts w:ascii="Arial" w:hAnsi="Arial" w:cs="Arial"/>
          <w:sz w:val="22"/>
          <w:szCs w:val="22"/>
          <w:lang w:val="en-GB"/>
        </w:rPr>
        <w:t xml:space="preserve">ive an </w:t>
      </w:r>
      <w:r w:rsidR="00793561" w:rsidRPr="008E7D0A">
        <w:rPr>
          <w:rFonts w:ascii="Arial" w:hAnsi="Arial" w:cs="Arial"/>
          <w:sz w:val="22"/>
          <w:szCs w:val="22"/>
          <w:lang w:val="en-GB"/>
        </w:rPr>
        <w:t>U</w:t>
      </w:r>
      <w:r w:rsidR="004924C7" w:rsidRPr="008E7D0A">
        <w:rPr>
          <w:rFonts w:ascii="Arial" w:hAnsi="Arial" w:cs="Arial"/>
          <w:sz w:val="22"/>
          <w:szCs w:val="22"/>
          <w:lang w:val="en-GB"/>
        </w:rPr>
        <w:t>ndertaking (“</w:t>
      </w:r>
      <w:r w:rsidR="00BB145D" w:rsidRPr="008E7D0A">
        <w:rPr>
          <w:rFonts w:ascii="Arial" w:hAnsi="Arial" w:cs="Arial"/>
          <w:sz w:val="22"/>
          <w:szCs w:val="22"/>
          <w:lang w:val="en-GB"/>
        </w:rPr>
        <w:t>Synthetic</w:t>
      </w:r>
      <w:r w:rsidR="004924C7" w:rsidRPr="008E7D0A">
        <w:rPr>
          <w:rFonts w:ascii="Arial" w:hAnsi="Arial" w:cs="Arial"/>
          <w:sz w:val="22"/>
          <w:szCs w:val="22"/>
          <w:lang w:val="en-GB"/>
        </w:rPr>
        <w:t>” Secondary</w:t>
      </w:r>
      <w:r w:rsidR="00BB145D" w:rsidRPr="008E7D0A">
        <w:rPr>
          <w:rFonts w:ascii="Arial" w:hAnsi="Arial" w:cs="Arial"/>
          <w:sz w:val="22"/>
          <w:szCs w:val="22"/>
          <w:lang w:val="en-GB"/>
        </w:rPr>
        <w:t xml:space="preserve"> Proceedings</w:t>
      </w:r>
      <w:r w:rsidR="004924C7" w:rsidRPr="008E7D0A">
        <w:rPr>
          <w:rFonts w:ascii="Arial" w:hAnsi="Arial" w:cs="Arial"/>
          <w:sz w:val="22"/>
          <w:szCs w:val="22"/>
          <w:lang w:val="en-GB"/>
        </w:rPr>
        <w:t>)</w:t>
      </w:r>
      <w:r w:rsidR="00793561" w:rsidRPr="008E7D0A">
        <w:rPr>
          <w:rFonts w:ascii="Arial" w:hAnsi="Arial" w:cs="Arial"/>
          <w:sz w:val="22"/>
          <w:szCs w:val="22"/>
          <w:lang w:val="en-GB"/>
        </w:rPr>
        <w:t>:</w:t>
      </w:r>
      <w:r w:rsidR="00BB145D" w:rsidRPr="008E7D0A">
        <w:rPr>
          <w:rFonts w:ascii="Arial" w:hAnsi="Arial" w:cs="Arial"/>
          <w:sz w:val="22"/>
          <w:szCs w:val="22"/>
          <w:lang w:val="en-GB"/>
        </w:rPr>
        <w:t xml:space="preserve"> </w:t>
      </w:r>
      <w:r w:rsidR="00090654" w:rsidRPr="008E7D0A">
        <w:rPr>
          <w:rFonts w:ascii="Arial" w:hAnsi="Arial" w:cs="Arial"/>
          <w:sz w:val="22"/>
          <w:szCs w:val="22"/>
          <w:lang w:val="en-GB"/>
        </w:rPr>
        <w:t>Article 36.</w:t>
      </w:r>
    </w:p>
    <w:p w14:paraId="3F518041" w14:textId="77777777" w:rsidR="008E7D0A" w:rsidRPr="008E7D0A" w:rsidRDefault="008E7D0A" w:rsidP="008E7D0A">
      <w:pPr>
        <w:pStyle w:val="ListParagraph"/>
        <w:jc w:val="both"/>
        <w:rPr>
          <w:rFonts w:ascii="Arial" w:hAnsi="Arial" w:cs="Arial"/>
          <w:sz w:val="22"/>
          <w:szCs w:val="22"/>
          <w:lang w:val="en-GB"/>
        </w:rPr>
      </w:pPr>
    </w:p>
    <w:p w14:paraId="4DF1DCE3" w14:textId="3191D252" w:rsidR="00090654" w:rsidRPr="008E7D0A" w:rsidRDefault="008E7D0A" w:rsidP="008E7D0A">
      <w:pPr>
        <w:pStyle w:val="ListParagraph"/>
        <w:numPr>
          <w:ilvl w:val="0"/>
          <w:numId w:val="12"/>
        </w:numPr>
        <w:jc w:val="both"/>
        <w:rPr>
          <w:rFonts w:ascii="Arial" w:hAnsi="Arial" w:cs="Arial"/>
          <w:sz w:val="22"/>
          <w:szCs w:val="22"/>
        </w:rPr>
      </w:pPr>
      <w:r w:rsidRPr="008E7D0A">
        <w:rPr>
          <w:rFonts w:ascii="Arial" w:hAnsi="Arial" w:cs="Arial"/>
          <w:b/>
          <w:bCs/>
          <w:sz w:val="22"/>
          <w:szCs w:val="22"/>
          <w:lang w:val="en-GB"/>
        </w:rPr>
        <w:t xml:space="preserve">In re </w:t>
      </w:r>
      <w:r w:rsidR="00090654" w:rsidRPr="008E7D0A">
        <w:rPr>
          <w:rFonts w:ascii="Arial" w:hAnsi="Arial" w:cs="Arial"/>
          <w:b/>
          <w:bCs/>
          <w:sz w:val="22"/>
          <w:szCs w:val="22"/>
          <w:lang w:val="en-GB"/>
        </w:rPr>
        <w:t>Statement 2:</w:t>
      </w:r>
      <w:r w:rsidR="00090654" w:rsidRPr="008E7D0A">
        <w:rPr>
          <w:rFonts w:ascii="Arial" w:hAnsi="Arial" w:cs="Arial"/>
          <w:sz w:val="22"/>
          <w:szCs w:val="22"/>
          <w:lang w:val="en-GB"/>
        </w:rPr>
        <w:t xml:space="preserve"> </w:t>
      </w:r>
      <w:r w:rsidR="00B50CBF" w:rsidRPr="008E7D0A">
        <w:rPr>
          <w:rFonts w:ascii="Arial" w:hAnsi="Arial" w:cs="Arial"/>
          <w:sz w:val="22"/>
          <w:szCs w:val="22"/>
          <w:lang w:val="en-GB"/>
        </w:rPr>
        <w:t xml:space="preserve">Recognition and </w:t>
      </w:r>
      <w:r w:rsidR="00793561" w:rsidRPr="008E7D0A">
        <w:rPr>
          <w:rFonts w:ascii="Arial" w:hAnsi="Arial" w:cs="Arial"/>
          <w:sz w:val="22"/>
          <w:szCs w:val="22"/>
          <w:lang w:val="en-GB"/>
        </w:rPr>
        <w:t>Enforcement of Insolvency Related Judgements:</w:t>
      </w:r>
      <w:r w:rsidR="004924C7" w:rsidRPr="008E7D0A">
        <w:rPr>
          <w:rFonts w:ascii="Arial" w:hAnsi="Arial" w:cs="Arial"/>
          <w:sz w:val="22"/>
          <w:szCs w:val="22"/>
          <w:lang w:val="en-GB"/>
        </w:rPr>
        <w:t xml:space="preserve"> Article 19</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77777777" w:rsidR="00636C15" w:rsidRPr="005D2CD6" w:rsidRDefault="00636C15" w:rsidP="00636C15">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5D54927C" w14:textId="77777777" w:rsidR="008E7D0A" w:rsidRDefault="008E7D0A" w:rsidP="003B650A">
      <w:pPr>
        <w:jc w:val="both"/>
        <w:rPr>
          <w:rFonts w:ascii="Arial" w:hAnsi="Arial" w:cs="Arial"/>
          <w:b/>
          <w:bCs/>
          <w:sz w:val="22"/>
          <w:szCs w:val="22"/>
          <w:lang w:val="en-GB"/>
        </w:rPr>
      </w:pPr>
    </w:p>
    <w:p w14:paraId="33805BF1" w14:textId="613C31EF" w:rsidR="00A5516C" w:rsidRPr="00A5516C" w:rsidRDefault="00A5516C" w:rsidP="003B650A">
      <w:pPr>
        <w:jc w:val="both"/>
        <w:rPr>
          <w:rFonts w:ascii="Arial" w:hAnsi="Arial" w:cs="Arial"/>
          <w:b/>
          <w:bCs/>
          <w:sz w:val="22"/>
          <w:szCs w:val="22"/>
          <w:lang w:val="en-GB"/>
        </w:rPr>
      </w:pPr>
      <w:r w:rsidRPr="00A5516C">
        <w:rPr>
          <w:rFonts w:ascii="Arial" w:hAnsi="Arial" w:cs="Arial"/>
          <w:b/>
          <w:bCs/>
          <w:sz w:val="22"/>
          <w:szCs w:val="22"/>
          <w:lang w:val="en-GB"/>
        </w:rPr>
        <w:t>Answer:</w:t>
      </w:r>
    </w:p>
    <w:p w14:paraId="64F68AEA" w14:textId="77777777" w:rsidR="008E7D0A" w:rsidRDefault="008E7D0A" w:rsidP="003B650A">
      <w:pPr>
        <w:jc w:val="both"/>
        <w:rPr>
          <w:rFonts w:ascii="Arial" w:hAnsi="Arial" w:cs="Arial"/>
          <w:sz w:val="22"/>
          <w:szCs w:val="22"/>
          <w:lang w:val="en-GB"/>
        </w:rPr>
      </w:pPr>
    </w:p>
    <w:p w14:paraId="23C30AD5" w14:textId="77777777" w:rsidR="008D0C07" w:rsidRDefault="003E26C3" w:rsidP="003B650A">
      <w:pPr>
        <w:jc w:val="both"/>
        <w:rPr>
          <w:rFonts w:ascii="Arial" w:hAnsi="Arial" w:cs="Arial"/>
          <w:sz w:val="22"/>
          <w:szCs w:val="22"/>
          <w:lang w:val="en-GB"/>
        </w:rPr>
      </w:pPr>
      <w:r w:rsidRPr="003B650A">
        <w:rPr>
          <w:rFonts w:ascii="Arial" w:hAnsi="Arial" w:cs="Arial"/>
          <w:sz w:val="22"/>
          <w:szCs w:val="22"/>
          <w:lang w:val="en-GB"/>
        </w:rPr>
        <w:t>Article 3(1) EIR 2000</w:t>
      </w:r>
      <w:r>
        <w:rPr>
          <w:rFonts w:ascii="Arial" w:hAnsi="Arial" w:cs="Arial"/>
          <w:sz w:val="22"/>
          <w:szCs w:val="22"/>
          <w:lang w:val="en-GB"/>
        </w:rPr>
        <w:t xml:space="preserve">: </w:t>
      </w:r>
      <w:r w:rsidR="008D0C07" w:rsidRPr="008D0C07">
        <w:rPr>
          <w:rFonts w:ascii="Arial" w:hAnsi="Arial" w:cs="Arial"/>
          <w:sz w:val="22"/>
          <w:szCs w:val="22"/>
          <w:lang w:val="en-GB"/>
        </w:rPr>
        <w:t>The overarching principle guiding the EIR 2000 was modified universalism, which is also the one guiding the EU Convention. Most significantly, it established that the location of the debtor's centre of major interest, or COMI, might be used to start (main) insolvency proceedings.</w:t>
      </w:r>
    </w:p>
    <w:p w14:paraId="262A5764" w14:textId="77777777" w:rsidR="008D0C07" w:rsidRDefault="008D0C07" w:rsidP="003B650A">
      <w:pPr>
        <w:jc w:val="both"/>
        <w:rPr>
          <w:rFonts w:ascii="Arial" w:hAnsi="Arial" w:cs="Arial"/>
          <w:sz w:val="22"/>
          <w:szCs w:val="22"/>
          <w:lang w:val="en-GB"/>
        </w:rPr>
      </w:pPr>
    </w:p>
    <w:p w14:paraId="504698ED" w14:textId="212F517C" w:rsidR="00C34D2A" w:rsidRDefault="008D0C07" w:rsidP="003B650A">
      <w:pPr>
        <w:jc w:val="both"/>
        <w:rPr>
          <w:rFonts w:ascii="Arial" w:hAnsi="Arial" w:cs="Arial"/>
          <w:sz w:val="22"/>
          <w:szCs w:val="22"/>
          <w:lang w:val="en-GB"/>
        </w:rPr>
      </w:pPr>
      <w:r w:rsidRPr="003B650A">
        <w:rPr>
          <w:rFonts w:ascii="Arial" w:hAnsi="Arial" w:cs="Arial"/>
          <w:sz w:val="22"/>
          <w:szCs w:val="22"/>
          <w:lang w:val="en-GB"/>
        </w:rPr>
        <w:t>Article 4 EIR 2000</w:t>
      </w:r>
      <w:r>
        <w:rPr>
          <w:rFonts w:ascii="Arial" w:hAnsi="Arial" w:cs="Arial"/>
          <w:sz w:val="22"/>
          <w:szCs w:val="22"/>
          <w:lang w:val="en-GB"/>
        </w:rPr>
        <w:t xml:space="preserve">: </w:t>
      </w:r>
      <w:r w:rsidR="00F13D95" w:rsidRPr="00F13D95">
        <w:rPr>
          <w:rFonts w:ascii="Arial" w:hAnsi="Arial" w:cs="Arial"/>
          <w:sz w:val="22"/>
          <w:szCs w:val="22"/>
          <w:lang w:val="en-GB"/>
        </w:rPr>
        <w:t xml:space="preserve">Such procedures included </w:t>
      </w:r>
      <w:proofErr w:type="gramStart"/>
      <w:r w:rsidR="00F13D95" w:rsidRPr="00F13D95">
        <w:rPr>
          <w:rFonts w:ascii="Arial" w:hAnsi="Arial" w:cs="Arial"/>
          <w:sz w:val="22"/>
          <w:szCs w:val="22"/>
          <w:lang w:val="en-GB"/>
        </w:rPr>
        <w:t>all of</w:t>
      </w:r>
      <w:proofErr w:type="gramEnd"/>
      <w:r w:rsidR="00F13D95" w:rsidRPr="00F13D95">
        <w:rPr>
          <w:rFonts w:ascii="Arial" w:hAnsi="Arial" w:cs="Arial"/>
          <w:sz w:val="22"/>
          <w:szCs w:val="22"/>
          <w:lang w:val="en-GB"/>
        </w:rPr>
        <w:t xml:space="preserve"> the debtor's assets in the EU and had a global reach. The EIR 2000 further stipulated that the outcomes of insolvency processes will be governed by the lex concursus of the state in which they are commenced.</w:t>
      </w:r>
    </w:p>
    <w:p w14:paraId="2A4C6D3B" w14:textId="77777777" w:rsidR="008D0C07" w:rsidRDefault="008D0C07" w:rsidP="003B650A">
      <w:pPr>
        <w:jc w:val="both"/>
        <w:rPr>
          <w:rFonts w:ascii="Arial" w:hAnsi="Arial" w:cs="Arial"/>
          <w:sz w:val="22"/>
          <w:szCs w:val="22"/>
          <w:lang w:val="en-GB"/>
        </w:rPr>
      </w:pPr>
    </w:p>
    <w:p w14:paraId="11AC5577" w14:textId="79032CFF" w:rsidR="00561499" w:rsidRDefault="008D0C07" w:rsidP="003B650A">
      <w:pPr>
        <w:jc w:val="both"/>
        <w:rPr>
          <w:rFonts w:ascii="Arial" w:hAnsi="Arial" w:cs="Arial"/>
          <w:sz w:val="22"/>
          <w:szCs w:val="22"/>
          <w:lang w:val="en-GB"/>
        </w:rPr>
      </w:pPr>
      <w:r w:rsidRPr="003B650A">
        <w:rPr>
          <w:rFonts w:ascii="Arial" w:hAnsi="Arial" w:cs="Arial"/>
          <w:sz w:val="22"/>
          <w:szCs w:val="22"/>
          <w:lang w:val="en-GB"/>
        </w:rPr>
        <w:t>Articles 16, 17 and 25 EIR 2000</w:t>
      </w:r>
      <w:r>
        <w:rPr>
          <w:rFonts w:ascii="Arial" w:hAnsi="Arial" w:cs="Arial"/>
          <w:sz w:val="22"/>
          <w:szCs w:val="22"/>
          <w:lang w:val="en-GB"/>
        </w:rPr>
        <w:t xml:space="preserve">: </w:t>
      </w:r>
      <w:r w:rsidR="00034A70" w:rsidRPr="00034A70">
        <w:rPr>
          <w:rFonts w:ascii="Arial" w:hAnsi="Arial" w:cs="Arial"/>
          <w:sz w:val="22"/>
          <w:szCs w:val="22"/>
          <w:lang w:val="en-GB"/>
        </w:rPr>
        <w:t>It allowed for the automatic recognition of judgements initiating insolvency procedures, as well as judgments pertaining to their progression and conclusion. The EIR 2000 system was not entirely global, nevertheless, since it allowed for the opening of supplementary (territorial) procedures in Member States where the debtor maintained an establishment.</w:t>
      </w: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1705E90E" w:rsidR="00C72848" w:rsidRPr="005D2CD6" w:rsidRDefault="00C72848" w:rsidP="002A37BB">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5A2E1EE5" w14:textId="77777777" w:rsidR="00B635C8" w:rsidRDefault="00B635C8" w:rsidP="00A27F32">
      <w:pPr>
        <w:jc w:val="both"/>
        <w:rPr>
          <w:rFonts w:ascii="Arial" w:hAnsi="Arial" w:cs="Arial"/>
          <w:bCs/>
          <w:sz w:val="22"/>
          <w:szCs w:val="22"/>
          <w:lang w:val="en-GB"/>
        </w:rPr>
      </w:pPr>
    </w:p>
    <w:p w14:paraId="7C5A9EC5" w14:textId="77777777" w:rsidR="00AD5D70" w:rsidRDefault="00AD5D70" w:rsidP="00A27F32">
      <w:pPr>
        <w:jc w:val="both"/>
        <w:rPr>
          <w:rFonts w:ascii="Arial" w:hAnsi="Arial" w:cs="Arial"/>
          <w:b/>
          <w:sz w:val="22"/>
          <w:szCs w:val="22"/>
          <w:lang w:val="en-GB"/>
        </w:rPr>
      </w:pPr>
      <w:r>
        <w:rPr>
          <w:rFonts w:ascii="Arial" w:hAnsi="Arial" w:cs="Arial"/>
          <w:b/>
          <w:sz w:val="22"/>
          <w:szCs w:val="22"/>
          <w:lang w:val="en-GB"/>
        </w:rPr>
        <w:t xml:space="preserve">Answer: </w:t>
      </w:r>
    </w:p>
    <w:p w14:paraId="33AB4763" w14:textId="77777777" w:rsidR="00AD5D70" w:rsidRDefault="00AD5D70" w:rsidP="00A27F32">
      <w:pPr>
        <w:jc w:val="both"/>
        <w:rPr>
          <w:rFonts w:ascii="Arial" w:hAnsi="Arial" w:cs="Arial"/>
          <w:b/>
          <w:sz w:val="22"/>
          <w:szCs w:val="22"/>
          <w:lang w:val="en-GB"/>
        </w:rPr>
      </w:pPr>
    </w:p>
    <w:p w14:paraId="0DA53153" w14:textId="3B89E1E1" w:rsidR="00A27F32" w:rsidRPr="00AD5D70" w:rsidRDefault="004409C7" w:rsidP="00A27F32">
      <w:pPr>
        <w:jc w:val="both"/>
        <w:rPr>
          <w:rFonts w:ascii="Arial" w:hAnsi="Arial" w:cs="Arial"/>
          <w:b/>
          <w:sz w:val="22"/>
          <w:szCs w:val="22"/>
          <w:lang w:val="en-GB"/>
        </w:rPr>
      </w:pPr>
      <w:r w:rsidRPr="00AD5D70">
        <w:rPr>
          <w:rFonts w:ascii="Arial" w:hAnsi="Arial" w:cs="Arial"/>
          <w:b/>
          <w:sz w:val="22"/>
          <w:szCs w:val="22"/>
          <w:lang w:val="en-GB"/>
        </w:rPr>
        <w:t>Communication and Co-Operation in European Insolvency Cases</w:t>
      </w:r>
    </w:p>
    <w:p w14:paraId="1561E3E5" w14:textId="77777777" w:rsidR="00A27F32" w:rsidRPr="00A27F32" w:rsidRDefault="00A27F32" w:rsidP="00A27F32">
      <w:pPr>
        <w:jc w:val="both"/>
        <w:rPr>
          <w:rFonts w:ascii="Arial" w:hAnsi="Arial" w:cs="Arial"/>
          <w:bCs/>
          <w:sz w:val="22"/>
          <w:szCs w:val="22"/>
          <w:lang w:val="en-GB"/>
        </w:rPr>
      </w:pPr>
    </w:p>
    <w:p w14:paraId="4E5680FE" w14:textId="7A5238E0" w:rsidR="004C735D" w:rsidRDefault="004C735D" w:rsidP="00A27F32">
      <w:pPr>
        <w:jc w:val="both"/>
        <w:rPr>
          <w:rFonts w:ascii="Arial" w:hAnsi="Arial" w:cs="Arial"/>
          <w:bCs/>
          <w:sz w:val="22"/>
          <w:szCs w:val="22"/>
          <w:lang w:val="en-GB"/>
        </w:rPr>
      </w:pPr>
      <w:r w:rsidRPr="004C735D">
        <w:rPr>
          <w:rFonts w:ascii="Arial" w:hAnsi="Arial" w:cs="Arial"/>
          <w:bCs/>
          <w:sz w:val="22"/>
          <w:szCs w:val="22"/>
          <w:lang w:val="en-GB"/>
        </w:rPr>
        <w:t>Insolvency procedures involving two or more members of a group of enterprises are covered in terms of cooperation and communication in Articles 56–59 EIR Recast. Proper cooperation requires close communication and information sharing between the different insolvency practitioners and the participating courts. The efficient and effective use of the debtor's assets and the defence of creditors' rights should be made possible by such a framework.</w:t>
      </w:r>
    </w:p>
    <w:p w14:paraId="3F5CF2B8" w14:textId="6BD854BB" w:rsidR="0005016C" w:rsidRDefault="0005016C" w:rsidP="00A27F32">
      <w:pPr>
        <w:jc w:val="both"/>
        <w:rPr>
          <w:rFonts w:ascii="Arial" w:hAnsi="Arial" w:cs="Arial"/>
          <w:bCs/>
          <w:sz w:val="22"/>
          <w:szCs w:val="22"/>
          <w:lang w:val="en-GB"/>
        </w:rPr>
      </w:pPr>
    </w:p>
    <w:p w14:paraId="2215E3AC" w14:textId="77777777" w:rsidR="0005016C" w:rsidRPr="0005016C" w:rsidRDefault="0005016C" w:rsidP="0005016C">
      <w:pPr>
        <w:shd w:val="clear" w:color="auto" w:fill="FCFCFC"/>
        <w:rPr>
          <w:rFonts w:ascii="Georgia" w:hAnsi="Georgia" w:cs="Times New Roman"/>
          <w:color w:val="333333"/>
          <w:sz w:val="27"/>
          <w:szCs w:val="27"/>
          <w:lang w:val="en-IN" w:eastAsia="en-IN"/>
        </w:rPr>
      </w:pPr>
    </w:p>
    <w:tbl>
      <w:tblPr>
        <w:tblStyle w:val="TableGrid"/>
        <w:tblW w:w="9064" w:type="dxa"/>
        <w:tblLook w:val="04A0" w:firstRow="1" w:lastRow="0" w:firstColumn="1" w:lastColumn="0" w:noHBand="0" w:noVBand="1"/>
      </w:tblPr>
      <w:tblGrid>
        <w:gridCol w:w="1879"/>
        <w:gridCol w:w="3370"/>
        <w:gridCol w:w="3815"/>
      </w:tblGrid>
      <w:tr w:rsidR="0005016C" w:rsidRPr="000630CE" w14:paraId="433D647A" w14:textId="77777777" w:rsidTr="000630CE">
        <w:tc>
          <w:tcPr>
            <w:tcW w:w="0" w:type="auto"/>
            <w:hideMark/>
          </w:tcPr>
          <w:p w14:paraId="745CB54E" w14:textId="77777777" w:rsidR="0005016C" w:rsidRPr="0005016C" w:rsidRDefault="0005016C" w:rsidP="0005016C">
            <w:pPr>
              <w:rPr>
                <w:rFonts w:ascii="Arial" w:hAnsi="Arial" w:cs="Arial"/>
                <w:b/>
                <w:bCs/>
                <w:sz w:val="22"/>
                <w:szCs w:val="22"/>
                <w:lang w:val="en-GB"/>
              </w:rPr>
            </w:pPr>
          </w:p>
        </w:tc>
        <w:tc>
          <w:tcPr>
            <w:tcW w:w="3378" w:type="dxa"/>
            <w:hideMark/>
          </w:tcPr>
          <w:p w14:paraId="6AC8EACF" w14:textId="77777777" w:rsidR="0005016C" w:rsidRPr="0005016C" w:rsidRDefault="0005016C" w:rsidP="0005016C">
            <w:pPr>
              <w:rPr>
                <w:rFonts w:ascii="Arial" w:hAnsi="Arial" w:cs="Arial"/>
                <w:b/>
                <w:bCs/>
                <w:sz w:val="22"/>
                <w:szCs w:val="22"/>
                <w:lang w:val="en-GB"/>
              </w:rPr>
            </w:pPr>
            <w:r w:rsidRPr="0005016C">
              <w:rPr>
                <w:rFonts w:ascii="Arial" w:hAnsi="Arial" w:cs="Arial"/>
                <w:b/>
                <w:bCs/>
                <w:sz w:val="22"/>
                <w:szCs w:val="22"/>
                <w:lang w:val="en-GB"/>
              </w:rPr>
              <w:t>Recital</w:t>
            </w:r>
          </w:p>
        </w:tc>
        <w:tc>
          <w:tcPr>
            <w:tcW w:w="3824" w:type="dxa"/>
            <w:hideMark/>
          </w:tcPr>
          <w:p w14:paraId="38E4F951" w14:textId="03BF442D" w:rsidR="0005016C" w:rsidRPr="0005016C" w:rsidRDefault="000630CE" w:rsidP="0005016C">
            <w:pPr>
              <w:rPr>
                <w:rFonts w:ascii="Arial" w:hAnsi="Arial" w:cs="Arial"/>
                <w:b/>
                <w:bCs/>
                <w:sz w:val="22"/>
                <w:szCs w:val="22"/>
                <w:lang w:val="en-GB"/>
              </w:rPr>
            </w:pPr>
            <w:r w:rsidRPr="00525A44">
              <w:rPr>
                <w:rFonts w:ascii="Arial" w:hAnsi="Arial" w:cs="Arial"/>
                <w:b/>
                <w:bCs/>
                <w:sz w:val="22"/>
                <w:szCs w:val="22"/>
                <w:lang w:val="en-GB"/>
              </w:rPr>
              <w:t>Articles</w:t>
            </w:r>
          </w:p>
        </w:tc>
      </w:tr>
      <w:tr w:rsidR="0005016C" w:rsidRPr="000630CE" w14:paraId="66F93F22" w14:textId="77777777" w:rsidTr="000630CE">
        <w:tc>
          <w:tcPr>
            <w:tcW w:w="0" w:type="auto"/>
            <w:vMerge w:val="restart"/>
            <w:hideMark/>
          </w:tcPr>
          <w:p w14:paraId="2544842C" w14:textId="77777777" w:rsidR="0005016C" w:rsidRPr="0005016C" w:rsidRDefault="0005016C" w:rsidP="0005016C">
            <w:pPr>
              <w:rPr>
                <w:rFonts w:ascii="Arial" w:hAnsi="Arial" w:cs="Arial"/>
                <w:b/>
                <w:bCs/>
                <w:sz w:val="22"/>
                <w:szCs w:val="22"/>
                <w:lang w:val="en-GB"/>
              </w:rPr>
            </w:pPr>
            <w:r w:rsidRPr="0005016C">
              <w:rPr>
                <w:rFonts w:ascii="Arial" w:hAnsi="Arial" w:cs="Arial"/>
                <w:b/>
                <w:bCs/>
                <w:sz w:val="22"/>
                <w:szCs w:val="22"/>
                <w:lang w:val="en-GB"/>
              </w:rPr>
              <w:t>Communication</w:t>
            </w:r>
          </w:p>
        </w:tc>
        <w:tc>
          <w:tcPr>
            <w:tcW w:w="3378" w:type="dxa"/>
            <w:hideMark/>
          </w:tcPr>
          <w:p w14:paraId="455D2851" w14:textId="0E93A47F" w:rsidR="0005016C" w:rsidRPr="0005016C" w:rsidRDefault="0005016C" w:rsidP="0005016C">
            <w:pPr>
              <w:rPr>
                <w:rFonts w:ascii="Arial" w:hAnsi="Arial" w:cs="Arial"/>
                <w:sz w:val="22"/>
                <w:szCs w:val="22"/>
                <w:lang w:val="en-GB"/>
              </w:rPr>
            </w:pPr>
          </w:p>
        </w:tc>
        <w:tc>
          <w:tcPr>
            <w:tcW w:w="3824" w:type="dxa"/>
            <w:hideMark/>
          </w:tcPr>
          <w:p w14:paraId="40145477" w14:textId="1CE2808F" w:rsidR="0005016C" w:rsidRPr="0005016C" w:rsidRDefault="00525A44" w:rsidP="0005016C">
            <w:pPr>
              <w:rPr>
                <w:rFonts w:ascii="Arial" w:hAnsi="Arial" w:cs="Arial"/>
                <w:sz w:val="22"/>
                <w:szCs w:val="22"/>
                <w:lang w:val="en-GB"/>
              </w:rPr>
            </w:pPr>
            <w:r w:rsidRPr="00525A44">
              <w:rPr>
                <w:rFonts w:ascii="Arial" w:hAnsi="Arial" w:cs="Arial"/>
                <w:sz w:val="22"/>
                <w:szCs w:val="22"/>
                <w:lang w:val="en-GB"/>
              </w:rPr>
              <w:t>"Communication" under Article 79 refers to correspondence with the European Commission.</w:t>
            </w:r>
          </w:p>
        </w:tc>
      </w:tr>
      <w:tr w:rsidR="0005016C" w:rsidRPr="000630CE" w14:paraId="3A7F7A4E" w14:textId="77777777" w:rsidTr="000630CE">
        <w:tc>
          <w:tcPr>
            <w:tcW w:w="0" w:type="auto"/>
            <w:vMerge/>
            <w:hideMark/>
          </w:tcPr>
          <w:p w14:paraId="02F7D665" w14:textId="77777777" w:rsidR="0005016C" w:rsidRPr="0005016C" w:rsidRDefault="0005016C" w:rsidP="0005016C">
            <w:pPr>
              <w:rPr>
                <w:rFonts w:ascii="Arial" w:hAnsi="Arial" w:cs="Arial"/>
                <w:b/>
                <w:bCs/>
                <w:sz w:val="22"/>
                <w:szCs w:val="22"/>
                <w:lang w:val="en-GB"/>
              </w:rPr>
            </w:pPr>
          </w:p>
        </w:tc>
        <w:tc>
          <w:tcPr>
            <w:tcW w:w="3378" w:type="dxa"/>
            <w:hideMark/>
          </w:tcPr>
          <w:p w14:paraId="3BBAC7CE" w14:textId="6DBCC465" w:rsidR="0005016C" w:rsidRPr="0005016C" w:rsidRDefault="0005016C" w:rsidP="0005016C">
            <w:pPr>
              <w:rPr>
                <w:rFonts w:ascii="Arial" w:hAnsi="Arial" w:cs="Arial"/>
                <w:sz w:val="22"/>
                <w:szCs w:val="22"/>
                <w:lang w:val="en-GB"/>
              </w:rPr>
            </w:pPr>
            <w:r w:rsidRPr="0005016C">
              <w:rPr>
                <w:rFonts w:ascii="Arial" w:hAnsi="Arial" w:cs="Arial"/>
                <w:sz w:val="22"/>
                <w:szCs w:val="22"/>
                <w:lang w:val="en-GB"/>
              </w:rPr>
              <w:t>Recital 48, 52, 59, 61, 62</w:t>
            </w:r>
          </w:p>
        </w:tc>
        <w:tc>
          <w:tcPr>
            <w:tcW w:w="3824" w:type="dxa"/>
            <w:hideMark/>
          </w:tcPr>
          <w:p w14:paraId="079000E8" w14:textId="350B52B5" w:rsidR="0005016C" w:rsidRPr="0005016C" w:rsidRDefault="0005016C" w:rsidP="0005016C">
            <w:pPr>
              <w:rPr>
                <w:rFonts w:ascii="Arial" w:hAnsi="Arial" w:cs="Arial"/>
                <w:sz w:val="22"/>
                <w:szCs w:val="22"/>
                <w:lang w:val="en-GB"/>
              </w:rPr>
            </w:pPr>
            <w:r w:rsidRPr="0005016C">
              <w:rPr>
                <w:rFonts w:ascii="Arial" w:hAnsi="Arial" w:cs="Arial"/>
                <w:sz w:val="22"/>
                <w:szCs w:val="22"/>
                <w:lang w:val="en-GB"/>
              </w:rPr>
              <w:t>Article 25, 36, 41–44, 53, 56–59; 73, 74, 79</w:t>
            </w:r>
          </w:p>
        </w:tc>
      </w:tr>
      <w:tr w:rsidR="0005016C" w:rsidRPr="000630CE" w14:paraId="22094A8F" w14:textId="77777777" w:rsidTr="000630CE">
        <w:trPr>
          <w:trHeight w:val="1384"/>
        </w:trPr>
        <w:tc>
          <w:tcPr>
            <w:tcW w:w="0" w:type="auto"/>
            <w:vMerge w:val="restart"/>
            <w:hideMark/>
          </w:tcPr>
          <w:p w14:paraId="4783DAC0" w14:textId="77777777" w:rsidR="0005016C" w:rsidRPr="0005016C" w:rsidRDefault="0005016C" w:rsidP="0005016C">
            <w:pPr>
              <w:rPr>
                <w:rFonts w:ascii="Arial" w:hAnsi="Arial" w:cs="Arial"/>
                <w:b/>
                <w:bCs/>
                <w:sz w:val="22"/>
                <w:szCs w:val="22"/>
                <w:lang w:val="en-GB"/>
              </w:rPr>
            </w:pPr>
            <w:r w:rsidRPr="0005016C">
              <w:rPr>
                <w:rFonts w:ascii="Arial" w:hAnsi="Arial" w:cs="Arial"/>
                <w:b/>
                <w:bCs/>
                <w:sz w:val="22"/>
                <w:szCs w:val="22"/>
                <w:lang w:val="en-GB"/>
              </w:rPr>
              <w:t>Coordination</w:t>
            </w:r>
          </w:p>
        </w:tc>
        <w:tc>
          <w:tcPr>
            <w:tcW w:w="3378" w:type="dxa"/>
            <w:hideMark/>
          </w:tcPr>
          <w:p w14:paraId="66C12E6C" w14:textId="67ED09F6" w:rsidR="0005016C" w:rsidRPr="0005016C" w:rsidRDefault="00E551B9" w:rsidP="0005016C">
            <w:pPr>
              <w:rPr>
                <w:rFonts w:ascii="Arial" w:hAnsi="Arial" w:cs="Arial"/>
                <w:sz w:val="22"/>
                <w:szCs w:val="22"/>
                <w:lang w:val="en-GB"/>
              </w:rPr>
            </w:pPr>
            <w:r w:rsidRPr="00E551B9">
              <w:rPr>
                <w:rFonts w:ascii="Arial" w:hAnsi="Arial" w:cs="Arial"/>
                <w:sz w:val="22"/>
                <w:szCs w:val="22"/>
                <w:lang w:val="en-GB"/>
              </w:rPr>
              <w:t xml:space="preserve">"Coordination" in Recital 4 alludes to the "need for a Union Act." </w:t>
            </w:r>
          </w:p>
        </w:tc>
        <w:tc>
          <w:tcPr>
            <w:tcW w:w="3824" w:type="dxa"/>
            <w:hideMark/>
          </w:tcPr>
          <w:p w14:paraId="676ED5B4" w14:textId="25658DCE" w:rsidR="0005016C" w:rsidRPr="0005016C" w:rsidRDefault="0005016C" w:rsidP="0005016C">
            <w:pPr>
              <w:rPr>
                <w:rFonts w:ascii="Arial" w:hAnsi="Arial" w:cs="Arial"/>
                <w:sz w:val="22"/>
                <w:szCs w:val="22"/>
                <w:lang w:val="en-GB"/>
              </w:rPr>
            </w:pPr>
            <w:r w:rsidRPr="0005016C">
              <w:rPr>
                <w:rFonts w:ascii="Arial" w:hAnsi="Arial" w:cs="Arial"/>
                <w:sz w:val="22"/>
                <w:szCs w:val="22"/>
                <w:lang w:val="en-GB"/>
              </w:rPr>
              <w:t>.</w:t>
            </w:r>
            <w:r w:rsidR="00525A44">
              <w:t xml:space="preserve"> </w:t>
            </w:r>
            <w:r w:rsidR="00525A44" w:rsidRPr="00525A44">
              <w:rPr>
                <w:rFonts w:ascii="Arial" w:hAnsi="Arial" w:cs="Arial"/>
                <w:sz w:val="22"/>
                <w:szCs w:val="22"/>
                <w:lang w:val="en-GB"/>
              </w:rPr>
              <w:t>The term "coordination" is used in the review clause of Article 90.</w:t>
            </w:r>
          </w:p>
        </w:tc>
      </w:tr>
      <w:tr w:rsidR="0005016C" w:rsidRPr="000630CE" w14:paraId="65F7C009" w14:textId="77777777" w:rsidTr="000630CE">
        <w:tc>
          <w:tcPr>
            <w:tcW w:w="0" w:type="auto"/>
            <w:vMerge/>
            <w:hideMark/>
          </w:tcPr>
          <w:p w14:paraId="597E2691" w14:textId="77777777" w:rsidR="0005016C" w:rsidRPr="0005016C" w:rsidRDefault="0005016C" w:rsidP="0005016C">
            <w:pPr>
              <w:rPr>
                <w:rFonts w:ascii="Arial" w:hAnsi="Arial" w:cs="Arial"/>
                <w:b/>
                <w:bCs/>
                <w:sz w:val="22"/>
                <w:szCs w:val="22"/>
                <w:lang w:val="en-GB"/>
              </w:rPr>
            </w:pPr>
          </w:p>
        </w:tc>
        <w:tc>
          <w:tcPr>
            <w:tcW w:w="3378" w:type="dxa"/>
            <w:hideMark/>
          </w:tcPr>
          <w:p w14:paraId="01F663D5" w14:textId="161DE841" w:rsidR="0005016C" w:rsidRPr="0005016C" w:rsidRDefault="0005016C" w:rsidP="0005016C">
            <w:pPr>
              <w:rPr>
                <w:rFonts w:ascii="Arial" w:hAnsi="Arial" w:cs="Arial"/>
                <w:sz w:val="22"/>
                <w:szCs w:val="22"/>
                <w:lang w:val="en-GB"/>
              </w:rPr>
            </w:pPr>
            <w:r w:rsidRPr="0005016C">
              <w:rPr>
                <w:rFonts w:ascii="Arial" w:hAnsi="Arial" w:cs="Arial"/>
                <w:sz w:val="22"/>
                <w:szCs w:val="22"/>
                <w:lang w:val="en-GB"/>
              </w:rPr>
              <w:t>Recitals 4, 6, 23, 50, 54–63</w:t>
            </w:r>
          </w:p>
        </w:tc>
        <w:tc>
          <w:tcPr>
            <w:tcW w:w="3824" w:type="dxa"/>
            <w:hideMark/>
          </w:tcPr>
          <w:p w14:paraId="646085BE" w14:textId="500ACC4D" w:rsidR="0005016C" w:rsidRPr="0005016C" w:rsidRDefault="0005016C" w:rsidP="0005016C">
            <w:pPr>
              <w:rPr>
                <w:rFonts w:ascii="Arial" w:hAnsi="Arial" w:cs="Arial"/>
                <w:sz w:val="22"/>
                <w:szCs w:val="22"/>
                <w:lang w:val="en-GB"/>
              </w:rPr>
            </w:pPr>
            <w:r w:rsidRPr="0005016C">
              <w:rPr>
                <w:rFonts w:ascii="Arial" w:hAnsi="Arial" w:cs="Arial"/>
                <w:sz w:val="22"/>
                <w:szCs w:val="22"/>
                <w:lang w:val="en-GB"/>
              </w:rPr>
              <w:t>Articles 41–43; 56, 57, 60–74; 77, 99</w:t>
            </w:r>
          </w:p>
        </w:tc>
      </w:tr>
      <w:tr w:rsidR="0005016C" w:rsidRPr="000630CE" w14:paraId="08CF7647" w14:textId="77777777" w:rsidTr="000630CE">
        <w:tc>
          <w:tcPr>
            <w:tcW w:w="0" w:type="auto"/>
            <w:vMerge w:val="restart"/>
            <w:hideMark/>
          </w:tcPr>
          <w:p w14:paraId="6C8F0D55" w14:textId="77777777" w:rsidR="0005016C" w:rsidRPr="0005016C" w:rsidRDefault="0005016C" w:rsidP="0005016C">
            <w:pPr>
              <w:rPr>
                <w:rFonts w:ascii="Arial" w:hAnsi="Arial" w:cs="Arial"/>
                <w:b/>
                <w:bCs/>
                <w:sz w:val="22"/>
                <w:szCs w:val="22"/>
                <w:lang w:val="en-GB"/>
              </w:rPr>
            </w:pPr>
            <w:r w:rsidRPr="0005016C">
              <w:rPr>
                <w:rFonts w:ascii="Arial" w:hAnsi="Arial" w:cs="Arial"/>
                <w:b/>
                <w:bCs/>
                <w:sz w:val="22"/>
                <w:szCs w:val="22"/>
                <w:lang w:val="en-GB"/>
              </w:rPr>
              <w:t>Cooperation</w:t>
            </w:r>
          </w:p>
        </w:tc>
        <w:tc>
          <w:tcPr>
            <w:tcW w:w="3378" w:type="dxa"/>
            <w:hideMark/>
          </w:tcPr>
          <w:p w14:paraId="2D130F2F" w14:textId="6A35618D" w:rsidR="0005016C" w:rsidRPr="0005016C" w:rsidRDefault="00E551B9" w:rsidP="0005016C">
            <w:pPr>
              <w:rPr>
                <w:rFonts w:ascii="Arial" w:hAnsi="Arial" w:cs="Arial"/>
                <w:sz w:val="22"/>
                <w:szCs w:val="22"/>
                <w:lang w:val="en-GB"/>
              </w:rPr>
            </w:pPr>
            <w:r w:rsidRPr="00E551B9">
              <w:rPr>
                <w:rFonts w:ascii="Arial" w:hAnsi="Arial" w:cs="Arial"/>
                <w:sz w:val="22"/>
                <w:szCs w:val="22"/>
                <w:lang w:val="en-GB"/>
              </w:rPr>
              <w:t>Article 81 of the Treaty on the Functioning of the European Union is referred to as "cooperation" in Recital 3.</w:t>
            </w:r>
          </w:p>
        </w:tc>
        <w:tc>
          <w:tcPr>
            <w:tcW w:w="3824" w:type="dxa"/>
            <w:hideMark/>
          </w:tcPr>
          <w:p w14:paraId="081E2DCB" w14:textId="44CDB976" w:rsidR="0005016C" w:rsidRPr="0005016C" w:rsidRDefault="00134E4D" w:rsidP="0005016C">
            <w:pPr>
              <w:rPr>
                <w:rFonts w:ascii="Arial" w:hAnsi="Arial" w:cs="Arial"/>
                <w:sz w:val="22"/>
                <w:szCs w:val="22"/>
                <w:lang w:val="en-GB"/>
              </w:rPr>
            </w:pPr>
            <w:r w:rsidRPr="00134E4D">
              <w:rPr>
                <w:rFonts w:ascii="Arial" w:hAnsi="Arial" w:cs="Arial"/>
                <w:sz w:val="22"/>
                <w:szCs w:val="22"/>
                <w:lang w:val="en-GB"/>
              </w:rPr>
              <w:t>The term "cooperation" in Article 85 refers to Treaties whose names contain the word "cooperation."</w:t>
            </w:r>
          </w:p>
        </w:tc>
      </w:tr>
      <w:tr w:rsidR="0005016C" w:rsidRPr="000630CE" w14:paraId="7B4591CB" w14:textId="77777777" w:rsidTr="000630CE">
        <w:tc>
          <w:tcPr>
            <w:tcW w:w="0" w:type="auto"/>
            <w:vMerge/>
            <w:hideMark/>
          </w:tcPr>
          <w:p w14:paraId="19F937BE" w14:textId="77777777" w:rsidR="0005016C" w:rsidRPr="0005016C" w:rsidRDefault="0005016C" w:rsidP="0005016C">
            <w:pPr>
              <w:rPr>
                <w:rFonts w:ascii="Arial" w:hAnsi="Arial" w:cs="Arial"/>
                <w:sz w:val="22"/>
                <w:szCs w:val="22"/>
                <w:lang w:val="en-GB"/>
              </w:rPr>
            </w:pPr>
          </w:p>
        </w:tc>
        <w:tc>
          <w:tcPr>
            <w:tcW w:w="3378" w:type="dxa"/>
            <w:hideMark/>
          </w:tcPr>
          <w:p w14:paraId="1A5E84A4" w14:textId="547ACE17" w:rsidR="0005016C" w:rsidRPr="0005016C" w:rsidRDefault="0005016C" w:rsidP="0005016C">
            <w:pPr>
              <w:rPr>
                <w:rFonts w:ascii="Arial" w:hAnsi="Arial" w:cs="Arial"/>
                <w:sz w:val="22"/>
                <w:szCs w:val="22"/>
                <w:lang w:val="en-GB"/>
              </w:rPr>
            </w:pPr>
            <w:r w:rsidRPr="0005016C">
              <w:rPr>
                <w:rFonts w:ascii="Arial" w:hAnsi="Arial" w:cs="Arial"/>
                <w:sz w:val="22"/>
                <w:szCs w:val="22"/>
                <w:lang w:val="en-GB"/>
              </w:rPr>
              <w:t>Recitals 3, 48, 49, 50, 52, 61, 62</w:t>
            </w:r>
          </w:p>
        </w:tc>
        <w:tc>
          <w:tcPr>
            <w:tcW w:w="3824" w:type="dxa"/>
            <w:hideMark/>
          </w:tcPr>
          <w:p w14:paraId="37135235" w14:textId="0DA6D45F" w:rsidR="0005016C" w:rsidRPr="0005016C" w:rsidRDefault="0005016C" w:rsidP="0005016C">
            <w:pPr>
              <w:rPr>
                <w:rFonts w:ascii="Arial" w:hAnsi="Arial" w:cs="Arial"/>
                <w:sz w:val="22"/>
                <w:szCs w:val="22"/>
                <w:lang w:val="en-GB"/>
              </w:rPr>
            </w:pPr>
            <w:r w:rsidRPr="0005016C">
              <w:rPr>
                <w:rFonts w:ascii="Arial" w:hAnsi="Arial" w:cs="Arial"/>
                <w:sz w:val="22"/>
                <w:szCs w:val="22"/>
                <w:lang w:val="en-GB"/>
              </w:rPr>
              <w:t>Articles 41–44; 56–59; 74 and 85</w:t>
            </w:r>
          </w:p>
        </w:tc>
      </w:tr>
    </w:tbl>
    <w:p w14:paraId="6D2EE43E" w14:textId="2BD41C65" w:rsidR="004C735D" w:rsidRDefault="0005016C" w:rsidP="00A27F32">
      <w:pPr>
        <w:jc w:val="both"/>
        <w:rPr>
          <w:rFonts w:ascii="Arial" w:hAnsi="Arial" w:cs="Arial"/>
          <w:bCs/>
          <w:sz w:val="22"/>
          <w:szCs w:val="22"/>
          <w:lang w:val="en-GB"/>
        </w:rPr>
      </w:pPr>
      <w:hyperlink r:id="rId9" w:anchor="Tab2" w:history="1">
        <w:r w:rsidRPr="0005016C">
          <w:rPr>
            <w:rFonts w:ascii="Segoe UI" w:hAnsi="Segoe UI" w:cs="Segoe UI"/>
            <w:b/>
            <w:bCs/>
            <w:color w:val="004B83"/>
            <w:sz w:val="27"/>
            <w:szCs w:val="27"/>
            <w:bdr w:val="single" w:sz="24" w:space="6" w:color="BCD2DC" w:frame="1"/>
            <w:shd w:val="clear" w:color="auto" w:fill="FFFFFF"/>
            <w:lang w:val="en-IN" w:eastAsia="en-IN"/>
          </w:rPr>
          <w:br/>
        </w:r>
      </w:hyperlink>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77777777" w:rsidR="009954B2" w:rsidRPr="005D2CD6" w:rsidRDefault="009954B2" w:rsidP="002A37BB">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321358EA" w14:textId="4CB78034" w:rsidR="009954B2" w:rsidRDefault="009954B2" w:rsidP="002A37BB">
      <w:pPr>
        <w:jc w:val="both"/>
        <w:rPr>
          <w:rFonts w:ascii="Arial" w:hAnsi="Arial" w:cs="Arial"/>
          <w:bCs/>
          <w:sz w:val="22"/>
          <w:szCs w:val="22"/>
          <w:lang w:val="en-GB"/>
        </w:rPr>
      </w:pPr>
    </w:p>
    <w:p w14:paraId="36BE22DB" w14:textId="5A2F0C74" w:rsidR="00974779" w:rsidRPr="00974779" w:rsidRDefault="00974779" w:rsidP="002A37BB">
      <w:pPr>
        <w:jc w:val="both"/>
        <w:rPr>
          <w:rFonts w:ascii="Arial" w:hAnsi="Arial" w:cs="Arial"/>
          <w:b/>
          <w:sz w:val="22"/>
          <w:szCs w:val="22"/>
          <w:lang w:val="en-GB"/>
        </w:rPr>
      </w:pPr>
      <w:r w:rsidRPr="00974779">
        <w:rPr>
          <w:rFonts w:ascii="Arial" w:hAnsi="Arial" w:cs="Arial"/>
          <w:b/>
          <w:sz w:val="22"/>
          <w:szCs w:val="22"/>
          <w:lang w:val="en-GB"/>
        </w:rPr>
        <w:t>Answer:</w:t>
      </w:r>
    </w:p>
    <w:p w14:paraId="59FD9701" w14:textId="7096EB89" w:rsidR="00974779" w:rsidRDefault="00974779" w:rsidP="002A37BB">
      <w:pPr>
        <w:jc w:val="both"/>
        <w:rPr>
          <w:rFonts w:ascii="Arial" w:hAnsi="Arial" w:cs="Arial"/>
          <w:bCs/>
          <w:sz w:val="22"/>
          <w:szCs w:val="22"/>
          <w:lang w:val="en-GB"/>
        </w:rPr>
      </w:pPr>
    </w:p>
    <w:p w14:paraId="5D181E78" w14:textId="3EB31B66" w:rsidR="00A115EA" w:rsidRDefault="00A115EA" w:rsidP="00A115EA">
      <w:pPr>
        <w:jc w:val="both"/>
        <w:rPr>
          <w:rFonts w:ascii="Arial" w:hAnsi="Arial" w:cs="Arial"/>
          <w:sz w:val="22"/>
          <w:szCs w:val="22"/>
          <w:lang w:val="en-GB"/>
        </w:rPr>
      </w:pPr>
      <w:r w:rsidRPr="00A115EA">
        <w:rPr>
          <w:rFonts w:ascii="Arial" w:hAnsi="Arial" w:cs="Arial"/>
          <w:sz w:val="22"/>
          <w:szCs w:val="22"/>
          <w:lang w:val="en-GB"/>
        </w:rPr>
        <w:t xml:space="preserve">The courts of the Member State whose territory the centre of the debtor's principal interests is located have competence to initiate insolvency proceedings, according to Article 3(1) EIR Recast ("main insolvency proceedings"). These legal actions have a broad reach and are intended to include </w:t>
      </w:r>
      <w:proofErr w:type="gramStart"/>
      <w:r w:rsidRPr="00A115EA">
        <w:rPr>
          <w:rFonts w:ascii="Arial" w:hAnsi="Arial" w:cs="Arial"/>
          <w:sz w:val="22"/>
          <w:szCs w:val="22"/>
          <w:lang w:val="en-GB"/>
        </w:rPr>
        <w:t>all of</w:t>
      </w:r>
      <w:proofErr w:type="gramEnd"/>
      <w:r w:rsidRPr="00A115EA">
        <w:rPr>
          <w:rFonts w:ascii="Arial" w:hAnsi="Arial" w:cs="Arial"/>
          <w:sz w:val="22"/>
          <w:szCs w:val="22"/>
          <w:lang w:val="en-GB"/>
        </w:rPr>
        <w:t xml:space="preserve"> the debtor's assets.</w:t>
      </w:r>
    </w:p>
    <w:p w14:paraId="782EE7A0" w14:textId="77777777" w:rsidR="00410B3A" w:rsidRPr="00A115EA" w:rsidRDefault="00410B3A" w:rsidP="00A115EA">
      <w:pPr>
        <w:jc w:val="both"/>
        <w:rPr>
          <w:rFonts w:ascii="Arial" w:hAnsi="Arial" w:cs="Arial"/>
          <w:sz w:val="22"/>
          <w:szCs w:val="22"/>
          <w:lang w:val="en-GB"/>
        </w:rPr>
      </w:pPr>
    </w:p>
    <w:p w14:paraId="5CCFD623" w14:textId="3A78E195" w:rsidR="00A115EA" w:rsidRDefault="00A115EA" w:rsidP="00A115EA">
      <w:pPr>
        <w:jc w:val="both"/>
        <w:rPr>
          <w:rFonts w:ascii="Arial" w:hAnsi="Arial" w:cs="Arial"/>
          <w:sz w:val="22"/>
          <w:szCs w:val="22"/>
          <w:lang w:val="en-GB"/>
        </w:rPr>
      </w:pPr>
      <w:r w:rsidRPr="00A115EA">
        <w:rPr>
          <w:rFonts w:ascii="Arial" w:hAnsi="Arial" w:cs="Arial"/>
          <w:sz w:val="22"/>
          <w:szCs w:val="22"/>
          <w:lang w:val="en-GB"/>
        </w:rPr>
        <w:t>In accordance with the EIR 2000, Recital 23 states that the EIR Recast simultaneously permits the initiation of secondary procedures, which take place concurrently with the main bankruptcy proceedings and have an impact exclusively on assets located within the state of secondary proceedings.</w:t>
      </w:r>
    </w:p>
    <w:p w14:paraId="4A72DFBA" w14:textId="77777777" w:rsidR="00410B3A" w:rsidRDefault="00410B3A" w:rsidP="00A115EA">
      <w:pPr>
        <w:jc w:val="both"/>
        <w:rPr>
          <w:rFonts w:ascii="Arial" w:hAnsi="Arial" w:cs="Arial"/>
          <w:sz w:val="22"/>
          <w:szCs w:val="22"/>
          <w:lang w:val="en-GB"/>
        </w:rPr>
      </w:pPr>
    </w:p>
    <w:p w14:paraId="526ED9B7" w14:textId="7406E6B6" w:rsidR="00AE2316" w:rsidRDefault="00410B3A">
      <w:pPr>
        <w:rPr>
          <w:rFonts w:ascii="Arial" w:hAnsi="Arial" w:cs="Arial"/>
          <w:bCs/>
          <w:sz w:val="22"/>
          <w:szCs w:val="22"/>
          <w:lang w:val="en-GB"/>
        </w:rPr>
      </w:pPr>
      <w:r w:rsidRPr="00410B3A">
        <w:rPr>
          <w:rFonts w:ascii="Arial" w:hAnsi="Arial" w:cs="Arial"/>
          <w:bCs/>
          <w:sz w:val="22"/>
          <w:szCs w:val="22"/>
          <w:lang w:val="en-GB"/>
        </w:rPr>
        <w:t>A secondary proceeding's geographical structure protects the diversity of interests, promotes efficient administration of complicated bankruptcy estates, and mitigates challenges brought on by inconsistent national laws, according to Recital 40.</w:t>
      </w:r>
    </w:p>
    <w:p w14:paraId="47CDD6B8" w14:textId="77777777" w:rsidR="00410B3A" w:rsidRPr="005D2CD6" w:rsidRDefault="00410B3A">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544D5306" w:rsidR="00544127" w:rsidRPr="005D2CD6" w:rsidRDefault="00DF75F8" w:rsidP="002A37BB">
      <w:pPr>
        <w:jc w:val="both"/>
        <w:rPr>
          <w:rFonts w:ascii="Arial" w:hAnsi="Arial" w:cs="Arial"/>
          <w:sz w:val="22"/>
          <w:szCs w:val="22"/>
        </w:rPr>
      </w:pPr>
      <w:r w:rsidRPr="005D2CD6">
        <w:rPr>
          <w:rFonts w:ascii="Arial" w:hAnsi="Arial" w:cs="Arial"/>
          <w:color w:val="7B7B7B" w:themeColor="accent3" w:themeShade="BF"/>
          <w:sz w:val="22"/>
          <w:szCs w:val="22"/>
          <w:lang w:val="en-GB"/>
        </w:rPr>
        <w:t>[Type your answer here]</w:t>
      </w:r>
    </w:p>
    <w:p w14:paraId="4D020184" w14:textId="77777777" w:rsidR="00CC4C0D" w:rsidRDefault="00CC4C0D" w:rsidP="00BB2A9B">
      <w:pPr>
        <w:jc w:val="both"/>
        <w:rPr>
          <w:rFonts w:ascii="Arial" w:hAnsi="Arial" w:cs="Arial"/>
          <w:sz w:val="22"/>
          <w:szCs w:val="22"/>
          <w:lang w:val="en-GB"/>
        </w:rPr>
      </w:pPr>
    </w:p>
    <w:p w14:paraId="1B5AC0F8" w14:textId="37798C24" w:rsidR="00CC4C0D" w:rsidRPr="00CC4C0D" w:rsidRDefault="00CC4C0D" w:rsidP="00BB2A9B">
      <w:pPr>
        <w:jc w:val="both"/>
        <w:rPr>
          <w:rFonts w:ascii="Arial" w:hAnsi="Arial" w:cs="Arial"/>
          <w:b/>
          <w:bCs/>
          <w:sz w:val="22"/>
          <w:szCs w:val="22"/>
          <w:lang w:val="en-GB"/>
        </w:rPr>
      </w:pPr>
      <w:r w:rsidRPr="00CC4C0D">
        <w:rPr>
          <w:rFonts w:ascii="Arial" w:hAnsi="Arial" w:cs="Arial"/>
          <w:b/>
          <w:bCs/>
          <w:sz w:val="22"/>
          <w:szCs w:val="22"/>
          <w:lang w:val="en-GB"/>
        </w:rPr>
        <w:t>Answer:</w:t>
      </w:r>
    </w:p>
    <w:p w14:paraId="1EF1A5FD" w14:textId="77777777" w:rsidR="00CC4C0D" w:rsidRDefault="00CC4C0D" w:rsidP="00BB2A9B">
      <w:pPr>
        <w:jc w:val="both"/>
        <w:rPr>
          <w:rFonts w:ascii="Arial" w:hAnsi="Arial" w:cs="Arial"/>
          <w:sz w:val="22"/>
          <w:szCs w:val="22"/>
          <w:lang w:val="en-GB"/>
        </w:rPr>
      </w:pPr>
    </w:p>
    <w:p w14:paraId="7F71F572" w14:textId="521B6206" w:rsidR="00CC4C0D" w:rsidRDefault="007F008B" w:rsidP="00BB2A9B">
      <w:pPr>
        <w:jc w:val="both"/>
        <w:rPr>
          <w:rFonts w:ascii="Arial" w:hAnsi="Arial" w:cs="Arial"/>
          <w:sz w:val="22"/>
          <w:szCs w:val="22"/>
          <w:lang w:val="en-GB"/>
        </w:rPr>
      </w:pPr>
      <w:r w:rsidRPr="007F008B">
        <w:rPr>
          <w:rFonts w:ascii="Arial" w:hAnsi="Arial" w:cs="Arial"/>
          <w:sz w:val="22"/>
          <w:szCs w:val="22"/>
          <w:lang w:val="en-GB"/>
        </w:rPr>
        <w:t xml:space="preserve">European Commission, Report from the Commission to the European Parliament, the Council, and the European Economic and Social Committee on the Application of Council Regulation (EC) No 1346/2000 of May 29, 2000 on Insolvency Proceedings, </w:t>
      </w:r>
      <w:proofErr w:type="gramStart"/>
      <w:r w:rsidRPr="007F008B">
        <w:rPr>
          <w:rFonts w:ascii="Arial" w:hAnsi="Arial" w:cs="Arial"/>
          <w:sz w:val="22"/>
          <w:szCs w:val="22"/>
          <w:lang w:val="en-GB"/>
        </w:rPr>
        <w:t>COM(</w:t>
      </w:r>
      <w:proofErr w:type="gramEnd"/>
      <w:r w:rsidRPr="007F008B">
        <w:rPr>
          <w:rFonts w:ascii="Arial" w:hAnsi="Arial" w:cs="Arial"/>
          <w:sz w:val="22"/>
          <w:szCs w:val="22"/>
          <w:lang w:val="en-GB"/>
        </w:rPr>
        <w:t>2012) 743 final, published in 2012, proposed changes to the European Insolvency Regulation (EIR) (12 December 2012).</w:t>
      </w:r>
    </w:p>
    <w:p w14:paraId="7F8C63E8" w14:textId="77777777" w:rsidR="007F008B" w:rsidRDefault="007F008B" w:rsidP="00BB2A9B">
      <w:pPr>
        <w:jc w:val="both"/>
        <w:rPr>
          <w:rFonts w:ascii="Arial" w:hAnsi="Arial" w:cs="Arial"/>
          <w:sz w:val="22"/>
          <w:szCs w:val="22"/>
          <w:lang w:val="en-GB"/>
        </w:rPr>
      </w:pPr>
    </w:p>
    <w:p w14:paraId="044B70CA" w14:textId="610106E2" w:rsidR="0020228F" w:rsidRDefault="000F49CE" w:rsidP="00BB2A9B">
      <w:pPr>
        <w:jc w:val="both"/>
        <w:rPr>
          <w:rFonts w:ascii="Arial" w:hAnsi="Arial" w:cs="Arial"/>
          <w:sz w:val="22"/>
          <w:szCs w:val="22"/>
          <w:lang w:val="en-GB"/>
        </w:rPr>
      </w:pPr>
      <w:r>
        <w:rPr>
          <w:rFonts w:ascii="Arial" w:hAnsi="Arial" w:cs="Arial"/>
          <w:sz w:val="22"/>
          <w:szCs w:val="22"/>
          <w:lang w:val="en-GB"/>
        </w:rPr>
        <w:t>These are as follows:</w:t>
      </w:r>
    </w:p>
    <w:p w14:paraId="6BC3A389" w14:textId="77777777" w:rsidR="00CC4C0D" w:rsidRPr="00CC4C0D" w:rsidRDefault="00CC4C0D" w:rsidP="00CC4C0D">
      <w:pPr>
        <w:pStyle w:val="ListParagraph"/>
        <w:jc w:val="both"/>
        <w:rPr>
          <w:rFonts w:ascii="Arial" w:hAnsi="Arial" w:cs="Arial"/>
          <w:sz w:val="22"/>
          <w:szCs w:val="22"/>
          <w:lang w:val="en-GB"/>
        </w:rPr>
      </w:pPr>
    </w:p>
    <w:p w14:paraId="7D4138DD" w14:textId="06A7815E" w:rsidR="000F49CE" w:rsidRDefault="003C23DC" w:rsidP="000F49CE">
      <w:pPr>
        <w:pStyle w:val="ListParagraph"/>
        <w:numPr>
          <w:ilvl w:val="0"/>
          <w:numId w:val="13"/>
        </w:numPr>
        <w:jc w:val="both"/>
        <w:rPr>
          <w:rFonts w:ascii="Arial" w:hAnsi="Arial" w:cs="Arial"/>
          <w:sz w:val="22"/>
          <w:szCs w:val="22"/>
          <w:lang w:val="en-GB"/>
        </w:rPr>
      </w:pPr>
      <w:r w:rsidRPr="00CC4C0D">
        <w:rPr>
          <w:rFonts w:ascii="Arial" w:hAnsi="Arial" w:cs="Arial"/>
          <w:b/>
          <w:bCs/>
          <w:sz w:val="22"/>
          <w:szCs w:val="22"/>
          <w:lang w:val="en-GB"/>
        </w:rPr>
        <w:t>Proposed:</w:t>
      </w:r>
      <w:r>
        <w:rPr>
          <w:rFonts w:ascii="Arial" w:hAnsi="Arial" w:cs="Arial"/>
          <w:sz w:val="22"/>
          <w:szCs w:val="22"/>
          <w:lang w:val="en-GB"/>
        </w:rPr>
        <w:t xml:space="preserve"> </w:t>
      </w:r>
      <w:r w:rsidR="00353C12" w:rsidRPr="00353C12">
        <w:rPr>
          <w:rFonts w:ascii="Arial" w:hAnsi="Arial" w:cs="Arial"/>
          <w:sz w:val="22"/>
          <w:szCs w:val="22"/>
          <w:lang w:val="en-GB"/>
        </w:rPr>
        <w:t>While the "centre of main interests" (COMI) of a corporate debtor will continue to serve as the standard for jurisdiction to initiate main insolvency proceedings</w:t>
      </w:r>
      <w:r w:rsidR="00353C12">
        <w:rPr>
          <w:rFonts w:ascii="Arial" w:hAnsi="Arial" w:cs="Arial"/>
          <w:sz w:val="22"/>
          <w:szCs w:val="22"/>
          <w:lang w:val="en-GB"/>
        </w:rPr>
        <w:t>.</w:t>
      </w:r>
    </w:p>
    <w:p w14:paraId="58FB4E85" w14:textId="1BDEBBB4" w:rsidR="003C23DC" w:rsidRDefault="003C23DC" w:rsidP="003C23DC">
      <w:pPr>
        <w:pStyle w:val="ListParagraph"/>
        <w:jc w:val="both"/>
        <w:rPr>
          <w:rFonts w:ascii="Arial" w:hAnsi="Arial" w:cs="Arial"/>
          <w:sz w:val="22"/>
          <w:szCs w:val="22"/>
          <w:lang w:val="en-GB"/>
        </w:rPr>
      </w:pPr>
      <w:r w:rsidRPr="00CC4C0D">
        <w:rPr>
          <w:rFonts w:ascii="Arial" w:hAnsi="Arial" w:cs="Arial"/>
          <w:b/>
          <w:bCs/>
          <w:sz w:val="22"/>
          <w:szCs w:val="22"/>
          <w:lang w:val="en-GB"/>
        </w:rPr>
        <w:t>Adopted:</w:t>
      </w:r>
      <w:r>
        <w:rPr>
          <w:rFonts w:ascii="Arial" w:hAnsi="Arial" w:cs="Arial"/>
          <w:sz w:val="22"/>
          <w:szCs w:val="22"/>
          <w:lang w:val="en-GB"/>
        </w:rPr>
        <w:t xml:space="preserve"> </w:t>
      </w:r>
      <w:r w:rsidR="00FC1D81" w:rsidRPr="00FC1D81">
        <w:rPr>
          <w:rFonts w:ascii="Arial" w:hAnsi="Arial" w:cs="Arial"/>
          <w:sz w:val="22"/>
          <w:szCs w:val="22"/>
          <w:lang w:val="en-GB"/>
        </w:rPr>
        <w:t>In accordance with Article 3(2) of the EIR Recast, a debtor may initiate one or more secondary insolvency actions against it in any Member State in which it has an establishment. The consequences of secondary proceedings are limited to the assets of the debtor located within the territory of the Member State where secondary procedures have been launched, in contrast to main insolvency proceedings, which have a global reach (Recital 23).</w:t>
      </w:r>
    </w:p>
    <w:p w14:paraId="6210E97C" w14:textId="0CD22541" w:rsidR="000445D1" w:rsidRDefault="00CC4C0D" w:rsidP="000F49CE">
      <w:pPr>
        <w:pStyle w:val="ListParagraph"/>
        <w:numPr>
          <w:ilvl w:val="0"/>
          <w:numId w:val="13"/>
        </w:numPr>
        <w:jc w:val="both"/>
        <w:rPr>
          <w:rFonts w:ascii="Arial" w:hAnsi="Arial" w:cs="Arial"/>
          <w:sz w:val="22"/>
          <w:szCs w:val="22"/>
          <w:lang w:val="en-GB"/>
        </w:rPr>
      </w:pPr>
      <w:r w:rsidRPr="001E2113">
        <w:rPr>
          <w:rFonts w:ascii="Arial" w:hAnsi="Arial" w:cs="Arial"/>
          <w:b/>
          <w:bCs/>
          <w:sz w:val="22"/>
          <w:szCs w:val="22"/>
          <w:lang w:val="en-GB"/>
        </w:rPr>
        <w:t>Proposed:</w:t>
      </w:r>
      <w:r>
        <w:rPr>
          <w:rFonts w:ascii="Arial" w:hAnsi="Arial" w:cs="Arial"/>
          <w:sz w:val="22"/>
          <w:szCs w:val="22"/>
          <w:lang w:val="en-GB"/>
        </w:rPr>
        <w:t xml:space="preserve"> S</w:t>
      </w:r>
      <w:r w:rsidR="00BB2A9B" w:rsidRPr="000F49CE">
        <w:rPr>
          <w:rFonts w:ascii="Arial" w:hAnsi="Arial" w:cs="Arial"/>
          <w:sz w:val="22"/>
          <w:szCs w:val="22"/>
          <w:lang w:val="en-GB"/>
        </w:rPr>
        <w:t>ignificant changes will be made to widen the Regulation’s scope to encompass pre-insolvency and debtor-in-possession proceedings (Article 1),</w:t>
      </w:r>
    </w:p>
    <w:p w14:paraId="74EBEA67" w14:textId="23E6DC9D" w:rsidR="00CC4C0D" w:rsidRDefault="00CC4C0D" w:rsidP="00CC4C0D">
      <w:pPr>
        <w:pStyle w:val="ListParagraph"/>
        <w:jc w:val="both"/>
        <w:rPr>
          <w:rFonts w:ascii="Arial" w:hAnsi="Arial" w:cs="Arial"/>
          <w:sz w:val="22"/>
          <w:szCs w:val="22"/>
          <w:lang w:val="en-GB"/>
        </w:rPr>
      </w:pPr>
      <w:r w:rsidRPr="001E2113">
        <w:rPr>
          <w:rFonts w:ascii="Arial" w:hAnsi="Arial" w:cs="Arial"/>
          <w:b/>
          <w:bCs/>
          <w:sz w:val="22"/>
          <w:szCs w:val="22"/>
          <w:lang w:val="en-GB"/>
        </w:rPr>
        <w:t>Adopted:</w:t>
      </w:r>
      <w:r>
        <w:rPr>
          <w:rFonts w:ascii="Arial" w:hAnsi="Arial" w:cs="Arial"/>
          <w:sz w:val="22"/>
          <w:szCs w:val="22"/>
          <w:lang w:val="en-GB"/>
        </w:rPr>
        <w:t xml:space="preserve"> </w:t>
      </w:r>
      <w:r w:rsidR="001A6CB3" w:rsidRPr="001A6CB3">
        <w:rPr>
          <w:rFonts w:ascii="Arial" w:hAnsi="Arial" w:cs="Arial"/>
          <w:sz w:val="22"/>
          <w:szCs w:val="22"/>
          <w:lang w:val="en-GB"/>
        </w:rPr>
        <w:t>According to Article 2(10) EIR Recast, the definition of an establishment shall be examined as of the filing for the initiation of secondary insolvency proceedings. If the required conditions are not completed at that time, the court must consider whether an establishment existed in the three months before to the filing. This regulation, which is new under the E</w:t>
      </w:r>
      <w:r w:rsidR="001A6CB3">
        <w:rPr>
          <w:rFonts w:ascii="Arial" w:hAnsi="Arial" w:cs="Arial"/>
          <w:sz w:val="22"/>
          <w:szCs w:val="22"/>
          <w:lang w:val="en-GB"/>
        </w:rPr>
        <w:t>IR</w:t>
      </w:r>
      <w:r w:rsidR="001A6CB3" w:rsidRPr="001A6CB3">
        <w:rPr>
          <w:rFonts w:ascii="Arial" w:hAnsi="Arial" w:cs="Arial"/>
          <w:sz w:val="22"/>
          <w:szCs w:val="22"/>
          <w:lang w:val="en-GB"/>
        </w:rPr>
        <w:t xml:space="preserve"> Recast, was put in place to ensure the safety of local creditors in the event that the establishment's activities were to </w:t>
      </w:r>
      <w:proofErr w:type="gramStart"/>
      <w:r w:rsidR="001A6CB3" w:rsidRPr="001A6CB3">
        <w:rPr>
          <w:rFonts w:ascii="Arial" w:hAnsi="Arial" w:cs="Arial"/>
          <w:sz w:val="22"/>
          <w:szCs w:val="22"/>
          <w:lang w:val="en-GB"/>
        </w:rPr>
        <w:t>cease</w:t>
      </w:r>
      <w:proofErr w:type="gramEnd"/>
      <w:r w:rsidR="001A6CB3" w:rsidRPr="001A6CB3">
        <w:rPr>
          <w:rFonts w:ascii="Arial" w:hAnsi="Arial" w:cs="Arial"/>
          <w:sz w:val="22"/>
          <w:szCs w:val="22"/>
          <w:lang w:val="en-GB"/>
        </w:rPr>
        <w:t xml:space="preserve"> or the pre-insolvency forum changed.</w:t>
      </w:r>
    </w:p>
    <w:p w14:paraId="5422037F" w14:textId="35151452" w:rsidR="001336D5" w:rsidRDefault="000272A8" w:rsidP="000F49CE">
      <w:pPr>
        <w:pStyle w:val="ListParagraph"/>
        <w:numPr>
          <w:ilvl w:val="0"/>
          <w:numId w:val="13"/>
        </w:numPr>
        <w:jc w:val="both"/>
        <w:rPr>
          <w:rFonts w:ascii="Arial" w:hAnsi="Arial" w:cs="Arial"/>
          <w:sz w:val="22"/>
          <w:szCs w:val="22"/>
          <w:lang w:val="en-GB"/>
        </w:rPr>
      </w:pPr>
      <w:r w:rsidRPr="001E2113">
        <w:rPr>
          <w:rFonts w:ascii="Arial" w:hAnsi="Arial" w:cs="Arial"/>
          <w:b/>
          <w:bCs/>
          <w:sz w:val="22"/>
          <w:szCs w:val="22"/>
          <w:lang w:val="en-GB"/>
        </w:rPr>
        <w:lastRenderedPageBreak/>
        <w:t>Proposed:</w:t>
      </w:r>
      <w:r>
        <w:rPr>
          <w:rFonts w:ascii="Arial" w:hAnsi="Arial" w:cs="Arial"/>
          <w:sz w:val="22"/>
          <w:szCs w:val="22"/>
          <w:lang w:val="en-GB"/>
        </w:rPr>
        <w:t xml:space="preserve"> </w:t>
      </w:r>
      <w:r w:rsidR="001E2113" w:rsidRPr="001E2113">
        <w:rPr>
          <w:rFonts w:ascii="Arial" w:hAnsi="Arial" w:cs="Arial"/>
          <w:sz w:val="22"/>
          <w:szCs w:val="22"/>
          <w:lang w:val="en-GB"/>
        </w:rPr>
        <w:t>To improve the coordination of insolvency procedures involving members of a group of enterprises and to better assure the coordination of main proceedings with any competing local ('secondary') processes initiated in other Member States with respect to the same debtor (Chapter V).</w:t>
      </w:r>
      <w:proofErr w:type="spellStart"/>
      <w:r w:rsidR="00BB2A9B" w:rsidRPr="000F49CE">
        <w:rPr>
          <w:rFonts w:ascii="Arial" w:hAnsi="Arial" w:cs="Arial"/>
          <w:sz w:val="22"/>
          <w:szCs w:val="22"/>
          <w:lang w:val="en-GB"/>
        </w:rPr>
        <w:t>etter</w:t>
      </w:r>
      <w:proofErr w:type="spellEnd"/>
      <w:r w:rsidR="00BB2A9B" w:rsidRPr="000F49CE">
        <w:rPr>
          <w:rFonts w:ascii="Arial" w:hAnsi="Arial" w:cs="Arial"/>
          <w:sz w:val="22"/>
          <w:szCs w:val="22"/>
          <w:lang w:val="en-GB"/>
        </w:rPr>
        <w:t xml:space="preserve"> secure the coordination of main proceedings with any rival local (‘secondary’) proceedings opened in other Member States in relation to the same debtor (Chapter III),</w:t>
      </w:r>
      <w:r>
        <w:rPr>
          <w:rFonts w:ascii="Arial" w:hAnsi="Arial" w:cs="Arial"/>
          <w:sz w:val="22"/>
          <w:szCs w:val="22"/>
          <w:lang w:val="en-GB"/>
        </w:rPr>
        <w:t xml:space="preserve"> </w:t>
      </w:r>
      <w:r w:rsidR="00BB2A9B" w:rsidRPr="000F49CE">
        <w:rPr>
          <w:rFonts w:ascii="Arial" w:hAnsi="Arial" w:cs="Arial"/>
          <w:sz w:val="22"/>
          <w:szCs w:val="22"/>
          <w:lang w:val="en-GB"/>
        </w:rPr>
        <w:t xml:space="preserve">and to enhance the coordination of insolvency proceedings relating to members of a group of companies (Chapter V). </w:t>
      </w:r>
    </w:p>
    <w:p w14:paraId="4606E0D9" w14:textId="2FE96BEA" w:rsidR="009F4E51" w:rsidRDefault="009F4E51" w:rsidP="009F4E51">
      <w:pPr>
        <w:pStyle w:val="ListParagraph"/>
        <w:jc w:val="both"/>
        <w:rPr>
          <w:rFonts w:ascii="Arial" w:hAnsi="Arial" w:cs="Arial"/>
          <w:sz w:val="22"/>
          <w:szCs w:val="22"/>
          <w:lang w:val="en-GB"/>
        </w:rPr>
      </w:pPr>
      <w:r w:rsidRPr="001E2113">
        <w:rPr>
          <w:rFonts w:ascii="Arial" w:hAnsi="Arial" w:cs="Arial"/>
          <w:b/>
          <w:bCs/>
          <w:sz w:val="22"/>
          <w:szCs w:val="22"/>
          <w:lang w:val="en-GB"/>
        </w:rPr>
        <w:t>Adopted:</w:t>
      </w:r>
      <w:r>
        <w:rPr>
          <w:rFonts w:ascii="Arial" w:hAnsi="Arial" w:cs="Arial"/>
          <w:sz w:val="22"/>
          <w:szCs w:val="22"/>
          <w:lang w:val="en-GB"/>
        </w:rPr>
        <w:t xml:space="preserve"> </w:t>
      </w:r>
      <w:r w:rsidR="00654710" w:rsidRPr="00654710">
        <w:rPr>
          <w:rFonts w:ascii="Arial" w:hAnsi="Arial" w:cs="Arial"/>
          <w:sz w:val="22"/>
          <w:szCs w:val="22"/>
          <w:lang w:val="en-GB"/>
        </w:rPr>
        <w:t>Multiple insolvency procedures against the same debtor may be initiated in various Member States under the EIR Recast. The number of proceedings results in increased expenditures (for example, court fees, salaries of IPs, communication and translation costs, time costs). When the primary and secondary procedures are of different types, such as when the primary proceedings are remedial while the secondary proceedings are intended to liquidate the corporation, issues may develop. Rules for collaboration and communication should reduce these hazards.</w:t>
      </w:r>
    </w:p>
    <w:p w14:paraId="4A637290" w14:textId="43D16BD1" w:rsidR="00544127" w:rsidRPr="000F49CE" w:rsidRDefault="00BB2A9B" w:rsidP="000F49CE">
      <w:pPr>
        <w:pStyle w:val="ListParagraph"/>
        <w:numPr>
          <w:ilvl w:val="0"/>
          <w:numId w:val="13"/>
        </w:numPr>
        <w:jc w:val="both"/>
        <w:rPr>
          <w:rFonts w:ascii="Arial" w:hAnsi="Arial" w:cs="Arial"/>
          <w:sz w:val="22"/>
          <w:szCs w:val="22"/>
          <w:lang w:val="en-GB"/>
        </w:rPr>
      </w:pPr>
      <w:r w:rsidRPr="000F49CE">
        <w:rPr>
          <w:rFonts w:ascii="Arial" w:hAnsi="Arial" w:cs="Arial"/>
          <w:sz w:val="22"/>
          <w:szCs w:val="22"/>
          <w:lang w:val="en-GB"/>
        </w:rPr>
        <w:t>The extended scope of the recast EIR means that some national restructuring procedures previously excluded from the EIR will now fall within its scope, such that they are subject to its burdens (including its rules on jurisdiction to open proceedings, and on the coordination of proceedings), but eligible for its privileges – including those conferred on main proceedings to ensure EU-wide effectiveness.</w:t>
      </w: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3576F987" w:rsidR="00DF75F8" w:rsidRPr="005D2CD6" w:rsidRDefault="00DF75F8" w:rsidP="002A37BB">
      <w:pPr>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3DAA6780" w14:textId="657CEFE1" w:rsidR="00962045" w:rsidRPr="005D2CD6" w:rsidRDefault="00962045" w:rsidP="002A37BB">
      <w:pPr>
        <w:jc w:val="both"/>
        <w:rPr>
          <w:rFonts w:ascii="Arial" w:hAnsi="Arial" w:cs="Arial"/>
          <w:sz w:val="22"/>
          <w:szCs w:val="22"/>
          <w:shd w:val="clear" w:color="auto" w:fill="FFFFFF"/>
        </w:rPr>
      </w:pPr>
    </w:p>
    <w:p w14:paraId="375B4FEA" w14:textId="77777777" w:rsidR="00674AD9" w:rsidRPr="00674AD9" w:rsidRDefault="00674AD9" w:rsidP="002A37BB">
      <w:pPr>
        <w:jc w:val="both"/>
        <w:rPr>
          <w:rFonts w:ascii="Arial" w:hAnsi="Arial" w:cs="Arial"/>
          <w:b/>
          <w:bCs/>
          <w:sz w:val="22"/>
          <w:szCs w:val="22"/>
          <w:lang w:val="en-GB"/>
        </w:rPr>
      </w:pPr>
      <w:r w:rsidRPr="00674AD9">
        <w:rPr>
          <w:rFonts w:ascii="Arial" w:hAnsi="Arial" w:cs="Arial"/>
          <w:b/>
          <w:bCs/>
          <w:sz w:val="22"/>
          <w:szCs w:val="22"/>
          <w:lang w:val="en-GB"/>
        </w:rPr>
        <w:t xml:space="preserve">Answer: </w:t>
      </w:r>
    </w:p>
    <w:p w14:paraId="6897A80A" w14:textId="77777777" w:rsidR="00674AD9" w:rsidRDefault="00674AD9" w:rsidP="002A37BB">
      <w:pPr>
        <w:jc w:val="both"/>
        <w:rPr>
          <w:rFonts w:ascii="Arial" w:hAnsi="Arial" w:cs="Arial"/>
          <w:sz w:val="22"/>
          <w:szCs w:val="22"/>
          <w:lang w:val="en-GB"/>
        </w:rPr>
      </w:pPr>
    </w:p>
    <w:p w14:paraId="3CB7D740" w14:textId="451598E7" w:rsidR="00826559" w:rsidRPr="00826559" w:rsidRDefault="001C2371" w:rsidP="002A37BB">
      <w:pPr>
        <w:jc w:val="both"/>
        <w:rPr>
          <w:rFonts w:ascii="Arial" w:hAnsi="Arial" w:cs="Arial"/>
          <w:sz w:val="22"/>
          <w:szCs w:val="22"/>
          <w:lang w:val="en-GB"/>
        </w:rPr>
      </w:pPr>
      <w:r>
        <w:rPr>
          <w:rFonts w:ascii="Arial" w:hAnsi="Arial" w:cs="Arial"/>
          <w:sz w:val="22"/>
          <w:szCs w:val="22"/>
          <w:lang w:val="en-GB"/>
        </w:rPr>
        <w:t>T</w:t>
      </w:r>
      <w:r w:rsidRPr="001C2371">
        <w:rPr>
          <w:rFonts w:ascii="Arial" w:hAnsi="Arial" w:cs="Arial"/>
          <w:sz w:val="22"/>
          <w:szCs w:val="22"/>
          <w:lang w:val="en-GB"/>
        </w:rPr>
        <w:t xml:space="preserve">he primary goal of the reform was to enhance how the Regulation operated throughout the Member States </w:t>
      </w:r>
      <w:proofErr w:type="gramStart"/>
      <w:r w:rsidRPr="001C2371">
        <w:rPr>
          <w:rFonts w:ascii="Arial" w:hAnsi="Arial" w:cs="Arial"/>
          <w:sz w:val="22"/>
          <w:szCs w:val="22"/>
          <w:lang w:val="en-GB"/>
        </w:rPr>
        <w:t>in order to</w:t>
      </w:r>
      <w:proofErr w:type="gramEnd"/>
      <w:r w:rsidRPr="001C2371">
        <w:rPr>
          <w:rFonts w:ascii="Arial" w:hAnsi="Arial" w:cs="Arial"/>
          <w:sz w:val="22"/>
          <w:szCs w:val="22"/>
          <w:lang w:val="en-GB"/>
        </w:rPr>
        <w:t xml:space="preserve"> support the internal market's efficient operation. The reform principally codified the ECJ's case law and included several components of effective national insolvency regimes that had operated admirably over time, such as pre-insolvency, hybrid, and synthetic processes, particularly since the commencement of the world financial and economic crisis.</w:t>
      </w:r>
    </w:p>
    <w:p w14:paraId="4EABCAF9" w14:textId="77777777" w:rsidR="00674AD9" w:rsidRDefault="00674AD9" w:rsidP="002A37BB">
      <w:pPr>
        <w:jc w:val="both"/>
        <w:rPr>
          <w:rFonts w:ascii="Arial" w:hAnsi="Arial" w:cs="Arial"/>
          <w:sz w:val="22"/>
          <w:szCs w:val="22"/>
          <w:lang w:val="en-GB"/>
        </w:rPr>
      </w:pPr>
    </w:p>
    <w:p w14:paraId="6B6B621F" w14:textId="22CA870D" w:rsidR="00826559" w:rsidRPr="00826559" w:rsidRDefault="005E3719" w:rsidP="002A37BB">
      <w:pPr>
        <w:jc w:val="both"/>
        <w:rPr>
          <w:rFonts w:ascii="Arial" w:hAnsi="Arial" w:cs="Arial"/>
          <w:sz w:val="22"/>
          <w:szCs w:val="22"/>
          <w:lang w:val="en-GB"/>
        </w:rPr>
      </w:pPr>
      <w:r w:rsidRPr="005E3719">
        <w:rPr>
          <w:rFonts w:ascii="Arial" w:hAnsi="Arial" w:cs="Arial"/>
          <w:sz w:val="22"/>
          <w:szCs w:val="22"/>
          <w:lang w:val="en-GB"/>
        </w:rPr>
        <w:t xml:space="preserve">One of the primary topics discussed during the debate over the Regulation's modification was the increased emphasis on rescue and the requirement to broaden the Regulation's application to pre-insolvency and hybrid actions. It was the first issue the Heidelberg Report raised in 2013, suggesting that the EIR's scope was an area that may use some improvement. Because it emphasises upstreaming rescue—moving the moment at which a firm can take advantage of restructuring processes to a considerably earlier point than the time at which it becomes formally insolvent—the EIR Recast therefore follows in the Restructuring Recommendation's footsteps. </w:t>
      </w:r>
      <w:r w:rsidR="005A5895" w:rsidRPr="005A5895">
        <w:rPr>
          <w:rFonts w:ascii="Arial" w:hAnsi="Arial" w:cs="Arial"/>
          <w:sz w:val="22"/>
          <w:szCs w:val="22"/>
          <w:lang w:val="en-GB"/>
        </w:rPr>
        <w:t>Pre-insolvency actions, which attempt to restructure a company in financial distress as soon as practicable, even before the firm is formally declared bankrupt, are now covered under Article 1(1) of the EIR Recast.</w:t>
      </w:r>
    </w:p>
    <w:p w14:paraId="3F209F4E" w14:textId="77777777" w:rsidR="00674AD9" w:rsidRDefault="00674AD9" w:rsidP="002A37BB">
      <w:pPr>
        <w:jc w:val="both"/>
        <w:rPr>
          <w:rFonts w:ascii="Arial" w:hAnsi="Arial" w:cs="Arial"/>
          <w:sz w:val="22"/>
          <w:szCs w:val="22"/>
          <w:lang w:val="en-GB"/>
        </w:rPr>
      </w:pPr>
    </w:p>
    <w:p w14:paraId="39E27655" w14:textId="009C3372" w:rsidR="00826559" w:rsidRDefault="00674AD9" w:rsidP="002A37BB">
      <w:pPr>
        <w:jc w:val="both"/>
        <w:rPr>
          <w:rFonts w:ascii="Arial" w:hAnsi="Arial" w:cs="Arial"/>
          <w:sz w:val="22"/>
          <w:szCs w:val="22"/>
          <w:lang w:val="en-GB"/>
        </w:rPr>
      </w:pPr>
      <w:r w:rsidRPr="00674AD9">
        <w:rPr>
          <w:rFonts w:ascii="Arial" w:hAnsi="Arial" w:cs="Arial"/>
          <w:sz w:val="22"/>
          <w:szCs w:val="22"/>
          <w:lang w:val="en-GB"/>
        </w:rPr>
        <w:t xml:space="preserve">New norms for collaboration and communication between courts, insolvency practitioners, and between courts and insolvency practitioners are also introduced by the EIR Recast. In accordance with Article 41, for instance, inter-insolvency practitioner collaboration "may take any shape, including the formation of agreements or procedures." The new rules recognise the necessity to maintain the flexibility and lack of bureaucratic restrictions in court-to-court </w:t>
      </w:r>
      <w:r w:rsidRPr="00674AD9">
        <w:rPr>
          <w:rFonts w:ascii="Arial" w:hAnsi="Arial" w:cs="Arial"/>
          <w:sz w:val="22"/>
          <w:szCs w:val="22"/>
          <w:lang w:val="en-GB"/>
        </w:rPr>
        <w:lastRenderedPageBreak/>
        <w:t>coordination and provide open contact and the free flow of information between the concerned courts.</w:t>
      </w:r>
    </w:p>
    <w:p w14:paraId="036E5FC7" w14:textId="77777777" w:rsidR="00674AD9" w:rsidRPr="00826559" w:rsidRDefault="00674AD9" w:rsidP="002A37BB">
      <w:pPr>
        <w:jc w:val="both"/>
        <w:rPr>
          <w:rFonts w:ascii="Arial" w:hAnsi="Arial" w:cs="Arial"/>
          <w:sz w:val="22"/>
          <w:szCs w:val="22"/>
          <w:lang w:val="en-GB"/>
        </w:rPr>
      </w:pPr>
    </w:p>
    <w:p w14:paraId="13A1851E" w14:textId="6A8A82B8" w:rsidR="00A94925" w:rsidRDefault="00A94925" w:rsidP="002A37BB">
      <w:pPr>
        <w:jc w:val="both"/>
        <w:rPr>
          <w:rFonts w:ascii="Arial" w:hAnsi="Arial" w:cs="Arial"/>
          <w:sz w:val="22"/>
          <w:szCs w:val="22"/>
          <w:lang w:val="en-GB"/>
        </w:rPr>
      </w:pPr>
      <w:r w:rsidRPr="00A94925">
        <w:rPr>
          <w:rFonts w:ascii="Arial" w:hAnsi="Arial" w:cs="Arial"/>
          <w:sz w:val="22"/>
          <w:szCs w:val="22"/>
          <w:lang w:val="en-GB"/>
        </w:rPr>
        <w:t xml:space="preserve">The EIR Recast seeks to encourage the rescue of economically viable firms throughout the EU by broadening the scope of the Regulation. The EIR recast, although including pertinent modifications, has stuck to the format of the previous EIR. With few exceptions, the widespread perception is that the EIR recast does not significantly affect the previous position because </w:t>
      </w:r>
      <w:proofErr w:type="gramStart"/>
      <w:r w:rsidRPr="00A94925">
        <w:rPr>
          <w:rFonts w:ascii="Arial" w:hAnsi="Arial" w:cs="Arial"/>
          <w:sz w:val="22"/>
          <w:szCs w:val="22"/>
          <w:lang w:val="en-GB"/>
        </w:rPr>
        <w:t>the majority of</w:t>
      </w:r>
      <w:proofErr w:type="gramEnd"/>
      <w:r w:rsidRPr="00A94925">
        <w:rPr>
          <w:rFonts w:ascii="Arial" w:hAnsi="Arial" w:cs="Arial"/>
          <w:sz w:val="22"/>
          <w:szCs w:val="22"/>
          <w:lang w:val="en-GB"/>
        </w:rPr>
        <w:t xml:space="preserve"> modifications just codify the ECJ's case law. Indeed, important components like the fundamental ideas of COMI and secondary processes were kept in the new Regulation.</w:t>
      </w:r>
      <w:r w:rsidR="00A5091B" w:rsidRPr="00A5091B">
        <w:t xml:space="preserve"> </w:t>
      </w:r>
      <w:r w:rsidR="00A5091B" w:rsidRPr="00A5091B">
        <w:rPr>
          <w:rFonts w:ascii="Arial" w:hAnsi="Arial" w:cs="Arial"/>
          <w:sz w:val="22"/>
          <w:szCs w:val="22"/>
          <w:lang w:val="en-GB"/>
        </w:rPr>
        <w:t>It is significant that it still does not harmonise the core provisions of bankruptcy and rescue laws across Member States. The European Institutions' decision to alter European cross-border bankruptcy law incrementally, baby step by baby step, as illustrated by the EIR recast. It explains why, although going into effect in July 2017, the Proposal for an Insolvency Directive 2016 was previously published in November 2016.</w:t>
      </w:r>
    </w:p>
    <w:p w14:paraId="32D4C2E1" w14:textId="77777777" w:rsidR="00A94925" w:rsidRDefault="00A94925" w:rsidP="002A37BB">
      <w:pPr>
        <w:jc w:val="both"/>
        <w:rPr>
          <w:rFonts w:ascii="Arial" w:hAnsi="Arial" w:cs="Arial"/>
          <w:sz w:val="22"/>
          <w:szCs w:val="22"/>
          <w:lang w:val="en-GB"/>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7FB536C2" w:rsidR="00DF75F8" w:rsidRDefault="00DF75F8"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[Type your answer here]</w:t>
      </w:r>
    </w:p>
    <w:p w14:paraId="6602BC4A" w14:textId="11FE60FE" w:rsidR="00682004" w:rsidRDefault="00682004" w:rsidP="002A37BB">
      <w:pPr>
        <w:jc w:val="both"/>
        <w:rPr>
          <w:rFonts w:ascii="Arial" w:hAnsi="Arial" w:cs="Arial"/>
          <w:color w:val="7B7B7B" w:themeColor="accent3" w:themeShade="BF"/>
          <w:sz w:val="22"/>
          <w:szCs w:val="22"/>
          <w:lang w:val="en-GB"/>
        </w:rPr>
      </w:pPr>
    </w:p>
    <w:p w14:paraId="4F2C7F1C" w14:textId="1377F555" w:rsidR="008116BE" w:rsidRDefault="008116BE" w:rsidP="00BB2F65">
      <w:pPr>
        <w:pStyle w:val="ListParagraph"/>
        <w:numPr>
          <w:ilvl w:val="0"/>
          <w:numId w:val="14"/>
        </w:numPr>
        <w:jc w:val="both"/>
        <w:rPr>
          <w:rFonts w:ascii="Arial" w:hAnsi="Arial" w:cs="Arial"/>
          <w:sz w:val="22"/>
          <w:szCs w:val="22"/>
          <w:lang w:val="en-GB"/>
        </w:rPr>
      </w:pPr>
      <w:r w:rsidRPr="008116BE">
        <w:rPr>
          <w:rFonts w:ascii="Arial" w:hAnsi="Arial" w:cs="Arial"/>
          <w:sz w:val="22"/>
          <w:szCs w:val="22"/>
          <w:lang w:val="en-GB"/>
        </w:rPr>
        <w:t xml:space="preserve">Both the original and the recast versions provide that the initiation of insolvency proceedings should not impact </w:t>
      </w:r>
      <w:proofErr w:type="gramStart"/>
      <w:r w:rsidRPr="008116BE">
        <w:rPr>
          <w:rFonts w:ascii="Arial" w:hAnsi="Arial" w:cs="Arial"/>
          <w:sz w:val="22"/>
          <w:szCs w:val="22"/>
          <w:lang w:val="en-GB"/>
        </w:rPr>
        <w:t>creditors'</w:t>
      </w:r>
      <w:proofErr w:type="gramEnd"/>
      <w:r w:rsidRPr="008116BE">
        <w:rPr>
          <w:rFonts w:ascii="Arial" w:hAnsi="Arial" w:cs="Arial"/>
          <w:sz w:val="22"/>
          <w:szCs w:val="22"/>
          <w:lang w:val="en-GB"/>
        </w:rPr>
        <w:t xml:space="preserve"> in rem rights to property situated in a State other than the State in which the proceedings are commenced. The CJEU most recently examined the clause in </w:t>
      </w:r>
      <w:r w:rsidRPr="008116BE">
        <w:rPr>
          <w:rFonts w:ascii="Arial" w:hAnsi="Arial" w:cs="Arial"/>
          <w:i/>
          <w:iCs/>
          <w:sz w:val="22"/>
          <w:szCs w:val="22"/>
          <w:lang w:val="en-GB"/>
        </w:rPr>
        <w:t xml:space="preserve">Lutz v. </w:t>
      </w:r>
      <w:proofErr w:type="spellStart"/>
      <w:r w:rsidRPr="008116BE">
        <w:rPr>
          <w:rFonts w:ascii="Arial" w:hAnsi="Arial" w:cs="Arial"/>
          <w:i/>
          <w:iCs/>
          <w:sz w:val="22"/>
          <w:szCs w:val="22"/>
          <w:lang w:val="en-GB"/>
        </w:rPr>
        <w:t>Bäuerle</w:t>
      </w:r>
      <w:proofErr w:type="spellEnd"/>
      <w:r w:rsidRPr="008116BE">
        <w:rPr>
          <w:rFonts w:ascii="Arial" w:hAnsi="Arial" w:cs="Arial"/>
          <w:i/>
          <w:iCs/>
          <w:sz w:val="22"/>
          <w:szCs w:val="22"/>
          <w:lang w:val="en-GB"/>
        </w:rPr>
        <w:t xml:space="preserve"> Case C-557/13</w:t>
      </w:r>
      <w:r w:rsidRPr="008116BE">
        <w:rPr>
          <w:rFonts w:ascii="Arial" w:hAnsi="Arial" w:cs="Arial"/>
          <w:sz w:val="22"/>
          <w:szCs w:val="22"/>
          <w:lang w:val="en-GB"/>
        </w:rPr>
        <w:t xml:space="preserve">. The court ruled that a creditor must be able to exercise their right in rem after the start of insolvency proceedings </w:t>
      </w:r>
      <w:proofErr w:type="gramStart"/>
      <w:r w:rsidRPr="008116BE">
        <w:rPr>
          <w:rFonts w:ascii="Arial" w:hAnsi="Arial" w:cs="Arial"/>
          <w:sz w:val="22"/>
          <w:szCs w:val="22"/>
          <w:lang w:val="en-GB"/>
        </w:rPr>
        <w:t>in order for</w:t>
      </w:r>
      <w:proofErr w:type="gramEnd"/>
      <w:r w:rsidRPr="008116BE">
        <w:rPr>
          <w:rFonts w:ascii="Arial" w:hAnsi="Arial" w:cs="Arial"/>
          <w:sz w:val="22"/>
          <w:szCs w:val="22"/>
          <w:lang w:val="en-GB"/>
        </w:rPr>
        <w:t xml:space="preserve"> it to be effective, and that rather than the law of the state where the proceedings were initiated, the specific conditions under the law of the state where the assets are located would apply.</w:t>
      </w:r>
    </w:p>
    <w:p w14:paraId="4920B454" w14:textId="4D479BB0" w:rsidR="005A4E01" w:rsidRDefault="005A4E01" w:rsidP="00BB2F65">
      <w:pPr>
        <w:pStyle w:val="ListParagraph"/>
        <w:numPr>
          <w:ilvl w:val="0"/>
          <w:numId w:val="14"/>
        </w:numPr>
        <w:jc w:val="both"/>
        <w:rPr>
          <w:rFonts w:ascii="Arial" w:hAnsi="Arial" w:cs="Arial"/>
          <w:sz w:val="22"/>
          <w:szCs w:val="22"/>
          <w:lang w:val="en-GB"/>
        </w:rPr>
      </w:pPr>
      <w:r w:rsidRPr="005A4E01">
        <w:rPr>
          <w:rFonts w:ascii="Arial" w:hAnsi="Arial" w:cs="Arial"/>
          <w:sz w:val="22"/>
          <w:szCs w:val="22"/>
          <w:lang w:val="en-GB"/>
        </w:rPr>
        <w:t>Recital 16 of the EIR Recast also makes it clear that the EIR Recast does not apply to normal company law tools that are not specifically designed for insolvency circumstances. The English Schemes of Arrangement, whose usage as a restructuring instrument has seen a particular surge throughout Europe, appear to be excluded by this phrase. However, because to their adaptability, they fall beyond the RR's purview and are hence devoid of automated action and recognition.</w:t>
      </w:r>
    </w:p>
    <w:p w14:paraId="4AE7EA78" w14:textId="5DFAC92F" w:rsidR="007D7C92" w:rsidRPr="00BB2F65" w:rsidRDefault="00BB2F65" w:rsidP="00BB2F65">
      <w:pPr>
        <w:pStyle w:val="ListParagraph"/>
        <w:numPr>
          <w:ilvl w:val="0"/>
          <w:numId w:val="14"/>
        </w:numPr>
        <w:jc w:val="both"/>
        <w:rPr>
          <w:rFonts w:ascii="Arial" w:hAnsi="Arial" w:cs="Arial"/>
          <w:sz w:val="22"/>
          <w:szCs w:val="22"/>
          <w:lang w:val="en-GB"/>
        </w:rPr>
      </w:pPr>
      <w:r w:rsidRPr="00BB2F65">
        <w:rPr>
          <w:rFonts w:ascii="Arial" w:hAnsi="Arial" w:cs="Arial"/>
          <w:sz w:val="22"/>
          <w:szCs w:val="22"/>
          <w:lang w:val="en-GB"/>
        </w:rPr>
        <w:t>In accordance with Article 26(9) of the EIR Recast, local creditors may file a court application in a member state where secondary insolvency proceedings may have been initiated to ask the court to take preliminary or preventive actions to ensure that the terms of the undertaking are being followed.</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2E29B1ED" w:rsidR="002F75A3" w:rsidRPr="008500BD" w:rsidRDefault="002F75A3"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055F8988" w14:textId="1C1AC5F2" w:rsidR="00D95496" w:rsidRDefault="00D95496" w:rsidP="002A37BB">
      <w:pPr>
        <w:jc w:val="both"/>
        <w:rPr>
          <w:rFonts w:ascii="Arial" w:hAnsi="Arial" w:cs="Arial"/>
          <w:sz w:val="22"/>
          <w:szCs w:val="22"/>
          <w:lang w:val="en-GB"/>
        </w:rPr>
      </w:pPr>
    </w:p>
    <w:p w14:paraId="6D2C8B4D" w14:textId="77777777" w:rsidR="00EA0211" w:rsidRPr="00EA0211" w:rsidRDefault="00EA0211" w:rsidP="002A37BB">
      <w:pPr>
        <w:jc w:val="both"/>
        <w:rPr>
          <w:rFonts w:ascii="Arial" w:hAnsi="Arial" w:cs="Arial"/>
          <w:b/>
          <w:bCs/>
          <w:sz w:val="22"/>
          <w:szCs w:val="22"/>
          <w:lang w:val="en-GB"/>
        </w:rPr>
      </w:pPr>
      <w:r w:rsidRPr="00EA0211">
        <w:rPr>
          <w:rFonts w:ascii="Arial" w:hAnsi="Arial" w:cs="Arial"/>
          <w:b/>
          <w:bCs/>
          <w:sz w:val="22"/>
          <w:szCs w:val="22"/>
          <w:lang w:val="en-GB"/>
        </w:rPr>
        <w:t xml:space="preserve">Answer: </w:t>
      </w:r>
    </w:p>
    <w:p w14:paraId="6706559C" w14:textId="77777777" w:rsidR="00EA0211" w:rsidRDefault="00EA0211" w:rsidP="002A37BB">
      <w:pPr>
        <w:jc w:val="both"/>
        <w:rPr>
          <w:rFonts w:ascii="Arial" w:hAnsi="Arial" w:cs="Arial"/>
          <w:sz w:val="22"/>
          <w:szCs w:val="22"/>
          <w:lang w:val="en-GB"/>
        </w:rPr>
      </w:pPr>
    </w:p>
    <w:p w14:paraId="231567AB" w14:textId="77777777" w:rsidR="00BC17CA" w:rsidRDefault="00BC17CA" w:rsidP="00BC17CA">
      <w:pPr>
        <w:jc w:val="both"/>
        <w:rPr>
          <w:rFonts w:ascii="Arial" w:hAnsi="Arial" w:cs="Arial"/>
          <w:sz w:val="22"/>
          <w:szCs w:val="22"/>
          <w:lang w:val="en-GB"/>
        </w:rPr>
      </w:pPr>
      <w:r w:rsidRPr="00F80A19">
        <w:rPr>
          <w:rFonts w:ascii="Arial" w:hAnsi="Arial" w:cs="Arial"/>
          <w:sz w:val="22"/>
          <w:szCs w:val="22"/>
          <w:lang w:val="en-GB"/>
        </w:rPr>
        <w:t xml:space="preserve">Art. 3(1) and (2) EU Insolvency Regulation, 2000 form the basis for a judgment to open insolvency proceedings in the EC. Art. 3(1) of the EIR, 2000 provides that the courts of the Member State within the territory of which the centre of a debtor’s main interests is situated shall have jurisdiction to open insolvency proceedings. </w:t>
      </w:r>
      <w:proofErr w:type="gramStart"/>
      <w:r w:rsidRPr="00F80A19">
        <w:rPr>
          <w:rFonts w:ascii="Arial" w:hAnsi="Arial" w:cs="Arial"/>
          <w:sz w:val="22"/>
          <w:szCs w:val="22"/>
          <w:lang w:val="en-GB"/>
        </w:rPr>
        <w:t>Aforementioned debtor</w:t>
      </w:r>
      <w:proofErr w:type="gramEnd"/>
      <w:r w:rsidRPr="00F80A19">
        <w:rPr>
          <w:rFonts w:ascii="Arial" w:hAnsi="Arial" w:cs="Arial"/>
          <w:sz w:val="22"/>
          <w:szCs w:val="22"/>
          <w:lang w:val="en-GB"/>
        </w:rPr>
        <w:t xml:space="preserve"> can be a private person, whatever the nature of his or her dealings are, or a company or legal person.3 In the case of a company or legal person art. 3(1) of the EIR, 2000, first sentence contains the following presumption: the place of the registered office shall be presumed to be the centre of its main interests, in the absence of proof to the contrary.</w:t>
      </w:r>
    </w:p>
    <w:p w14:paraId="5F034E29" w14:textId="77777777" w:rsidR="00BC17CA" w:rsidRDefault="00BC17CA" w:rsidP="002A37BB">
      <w:pPr>
        <w:jc w:val="both"/>
        <w:rPr>
          <w:rFonts w:ascii="Arial" w:hAnsi="Arial" w:cs="Arial"/>
          <w:sz w:val="22"/>
          <w:szCs w:val="22"/>
          <w:lang w:val="en-GB"/>
        </w:rPr>
      </w:pPr>
    </w:p>
    <w:p w14:paraId="44AF0D80" w14:textId="0736DE85" w:rsidR="003E4DB0" w:rsidRPr="00BC17CA" w:rsidRDefault="000F06E7" w:rsidP="002A37BB">
      <w:pPr>
        <w:jc w:val="both"/>
        <w:rPr>
          <w:rFonts w:ascii="Arial" w:hAnsi="Arial" w:cs="Arial"/>
          <w:sz w:val="22"/>
          <w:szCs w:val="22"/>
          <w:lang w:val="en-GB"/>
        </w:rPr>
      </w:pPr>
      <w:r w:rsidRPr="00BC17CA">
        <w:rPr>
          <w:rFonts w:ascii="Arial" w:hAnsi="Arial" w:cs="Arial"/>
          <w:sz w:val="22"/>
          <w:szCs w:val="22"/>
          <w:lang w:val="en-GB"/>
        </w:rPr>
        <w:t xml:space="preserve">The court having jurisdiction to open the main insolvency proceedings should be enabled to order provisional and protective measures from the time of the request to open proceedings. Preservation measures both prior to and after the commencement of the insolvency proceedings are very important to guarantee the effectiveness of the insolvency proceedings. In that connection this Regulation should afford different possibilities. On the one hand, the court competent for the main insolvency proceedings should be able also to order provisional protective measures covering assets-situated in the </w:t>
      </w:r>
      <w:proofErr w:type="spellStart"/>
      <w:r w:rsidRPr="00BC17CA">
        <w:rPr>
          <w:rFonts w:ascii="Arial" w:hAnsi="Arial" w:cs="Arial"/>
          <w:sz w:val="22"/>
          <w:szCs w:val="22"/>
          <w:lang w:val="en-GB"/>
        </w:rPr>
        <w:t>terri</w:t>
      </w:r>
      <w:proofErr w:type="spellEnd"/>
      <w:r w:rsidRPr="00BC17CA">
        <w:rPr>
          <w:rFonts w:ascii="Arial" w:hAnsi="Arial" w:cs="Arial"/>
          <w:sz w:val="22"/>
          <w:szCs w:val="22"/>
          <w:lang w:val="en-GB"/>
        </w:rPr>
        <w:t xml:space="preserve"> tory of other Member States. On the other hand. a liquidator temporarily appointed </w:t>
      </w:r>
      <w:proofErr w:type="spellStart"/>
      <w:r w:rsidRPr="00BC17CA">
        <w:rPr>
          <w:rFonts w:ascii="Arial" w:hAnsi="Arial" w:cs="Arial"/>
          <w:sz w:val="22"/>
          <w:szCs w:val="22"/>
          <w:lang w:val="en-GB"/>
        </w:rPr>
        <w:t>pnor</w:t>
      </w:r>
      <w:proofErr w:type="spellEnd"/>
      <w:r w:rsidRPr="00BC17CA">
        <w:rPr>
          <w:rFonts w:ascii="Arial" w:hAnsi="Arial" w:cs="Arial"/>
          <w:sz w:val="22"/>
          <w:szCs w:val="22"/>
          <w:lang w:val="en-GB"/>
        </w:rPr>
        <w:t xml:space="preserve"> to the opening of the main insolvency proceedings should be able, in the Member States in which an establishment belonging to the debtor is to be found, to apply for the preservation measures which are possible under the law of those State</w:t>
      </w:r>
      <w:r w:rsidRPr="00BC17CA">
        <w:rPr>
          <w:rFonts w:ascii="Arial" w:hAnsi="Arial" w:cs="Arial"/>
          <w:sz w:val="22"/>
          <w:szCs w:val="22"/>
          <w:lang w:val="en-GB"/>
        </w:rPr>
        <w:t>s</w:t>
      </w:r>
      <w:r w:rsidR="00EA0211" w:rsidRPr="00BC17CA">
        <w:rPr>
          <w:rFonts w:ascii="Arial" w:hAnsi="Arial" w:cs="Arial"/>
          <w:sz w:val="22"/>
          <w:szCs w:val="22"/>
          <w:lang w:val="en-GB"/>
        </w:rPr>
        <w:t>”</w:t>
      </w:r>
      <w:r w:rsidRPr="00BC17CA">
        <w:rPr>
          <w:rFonts w:ascii="Arial" w:hAnsi="Arial" w:cs="Arial"/>
          <w:sz w:val="22"/>
          <w:szCs w:val="22"/>
          <w:lang w:val="en-GB"/>
        </w:rPr>
        <w:t>.</w:t>
      </w:r>
    </w:p>
    <w:p w14:paraId="53C23B14" w14:textId="09FBDBCE" w:rsidR="00F7713A" w:rsidRDefault="00F7713A" w:rsidP="002A37BB">
      <w:pPr>
        <w:jc w:val="both"/>
        <w:rPr>
          <w:rFonts w:ascii="Arial" w:hAnsi="Arial" w:cs="Arial"/>
          <w:sz w:val="22"/>
          <w:szCs w:val="22"/>
          <w:lang w:val="en-GB"/>
        </w:rPr>
      </w:pPr>
    </w:p>
    <w:p w14:paraId="1E2C1ACC" w14:textId="7E1C21FF" w:rsidR="00BC17CA" w:rsidRDefault="00BC17CA" w:rsidP="002A37BB">
      <w:pPr>
        <w:jc w:val="both"/>
        <w:rPr>
          <w:rFonts w:ascii="Arial" w:hAnsi="Arial" w:cs="Arial"/>
          <w:sz w:val="22"/>
          <w:szCs w:val="22"/>
          <w:lang w:val="en-GB"/>
        </w:rPr>
      </w:pPr>
      <w:r>
        <w:rPr>
          <w:rFonts w:ascii="Arial" w:hAnsi="Arial" w:cs="Arial"/>
          <w:sz w:val="22"/>
          <w:szCs w:val="22"/>
          <w:lang w:val="en-GB"/>
        </w:rPr>
        <w:t xml:space="preserve">Thus, making it clear that Dublin High </w:t>
      </w:r>
      <w:r w:rsidR="00AC28C8">
        <w:rPr>
          <w:rFonts w:ascii="Arial" w:hAnsi="Arial" w:cs="Arial"/>
          <w:sz w:val="22"/>
          <w:szCs w:val="22"/>
          <w:lang w:val="en-GB"/>
        </w:rPr>
        <w:t>C</w:t>
      </w:r>
      <w:r>
        <w:rPr>
          <w:rFonts w:ascii="Arial" w:hAnsi="Arial" w:cs="Arial"/>
          <w:sz w:val="22"/>
          <w:szCs w:val="22"/>
          <w:lang w:val="en-GB"/>
        </w:rPr>
        <w:t>ourt have jurisdiction to initiate main inso</w:t>
      </w:r>
      <w:r w:rsidR="00AC28C8">
        <w:rPr>
          <w:rFonts w:ascii="Arial" w:hAnsi="Arial" w:cs="Arial"/>
          <w:sz w:val="22"/>
          <w:szCs w:val="22"/>
          <w:lang w:val="en-GB"/>
        </w:rPr>
        <w:t>lvency proceeding.</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073F1975" w:rsidR="002D3473" w:rsidRPr="008500BD" w:rsidRDefault="002D3473" w:rsidP="002A37BB">
      <w:pPr>
        <w:autoSpaceDE w:val="0"/>
        <w:autoSpaceDN w:val="0"/>
        <w:adjustRightInd w:val="0"/>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1B5E2F08" w14:textId="51CA4D5C" w:rsidR="002D3473" w:rsidRDefault="002D3473" w:rsidP="002A37BB">
      <w:pPr>
        <w:autoSpaceDE w:val="0"/>
        <w:autoSpaceDN w:val="0"/>
        <w:adjustRightInd w:val="0"/>
        <w:jc w:val="both"/>
        <w:rPr>
          <w:rFonts w:ascii="Arial" w:hAnsi="Arial" w:cs="Arial"/>
          <w:sz w:val="22"/>
          <w:szCs w:val="22"/>
          <w:lang w:val="en-GB"/>
        </w:rPr>
      </w:pPr>
    </w:p>
    <w:p w14:paraId="5906AEEB" w14:textId="3E34CC14" w:rsidR="001157BB" w:rsidRPr="001157BB" w:rsidRDefault="001157BB" w:rsidP="002A37BB">
      <w:pPr>
        <w:autoSpaceDE w:val="0"/>
        <w:autoSpaceDN w:val="0"/>
        <w:adjustRightInd w:val="0"/>
        <w:jc w:val="both"/>
        <w:rPr>
          <w:rFonts w:ascii="Arial" w:hAnsi="Arial" w:cs="Arial"/>
          <w:b/>
          <w:bCs/>
          <w:sz w:val="22"/>
          <w:szCs w:val="22"/>
          <w:lang w:val="en-GB"/>
        </w:rPr>
      </w:pPr>
      <w:r w:rsidRPr="001157BB">
        <w:rPr>
          <w:rFonts w:ascii="Arial" w:hAnsi="Arial" w:cs="Arial"/>
          <w:b/>
          <w:bCs/>
          <w:sz w:val="22"/>
          <w:szCs w:val="22"/>
          <w:lang w:val="en-GB"/>
        </w:rPr>
        <w:t xml:space="preserve">Answer: </w:t>
      </w:r>
    </w:p>
    <w:p w14:paraId="0A85E7B2" w14:textId="4E1655A1" w:rsidR="001157BB" w:rsidRDefault="001157BB" w:rsidP="002A37BB">
      <w:pPr>
        <w:autoSpaceDE w:val="0"/>
        <w:autoSpaceDN w:val="0"/>
        <w:adjustRightInd w:val="0"/>
        <w:jc w:val="both"/>
        <w:rPr>
          <w:rFonts w:ascii="Arial" w:hAnsi="Arial" w:cs="Arial"/>
          <w:sz w:val="22"/>
          <w:szCs w:val="22"/>
          <w:lang w:val="en-GB"/>
        </w:rPr>
      </w:pPr>
    </w:p>
    <w:p w14:paraId="3B12D1B7" w14:textId="1763B95F" w:rsidR="001157BB" w:rsidRDefault="00E945B5" w:rsidP="001157BB">
      <w:pPr>
        <w:autoSpaceDE w:val="0"/>
        <w:autoSpaceDN w:val="0"/>
        <w:adjustRightInd w:val="0"/>
        <w:jc w:val="both"/>
        <w:rPr>
          <w:rFonts w:ascii="Arial" w:hAnsi="Arial" w:cs="Arial"/>
          <w:sz w:val="22"/>
          <w:szCs w:val="22"/>
          <w:lang w:val="en-GB"/>
        </w:rPr>
      </w:pPr>
      <w:r w:rsidRPr="00E945B5">
        <w:rPr>
          <w:rFonts w:ascii="Arial" w:hAnsi="Arial" w:cs="Arial"/>
          <w:sz w:val="22"/>
          <w:szCs w:val="22"/>
          <w:lang w:val="en-GB"/>
        </w:rPr>
        <w:t xml:space="preserve">The following points must be addressed </w:t>
      </w:r>
      <w:proofErr w:type="gramStart"/>
      <w:r w:rsidRPr="00E945B5">
        <w:rPr>
          <w:rFonts w:ascii="Arial" w:hAnsi="Arial" w:cs="Arial"/>
          <w:sz w:val="22"/>
          <w:szCs w:val="22"/>
          <w:lang w:val="en-GB"/>
        </w:rPr>
        <w:t>in order to</w:t>
      </w:r>
      <w:proofErr w:type="gramEnd"/>
      <w:r w:rsidRPr="00E945B5">
        <w:rPr>
          <w:rFonts w:ascii="Arial" w:hAnsi="Arial" w:cs="Arial"/>
          <w:sz w:val="22"/>
          <w:szCs w:val="22"/>
          <w:lang w:val="en-GB"/>
        </w:rPr>
        <w:t xml:space="preserve"> determine the extent of the EIR Recast: when does it apply in time (temporal scope), to whom does it apply (personal scope), whatever procedures are covered by it (material scope), and what are its geographical boundaries (geographical scope).</w:t>
      </w:r>
    </w:p>
    <w:p w14:paraId="67CB395E" w14:textId="77777777" w:rsidR="00E945B5" w:rsidRPr="001157BB" w:rsidRDefault="00E945B5" w:rsidP="001157BB">
      <w:pPr>
        <w:autoSpaceDE w:val="0"/>
        <w:autoSpaceDN w:val="0"/>
        <w:adjustRightInd w:val="0"/>
        <w:jc w:val="both"/>
        <w:rPr>
          <w:rFonts w:ascii="Arial" w:hAnsi="Arial" w:cs="Arial"/>
          <w:sz w:val="22"/>
          <w:szCs w:val="22"/>
          <w:lang w:val="en-GB"/>
        </w:rPr>
      </w:pPr>
    </w:p>
    <w:p w14:paraId="55C0585F" w14:textId="77777777" w:rsidR="007D7EB2" w:rsidRPr="007D7EB2" w:rsidRDefault="007D7EB2" w:rsidP="007D7EB2">
      <w:pPr>
        <w:autoSpaceDE w:val="0"/>
        <w:autoSpaceDN w:val="0"/>
        <w:adjustRightInd w:val="0"/>
        <w:jc w:val="both"/>
        <w:rPr>
          <w:rFonts w:ascii="Arial" w:hAnsi="Arial" w:cs="Arial"/>
          <w:sz w:val="22"/>
          <w:szCs w:val="22"/>
          <w:lang w:val="en-GB"/>
        </w:rPr>
      </w:pPr>
      <w:r w:rsidRPr="007D7EB2">
        <w:rPr>
          <w:rFonts w:ascii="Arial" w:hAnsi="Arial" w:cs="Arial"/>
          <w:sz w:val="22"/>
          <w:szCs w:val="22"/>
          <w:lang w:val="en-GB"/>
        </w:rPr>
        <w:t>A schematic representation of a step-by-step strategy is as follows:</w:t>
      </w:r>
    </w:p>
    <w:p w14:paraId="4F0B0BA7" w14:textId="77777777" w:rsidR="007D7EB2" w:rsidRPr="007D7EB2" w:rsidRDefault="007D7EB2" w:rsidP="007D7EB2">
      <w:pPr>
        <w:autoSpaceDE w:val="0"/>
        <w:autoSpaceDN w:val="0"/>
        <w:adjustRightInd w:val="0"/>
        <w:jc w:val="both"/>
        <w:rPr>
          <w:rFonts w:ascii="Arial" w:hAnsi="Arial" w:cs="Arial"/>
          <w:sz w:val="22"/>
          <w:szCs w:val="22"/>
          <w:lang w:val="en-GB"/>
        </w:rPr>
      </w:pPr>
    </w:p>
    <w:p w14:paraId="735C73A2" w14:textId="77777777" w:rsidR="007D7EB2" w:rsidRDefault="007D7EB2" w:rsidP="007D7EB2">
      <w:pPr>
        <w:pStyle w:val="ListParagraph"/>
        <w:numPr>
          <w:ilvl w:val="0"/>
          <w:numId w:val="15"/>
        </w:numPr>
        <w:autoSpaceDE w:val="0"/>
        <w:autoSpaceDN w:val="0"/>
        <w:adjustRightInd w:val="0"/>
        <w:jc w:val="both"/>
        <w:rPr>
          <w:rFonts w:ascii="Arial" w:hAnsi="Arial" w:cs="Arial"/>
          <w:sz w:val="22"/>
          <w:szCs w:val="22"/>
          <w:lang w:val="en-GB"/>
        </w:rPr>
      </w:pPr>
      <w:r w:rsidRPr="007D7EB2">
        <w:rPr>
          <w:rFonts w:ascii="Arial" w:hAnsi="Arial" w:cs="Arial"/>
          <w:sz w:val="22"/>
          <w:szCs w:val="22"/>
          <w:lang w:val="en-GB"/>
        </w:rPr>
        <w:t xml:space="preserve">Except for Denmark, the debtor has COMI in one of the EU's </w:t>
      </w:r>
      <w:proofErr w:type="gramStart"/>
      <w:r w:rsidRPr="007D7EB2">
        <w:rPr>
          <w:rFonts w:ascii="Arial" w:hAnsi="Arial" w:cs="Arial"/>
          <w:sz w:val="22"/>
          <w:szCs w:val="22"/>
          <w:lang w:val="en-GB"/>
        </w:rPr>
        <w:t>member</w:t>
      </w:r>
      <w:proofErr w:type="gramEnd"/>
      <w:r w:rsidRPr="007D7EB2">
        <w:rPr>
          <w:rFonts w:ascii="Arial" w:hAnsi="Arial" w:cs="Arial"/>
          <w:sz w:val="22"/>
          <w:szCs w:val="22"/>
          <w:lang w:val="en-GB"/>
        </w:rPr>
        <w:t xml:space="preserve"> states: </w:t>
      </w:r>
      <w:r>
        <w:rPr>
          <w:rFonts w:ascii="Arial" w:hAnsi="Arial" w:cs="Arial"/>
          <w:sz w:val="22"/>
          <w:szCs w:val="22"/>
          <w:lang w:val="en-GB"/>
        </w:rPr>
        <w:t>YES</w:t>
      </w:r>
    </w:p>
    <w:p w14:paraId="1E5F6657" w14:textId="77777777" w:rsidR="007D7EB2" w:rsidRDefault="007D7EB2" w:rsidP="007D7EB2">
      <w:pPr>
        <w:pStyle w:val="ListParagraph"/>
        <w:numPr>
          <w:ilvl w:val="0"/>
          <w:numId w:val="15"/>
        </w:numPr>
        <w:autoSpaceDE w:val="0"/>
        <w:autoSpaceDN w:val="0"/>
        <w:adjustRightInd w:val="0"/>
        <w:jc w:val="both"/>
        <w:rPr>
          <w:rFonts w:ascii="Arial" w:hAnsi="Arial" w:cs="Arial"/>
          <w:sz w:val="22"/>
          <w:szCs w:val="22"/>
          <w:lang w:val="en-GB"/>
        </w:rPr>
      </w:pPr>
      <w:r w:rsidRPr="007D7EB2">
        <w:rPr>
          <w:rFonts w:ascii="Arial" w:hAnsi="Arial" w:cs="Arial"/>
          <w:sz w:val="22"/>
          <w:szCs w:val="22"/>
          <w:lang w:val="en-GB"/>
        </w:rPr>
        <w:lastRenderedPageBreak/>
        <w:t xml:space="preserve">A bank, an insurance provider, or any "excluded" undertaking is not the debtor. YES </w:t>
      </w:r>
    </w:p>
    <w:p w14:paraId="5B0FC570" w14:textId="77777777" w:rsidR="007D7EB2" w:rsidRDefault="007D7EB2" w:rsidP="007D7EB2">
      <w:pPr>
        <w:pStyle w:val="ListParagraph"/>
        <w:numPr>
          <w:ilvl w:val="0"/>
          <w:numId w:val="15"/>
        </w:numPr>
        <w:autoSpaceDE w:val="0"/>
        <w:autoSpaceDN w:val="0"/>
        <w:adjustRightInd w:val="0"/>
        <w:jc w:val="both"/>
        <w:rPr>
          <w:rFonts w:ascii="Arial" w:hAnsi="Arial" w:cs="Arial"/>
          <w:sz w:val="22"/>
          <w:szCs w:val="22"/>
          <w:lang w:val="en-GB"/>
        </w:rPr>
      </w:pPr>
      <w:r w:rsidRPr="007D7EB2">
        <w:rPr>
          <w:rFonts w:ascii="Arial" w:hAnsi="Arial" w:cs="Arial"/>
          <w:sz w:val="22"/>
          <w:szCs w:val="22"/>
          <w:lang w:val="en-GB"/>
        </w:rPr>
        <w:t>The debtor's legal actions are described in Annex A of the EIR Recast.</w:t>
      </w:r>
      <w:r>
        <w:rPr>
          <w:rFonts w:ascii="Arial" w:hAnsi="Arial" w:cs="Arial"/>
          <w:sz w:val="22"/>
          <w:szCs w:val="22"/>
          <w:lang w:val="en-GB"/>
        </w:rPr>
        <w:t>: YES</w:t>
      </w:r>
    </w:p>
    <w:p w14:paraId="7A144BF8" w14:textId="0716515A" w:rsidR="001157BB" w:rsidRPr="001157BB" w:rsidRDefault="007D7EB2" w:rsidP="007D7EB2">
      <w:pPr>
        <w:pStyle w:val="ListParagraph"/>
        <w:numPr>
          <w:ilvl w:val="0"/>
          <w:numId w:val="15"/>
        </w:numPr>
        <w:autoSpaceDE w:val="0"/>
        <w:autoSpaceDN w:val="0"/>
        <w:adjustRightInd w:val="0"/>
        <w:jc w:val="both"/>
        <w:rPr>
          <w:rFonts w:ascii="Arial" w:hAnsi="Arial" w:cs="Arial"/>
          <w:sz w:val="22"/>
          <w:szCs w:val="22"/>
          <w:lang w:val="en-GB"/>
        </w:rPr>
      </w:pPr>
      <w:r w:rsidRPr="007D7EB2">
        <w:rPr>
          <w:rFonts w:ascii="Arial" w:hAnsi="Arial" w:cs="Arial"/>
          <w:sz w:val="22"/>
          <w:szCs w:val="22"/>
          <w:lang w:val="en-GB"/>
        </w:rPr>
        <w:t>The case was started after June 26, 2017: YES.</w:t>
      </w:r>
    </w:p>
    <w:p w14:paraId="77B371AF" w14:textId="77777777" w:rsidR="001157BB" w:rsidRPr="001157BB" w:rsidRDefault="001157BB" w:rsidP="001157BB">
      <w:pPr>
        <w:autoSpaceDE w:val="0"/>
        <w:autoSpaceDN w:val="0"/>
        <w:adjustRightInd w:val="0"/>
        <w:jc w:val="both"/>
        <w:rPr>
          <w:rFonts w:ascii="Arial" w:hAnsi="Arial" w:cs="Arial"/>
          <w:sz w:val="22"/>
          <w:szCs w:val="22"/>
          <w:lang w:val="en-GB"/>
        </w:rPr>
      </w:pPr>
    </w:p>
    <w:p w14:paraId="10420A8F" w14:textId="04C53BA5" w:rsidR="001157BB" w:rsidRPr="001157BB" w:rsidRDefault="0030513B" w:rsidP="001157B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Since </w:t>
      </w:r>
      <w:r w:rsidR="001157BB" w:rsidRPr="001157BB">
        <w:rPr>
          <w:rFonts w:ascii="Arial" w:hAnsi="Arial" w:cs="Arial"/>
          <w:sz w:val="22"/>
          <w:szCs w:val="22"/>
          <w:lang w:val="en-GB"/>
        </w:rPr>
        <w:t xml:space="preserve">all four steps have led to a "YES," the EIR Recast </w:t>
      </w:r>
      <w:r w:rsidR="007D7EB2">
        <w:rPr>
          <w:rFonts w:ascii="Arial" w:hAnsi="Arial" w:cs="Arial"/>
          <w:sz w:val="22"/>
          <w:szCs w:val="22"/>
          <w:lang w:val="en-GB"/>
        </w:rPr>
        <w:t>will</w:t>
      </w:r>
      <w:r w:rsidR="001157BB" w:rsidRPr="001157BB">
        <w:rPr>
          <w:rFonts w:ascii="Arial" w:hAnsi="Arial" w:cs="Arial"/>
          <w:sz w:val="22"/>
          <w:szCs w:val="22"/>
          <w:lang w:val="en-GB"/>
        </w:rPr>
        <w:t xml:space="preserve"> be applicable to the opened insolvency</w:t>
      </w:r>
      <w:r>
        <w:rPr>
          <w:rFonts w:ascii="Arial" w:hAnsi="Arial" w:cs="Arial"/>
          <w:sz w:val="22"/>
          <w:szCs w:val="22"/>
          <w:lang w:val="en-GB"/>
        </w:rPr>
        <w:t xml:space="preserve"> </w:t>
      </w:r>
      <w:r w:rsidR="001157BB" w:rsidRPr="001157BB">
        <w:rPr>
          <w:rFonts w:ascii="Arial" w:hAnsi="Arial" w:cs="Arial"/>
          <w:sz w:val="22"/>
          <w:szCs w:val="22"/>
          <w:lang w:val="en-GB"/>
        </w:rPr>
        <w:t>proceeding.</w:t>
      </w:r>
    </w:p>
    <w:p w14:paraId="509BCD2A" w14:textId="77777777" w:rsidR="001157BB" w:rsidRPr="001157BB" w:rsidRDefault="001157BB" w:rsidP="00115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7777777" w:rsidR="0077498C" w:rsidRPr="008500BD" w:rsidRDefault="0033768C" w:rsidP="002A37BB">
      <w:pPr>
        <w:jc w:val="both"/>
        <w:rPr>
          <w:rFonts w:ascii="Arial" w:hAnsi="Arial" w:cs="Arial"/>
          <w:color w:val="000000" w:themeColor="text1"/>
          <w:sz w:val="22"/>
          <w:szCs w:val="22"/>
          <w:lang w:val="en-GB"/>
        </w:rPr>
      </w:pPr>
      <w:r w:rsidRPr="008500BD">
        <w:rPr>
          <w:rFonts w:ascii="Arial" w:hAnsi="Arial" w:cs="Arial"/>
          <w:color w:val="7B7B7B" w:themeColor="accent3" w:themeShade="BF"/>
          <w:sz w:val="22"/>
          <w:szCs w:val="22"/>
          <w:lang w:val="en-GB"/>
        </w:rPr>
        <w:t>[Type your answer here]</w:t>
      </w:r>
    </w:p>
    <w:p w14:paraId="35D8F287" w14:textId="0196CCA1" w:rsidR="0077498C" w:rsidRDefault="0077498C" w:rsidP="002A37BB">
      <w:pPr>
        <w:jc w:val="both"/>
        <w:rPr>
          <w:rFonts w:ascii="Arial" w:hAnsi="Arial" w:cs="Arial"/>
          <w:color w:val="000000" w:themeColor="text1"/>
          <w:sz w:val="22"/>
          <w:szCs w:val="22"/>
          <w:lang w:val="en-GB"/>
        </w:rPr>
      </w:pPr>
    </w:p>
    <w:p w14:paraId="00E95989" w14:textId="77CC7575" w:rsidR="00C950B4" w:rsidRPr="00C950B4" w:rsidRDefault="00E01DD4" w:rsidP="00C950B4">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w:t>
      </w:r>
      <w:r w:rsidR="00C950B4" w:rsidRPr="00C950B4">
        <w:rPr>
          <w:rFonts w:ascii="Arial" w:hAnsi="Arial" w:cs="Arial"/>
          <w:color w:val="000000" w:themeColor="text1"/>
          <w:sz w:val="22"/>
          <w:szCs w:val="22"/>
          <w:lang w:val="en-GB"/>
        </w:rPr>
        <w:t>he following requirements are included in Articles 38, 39, 42, and 43 EIR Recast for courts to examine when a request to commence secondary proceedings is made:</w:t>
      </w:r>
    </w:p>
    <w:p w14:paraId="131C96D8" w14:textId="77777777" w:rsidR="00C950B4" w:rsidRPr="00C950B4" w:rsidRDefault="00C950B4" w:rsidP="00C950B4">
      <w:pPr>
        <w:pStyle w:val="ListParagraph"/>
        <w:jc w:val="both"/>
        <w:rPr>
          <w:rFonts w:ascii="Arial" w:hAnsi="Arial" w:cs="Arial"/>
          <w:color w:val="000000" w:themeColor="text1"/>
          <w:sz w:val="22"/>
          <w:szCs w:val="22"/>
          <w:lang w:val="en-GB"/>
        </w:rPr>
      </w:pPr>
    </w:p>
    <w:p w14:paraId="4AD39E2D" w14:textId="7CC7B8AF" w:rsidR="00C950B4" w:rsidRPr="00483DDA" w:rsidRDefault="00C950B4"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 xml:space="preserve">The requirement to notify the IOH in the main proceedings and provide this IOH with a hearing opportunity about the </w:t>
      </w:r>
      <w:proofErr w:type="gramStart"/>
      <w:r w:rsidRPr="00483DDA">
        <w:rPr>
          <w:rFonts w:ascii="Arial" w:hAnsi="Arial" w:cs="Arial"/>
          <w:color w:val="000000" w:themeColor="text1"/>
          <w:sz w:val="22"/>
          <w:szCs w:val="22"/>
          <w:lang w:val="en-GB"/>
        </w:rPr>
        <w:t>request;</w:t>
      </w:r>
      <w:proofErr w:type="gramEnd"/>
    </w:p>
    <w:p w14:paraId="3367F687" w14:textId="1AF8237B" w:rsidR="00C950B4" w:rsidRPr="00483DDA" w:rsidRDefault="00C950B4"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 xml:space="preserve">the requirement that secondary actions not be opened ('must') if the court finds that the undertaking properly safeguards the general interests of the local </w:t>
      </w:r>
      <w:proofErr w:type="gramStart"/>
      <w:r w:rsidRPr="00483DDA">
        <w:rPr>
          <w:rFonts w:ascii="Arial" w:hAnsi="Arial" w:cs="Arial"/>
          <w:color w:val="000000" w:themeColor="text1"/>
          <w:sz w:val="22"/>
          <w:szCs w:val="22"/>
          <w:lang w:val="en-GB"/>
        </w:rPr>
        <w:t>creditors;</w:t>
      </w:r>
      <w:proofErr w:type="gramEnd"/>
    </w:p>
    <w:p w14:paraId="1C43CF01" w14:textId="3C75DF27" w:rsidR="00C950B4" w:rsidRPr="00483DDA" w:rsidRDefault="00C950B4"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 xml:space="preserve">the ability to impose protective measures to preserve the interests of local creditors and to postpone the start of the secondary proceedings for a maximum of three </w:t>
      </w:r>
      <w:proofErr w:type="gramStart"/>
      <w:r w:rsidRPr="00483DDA">
        <w:rPr>
          <w:rFonts w:ascii="Arial" w:hAnsi="Arial" w:cs="Arial"/>
          <w:color w:val="000000" w:themeColor="text1"/>
          <w:sz w:val="22"/>
          <w:szCs w:val="22"/>
          <w:lang w:val="en-GB"/>
        </w:rPr>
        <w:t>months;</w:t>
      </w:r>
      <w:proofErr w:type="gramEnd"/>
      <w:r w:rsidRPr="00483DDA">
        <w:rPr>
          <w:rFonts w:ascii="Arial" w:hAnsi="Arial" w:cs="Arial"/>
          <w:color w:val="000000" w:themeColor="text1"/>
          <w:sz w:val="22"/>
          <w:szCs w:val="22"/>
          <w:lang w:val="en-GB"/>
        </w:rPr>
        <w:t xml:space="preserve"> </w:t>
      </w:r>
    </w:p>
    <w:p w14:paraId="5058F818" w14:textId="0ACD65B2" w:rsidR="00437150" w:rsidRPr="00483DDA" w:rsidRDefault="00437150"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 xml:space="preserve">The possibility to begin a different kind of insolvency process on Annex A than sought, such as one that is more suited to fulfil reorganisation goals, upon the IOH's request in the main </w:t>
      </w:r>
      <w:proofErr w:type="gramStart"/>
      <w:r w:rsidRPr="00483DDA">
        <w:rPr>
          <w:rFonts w:ascii="Arial" w:hAnsi="Arial" w:cs="Arial"/>
          <w:color w:val="000000" w:themeColor="text1"/>
          <w:sz w:val="22"/>
          <w:szCs w:val="22"/>
          <w:lang w:val="en-GB"/>
        </w:rPr>
        <w:t>proceedings;</w:t>
      </w:r>
      <w:proofErr w:type="gramEnd"/>
    </w:p>
    <w:p w14:paraId="00329B6C" w14:textId="3CA14EF5" w:rsidR="00437150" w:rsidRPr="00483DDA" w:rsidRDefault="00437150"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 xml:space="preserve">Before the courts of the Member State where the secondary proceedings have been initiated, the IOH has the right to contest the decision to commence the secondary </w:t>
      </w:r>
      <w:proofErr w:type="gramStart"/>
      <w:r w:rsidRPr="00483DDA">
        <w:rPr>
          <w:rFonts w:ascii="Arial" w:hAnsi="Arial" w:cs="Arial"/>
          <w:color w:val="000000" w:themeColor="text1"/>
          <w:sz w:val="22"/>
          <w:szCs w:val="22"/>
          <w:lang w:val="en-GB"/>
        </w:rPr>
        <w:t>proceedings;</w:t>
      </w:r>
      <w:proofErr w:type="gramEnd"/>
    </w:p>
    <w:p w14:paraId="0171A4C4" w14:textId="77777777" w:rsidR="0031216A" w:rsidRDefault="00437150"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 xml:space="preserve">The need to comply with any court that receives a request to start a secondary bankruptcy and determines that the undertaking sufficiently safeguards the general interests of the nearby </w:t>
      </w:r>
      <w:proofErr w:type="gramStart"/>
      <w:r w:rsidR="0031216A" w:rsidRPr="00483DDA">
        <w:rPr>
          <w:rFonts w:ascii="Arial" w:hAnsi="Arial" w:cs="Arial"/>
          <w:color w:val="000000" w:themeColor="text1"/>
          <w:sz w:val="22"/>
          <w:szCs w:val="22"/>
          <w:lang w:val="en-GB"/>
        </w:rPr>
        <w:t>creditors;</w:t>
      </w:r>
      <w:proofErr w:type="gramEnd"/>
      <w:r w:rsidR="0031216A" w:rsidRPr="00483DDA">
        <w:rPr>
          <w:rFonts w:ascii="Arial" w:hAnsi="Arial" w:cs="Arial"/>
          <w:color w:val="000000" w:themeColor="text1"/>
          <w:sz w:val="22"/>
          <w:szCs w:val="22"/>
          <w:lang w:val="en-GB"/>
        </w:rPr>
        <w:t xml:space="preserve"> </w:t>
      </w:r>
    </w:p>
    <w:p w14:paraId="58FC163D" w14:textId="74371D72" w:rsidR="00933C3A" w:rsidRPr="00483DDA" w:rsidRDefault="0031216A"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The</w:t>
      </w:r>
      <w:r w:rsidR="00104534" w:rsidRPr="00483DDA">
        <w:rPr>
          <w:rFonts w:ascii="Arial" w:hAnsi="Arial" w:cs="Arial"/>
          <w:color w:val="000000" w:themeColor="text1"/>
          <w:sz w:val="22"/>
          <w:szCs w:val="22"/>
          <w:lang w:val="en-GB"/>
        </w:rPr>
        <w:t xml:space="preserve"> option to stay the opening of the secondary proceedings for a period not exceeding three months, well embedded by the right to order protective measures for protection of the interests of local creditors; </w:t>
      </w:r>
    </w:p>
    <w:p w14:paraId="124F016F" w14:textId="68874B54" w:rsidR="00483DDA" w:rsidRPr="00483DDA" w:rsidRDefault="00483DDA"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 xml:space="preserve">The possibility to begin a different kind of insolvency process on Annex A than sought, such as one that is more suited to fulfil reorganisation goals, upon the IOH's request in the main </w:t>
      </w:r>
      <w:proofErr w:type="gramStart"/>
      <w:r w:rsidRPr="00483DDA">
        <w:rPr>
          <w:rFonts w:ascii="Arial" w:hAnsi="Arial" w:cs="Arial"/>
          <w:color w:val="000000" w:themeColor="text1"/>
          <w:sz w:val="22"/>
          <w:szCs w:val="22"/>
          <w:lang w:val="en-GB"/>
        </w:rPr>
        <w:t>proceedings;</w:t>
      </w:r>
      <w:proofErr w:type="gramEnd"/>
    </w:p>
    <w:p w14:paraId="4A958843" w14:textId="3F9A495D" w:rsidR="00933C3A" w:rsidRPr="00483DDA" w:rsidRDefault="00483DDA" w:rsidP="00483DDA">
      <w:pPr>
        <w:pStyle w:val="ListParagraph"/>
        <w:numPr>
          <w:ilvl w:val="0"/>
          <w:numId w:val="23"/>
        </w:numPr>
        <w:jc w:val="both"/>
        <w:rPr>
          <w:rFonts w:ascii="Arial" w:hAnsi="Arial" w:cs="Arial"/>
          <w:color w:val="000000" w:themeColor="text1"/>
          <w:sz w:val="22"/>
          <w:szCs w:val="22"/>
          <w:lang w:val="en-GB"/>
        </w:rPr>
      </w:pPr>
      <w:r w:rsidRPr="00483DDA">
        <w:rPr>
          <w:rFonts w:ascii="Arial" w:hAnsi="Arial" w:cs="Arial"/>
          <w:color w:val="000000" w:themeColor="text1"/>
          <w:sz w:val="22"/>
          <w:szCs w:val="22"/>
          <w:lang w:val="en-GB"/>
        </w:rPr>
        <w:t>The obligation to communicate with and work cooperatively with any court before which a request to open secondary insolvency proceedings is made. 2. The right of the IOH to contest the decision to open secondary proceedings before the courts of the Member State in which the secondary proceedings have been opened.</w:t>
      </w:r>
    </w:p>
    <w:p w14:paraId="7CDB45A1" w14:textId="77777777" w:rsidR="00483DDA" w:rsidRDefault="00483DDA" w:rsidP="00066C24">
      <w:pPr>
        <w:jc w:val="both"/>
        <w:rPr>
          <w:rFonts w:ascii="Arial" w:hAnsi="Arial" w:cs="Arial"/>
          <w:color w:val="000000" w:themeColor="text1"/>
          <w:sz w:val="22"/>
          <w:szCs w:val="22"/>
          <w:lang w:val="en-GB"/>
        </w:rPr>
      </w:pPr>
    </w:p>
    <w:p w14:paraId="09FB5033" w14:textId="79C312EB" w:rsidR="00187A34" w:rsidRDefault="00886E7D" w:rsidP="00E01DD4">
      <w:pPr>
        <w:jc w:val="both"/>
        <w:rPr>
          <w:rFonts w:ascii="Arial" w:hAnsi="Arial" w:cs="Arial"/>
          <w:color w:val="000000" w:themeColor="text1"/>
          <w:sz w:val="22"/>
          <w:szCs w:val="22"/>
          <w:lang w:val="en-GB"/>
        </w:rPr>
      </w:pPr>
      <w:r w:rsidRPr="00886E7D">
        <w:rPr>
          <w:rFonts w:ascii="Arial" w:hAnsi="Arial" w:cs="Arial"/>
          <w:color w:val="000000" w:themeColor="text1"/>
          <w:sz w:val="22"/>
          <w:szCs w:val="22"/>
          <w:lang w:val="en-GB"/>
        </w:rPr>
        <w:t xml:space="preserve">Additionally, the CJEU </w:t>
      </w:r>
      <w:proofErr w:type="gramStart"/>
      <w:r w:rsidRPr="00886E7D">
        <w:rPr>
          <w:rFonts w:ascii="Arial" w:hAnsi="Arial" w:cs="Arial"/>
          <w:color w:val="000000" w:themeColor="text1"/>
          <w:sz w:val="22"/>
          <w:szCs w:val="22"/>
          <w:lang w:val="en-GB"/>
        </w:rPr>
        <w:t>took into account</w:t>
      </w:r>
      <w:proofErr w:type="gramEnd"/>
      <w:r w:rsidRPr="00886E7D">
        <w:rPr>
          <w:rFonts w:ascii="Arial" w:hAnsi="Arial" w:cs="Arial"/>
          <w:color w:val="000000" w:themeColor="text1"/>
          <w:sz w:val="22"/>
          <w:szCs w:val="22"/>
          <w:lang w:val="en-GB"/>
        </w:rPr>
        <w:t xml:space="preserve"> the court's discretion in its decision to initiate secondary proceedings, which is a matter subject to national law. The CJEU stipulates, however, that this must adhere to (a) EU legislation, (b) specifically its basic principles, such as true collaboration and </w:t>
      </w:r>
      <w:proofErr w:type="spellStart"/>
      <w:r w:rsidRPr="00886E7D">
        <w:rPr>
          <w:rFonts w:ascii="Arial" w:hAnsi="Arial" w:cs="Arial"/>
          <w:color w:val="000000" w:themeColor="text1"/>
          <w:sz w:val="22"/>
          <w:szCs w:val="22"/>
          <w:lang w:val="en-GB"/>
        </w:rPr>
        <w:t>nondiscrimination</w:t>
      </w:r>
      <w:proofErr w:type="spellEnd"/>
      <w:r w:rsidRPr="00886E7D">
        <w:rPr>
          <w:rFonts w:ascii="Arial" w:hAnsi="Arial" w:cs="Arial"/>
          <w:color w:val="000000" w:themeColor="text1"/>
          <w:sz w:val="22"/>
          <w:szCs w:val="22"/>
          <w:lang w:val="en-GB"/>
        </w:rPr>
        <w:t>, and (c) the EIR. The court must consider the goals supporting the possibility of opening such procedures, including the preservation of local interests (Recital 12 EIR), although such openness may also serve other goals (Recital 19 EIR).</w:t>
      </w:r>
      <w:r w:rsidR="00E01DD4">
        <w:rPr>
          <w:rFonts w:ascii="Arial" w:hAnsi="Arial" w:cs="Arial"/>
          <w:color w:val="000000" w:themeColor="text1"/>
          <w:sz w:val="22"/>
          <w:szCs w:val="22"/>
          <w:lang w:val="en-GB"/>
        </w:rPr>
        <w:t xml:space="preserve"> </w:t>
      </w:r>
      <w:r w:rsidR="00E01DD4" w:rsidRPr="00E01DD4">
        <w:rPr>
          <w:rFonts w:ascii="Arial" w:hAnsi="Arial" w:cs="Arial"/>
          <w:color w:val="000000" w:themeColor="text1"/>
          <w:sz w:val="22"/>
          <w:szCs w:val="22"/>
          <w:lang w:val="en-GB"/>
        </w:rPr>
        <w:t xml:space="preserve">Moreover, it must consider the primary proceedings' goals and </w:t>
      </w:r>
      <w:proofErr w:type="gramStart"/>
      <w:r w:rsidR="00E01DD4" w:rsidRPr="00E01DD4">
        <w:rPr>
          <w:rFonts w:ascii="Arial" w:hAnsi="Arial" w:cs="Arial"/>
          <w:color w:val="000000" w:themeColor="text1"/>
          <w:sz w:val="22"/>
          <w:szCs w:val="22"/>
          <w:lang w:val="en-GB"/>
        </w:rPr>
        <w:t>take into account</w:t>
      </w:r>
      <w:proofErr w:type="gramEnd"/>
      <w:r w:rsidR="00E01DD4" w:rsidRPr="00E01DD4">
        <w:rPr>
          <w:rFonts w:ascii="Arial" w:hAnsi="Arial" w:cs="Arial"/>
          <w:color w:val="000000" w:themeColor="text1"/>
          <w:sz w:val="22"/>
          <w:szCs w:val="22"/>
          <w:lang w:val="en-GB"/>
        </w:rPr>
        <w:t xml:space="preserve"> the EIR's general structure. Furthermore, we think that the court should follow the EIR's overarching goal, which is that cross-border insolvency procedures should function effectively </w:t>
      </w:r>
      <w:r w:rsidR="00E01DD4" w:rsidRPr="00E01DD4">
        <w:rPr>
          <w:rFonts w:ascii="Arial" w:hAnsi="Arial" w:cs="Arial"/>
          <w:color w:val="000000" w:themeColor="text1"/>
          <w:sz w:val="22"/>
          <w:szCs w:val="22"/>
          <w:lang w:val="en-GB"/>
        </w:rPr>
        <w:lastRenderedPageBreak/>
        <w:t>and efficiently, as stated in Recital 2. Therefore, if denying a request to initiate secondary actions is consistent with that goal and ensures the preservation of local interests, it is permissible.</w:t>
      </w:r>
    </w:p>
    <w:p w14:paraId="4BB9C6AB" w14:textId="31076D5B" w:rsidR="00E01DD4" w:rsidRDefault="00E01DD4" w:rsidP="00E01DD4">
      <w:pPr>
        <w:jc w:val="both"/>
        <w:rPr>
          <w:rFonts w:ascii="Arial" w:hAnsi="Arial" w:cs="Arial"/>
          <w:color w:val="000000" w:themeColor="text1"/>
          <w:sz w:val="22"/>
          <w:szCs w:val="22"/>
          <w:lang w:val="en-GB"/>
        </w:rPr>
      </w:pPr>
    </w:p>
    <w:p w14:paraId="04FB10BB" w14:textId="6BF5E202" w:rsidR="00E01DD4" w:rsidRPr="00E01DD4" w:rsidRDefault="00E01DD4" w:rsidP="00E01DD4">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Sine in the instant case </w:t>
      </w:r>
      <w:r w:rsidR="0091231E">
        <w:rPr>
          <w:rFonts w:ascii="Arial" w:hAnsi="Arial" w:cs="Arial"/>
          <w:color w:val="000000" w:themeColor="text1"/>
          <w:sz w:val="22"/>
          <w:szCs w:val="22"/>
          <w:lang w:val="en-GB"/>
        </w:rPr>
        <w:t xml:space="preserve">the </w:t>
      </w:r>
      <w:r w:rsidR="0029756D">
        <w:rPr>
          <w:rFonts w:ascii="Arial" w:hAnsi="Arial" w:cs="Arial"/>
          <w:color w:val="000000" w:themeColor="text1"/>
          <w:sz w:val="22"/>
          <w:szCs w:val="22"/>
          <w:lang w:val="en-GB"/>
        </w:rPr>
        <w:t xml:space="preserve">imitation of insolvency is primarily to preserve the rights of Italian Bank for the </w:t>
      </w:r>
      <w:r w:rsidR="0029756D" w:rsidRPr="008500BD">
        <w:rPr>
          <w:rFonts w:ascii="Arial" w:hAnsi="Arial" w:cs="Arial"/>
          <w:sz w:val="22"/>
          <w:szCs w:val="22"/>
          <w:lang w:val="en-GB"/>
        </w:rPr>
        <w:t>purpose of securing a</w:t>
      </w:r>
      <w:r w:rsidR="0029756D">
        <w:rPr>
          <w:rFonts w:ascii="Arial" w:hAnsi="Arial" w:cs="Arial"/>
          <w:sz w:val="22"/>
          <w:szCs w:val="22"/>
          <w:lang w:val="en-GB"/>
        </w:rPr>
        <w:t xml:space="preserve">n Italian </w:t>
      </w:r>
      <w:r w:rsidR="0029756D" w:rsidRPr="008500BD">
        <w:rPr>
          <w:rFonts w:ascii="Arial" w:hAnsi="Arial" w:cs="Arial"/>
          <w:sz w:val="22"/>
          <w:szCs w:val="22"/>
          <w:lang w:val="en-GB"/>
        </w:rPr>
        <w:t>insolvency distribution rankin</w:t>
      </w:r>
      <w:r w:rsidR="00BC17CA">
        <w:rPr>
          <w:rFonts w:ascii="Arial" w:hAnsi="Arial" w:cs="Arial"/>
          <w:sz w:val="22"/>
          <w:szCs w:val="22"/>
          <w:lang w:val="en-GB"/>
        </w:rPr>
        <w:t xml:space="preserve">g the same can be opened as secondary proceeding. </w:t>
      </w: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557A" w14:textId="77777777" w:rsidR="000F5361" w:rsidRDefault="000F5361" w:rsidP="00241B44">
      <w:r>
        <w:separator/>
      </w:r>
    </w:p>
  </w:endnote>
  <w:endnote w:type="continuationSeparator" w:id="0">
    <w:p w14:paraId="14F37F7D" w14:textId="77777777" w:rsidR="000F5361" w:rsidRDefault="000F53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0A7657D" w:rsidR="00D509A5" w:rsidRPr="009B4976" w:rsidRDefault="00EB6B69" w:rsidP="009B4976">
    <w:pPr>
      <w:pStyle w:val="Footer"/>
      <w:ind w:right="360"/>
      <w:rPr>
        <w:rFonts w:ascii="Arial" w:hAnsi="Arial" w:cs="Arial"/>
        <w:sz w:val="18"/>
        <w:szCs w:val="18"/>
        <w:lang w:val="en-GB"/>
      </w:rPr>
    </w:pPr>
    <w:r>
      <w:rPr>
        <w:rFonts w:ascii="Arial" w:hAnsi="Arial" w:cs="Arial"/>
        <w:sz w:val="18"/>
        <w:szCs w:val="18"/>
        <w:lang w:val="en-GB"/>
      </w:rPr>
      <w:t>202122-482</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75B8" w14:textId="77777777" w:rsidR="000F5361" w:rsidRDefault="000F5361" w:rsidP="00241B44">
      <w:r>
        <w:separator/>
      </w:r>
    </w:p>
  </w:footnote>
  <w:footnote w:type="continuationSeparator" w:id="0">
    <w:p w14:paraId="49962319" w14:textId="77777777" w:rsidR="000F5361" w:rsidRDefault="000F536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6102"/>
    <w:multiLevelType w:val="hybridMultilevel"/>
    <w:tmpl w:val="989634D8"/>
    <w:lvl w:ilvl="0" w:tplc="D2C20D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DA698B"/>
    <w:multiLevelType w:val="hybridMultilevel"/>
    <w:tmpl w:val="A3EE90E6"/>
    <w:lvl w:ilvl="0" w:tplc="D2C20D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A367A1E"/>
    <w:multiLevelType w:val="hybridMultilevel"/>
    <w:tmpl w:val="64B87E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26727A9"/>
    <w:multiLevelType w:val="hybridMultilevel"/>
    <w:tmpl w:val="CCD4658E"/>
    <w:lvl w:ilvl="0" w:tplc="D2C20D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CA51497"/>
    <w:multiLevelType w:val="hybridMultilevel"/>
    <w:tmpl w:val="C35C23F0"/>
    <w:lvl w:ilvl="0" w:tplc="CC124A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CEC4DF0"/>
    <w:multiLevelType w:val="hybridMultilevel"/>
    <w:tmpl w:val="7902D67A"/>
    <w:lvl w:ilvl="0" w:tplc="D2C20D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36100B8"/>
    <w:multiLevelType w:val="hybridMultilevel"/>
    <w:tmpl w:val="2B2813B0"/>
    <w:lvl w:ilvl="0" w:tplc="D2C20D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B980F98"/>
    <w:multiLevelType w:val="hybridMultilevel"/>
    <w:tmpl w:val="D5629336"/>
    <w:lvl w:ilvl="0" w:tplc="D2C20D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E0E60B5"/>
    <w:multiLevelType w:val="hybridMultilevel"/>
    <w:tmpl w:val="C2F6C9F6"/>
    <w:lvl w:ilvl="0" w:tplc="D2C20D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9922805"/>
    <w:multiLevelType w:val="hybridMultilevel"/>
    <w:tmpl w:val="A8B6BCB6"/>
    <w:lvl w:ilvl="0" w:tplc="F4AACBD8">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A526109"/>
    <w:multiLevelType w:val="hybridMultilevel"/>
    <w:tmpl w:val="28E2AD14"/>
    <w:lvl w:ilvl="0" w:tplc="36BACC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7AB71D57"/>
    <w:multiLevelType w:val="hybridMultilevel"/>
    <w:tmpl w:val="D33E73EA"/>
    <w:lvl w:ilvl="0" w:tplc="7C928F34">
      <w:start w:val="1"/>
      <w:numFmt w:val="upperLetter"/>
      <w:lvlText w:val="%1."/>
      <w:lvlJc w:val="left"/>
      <w:pPr>
        <w:ind w:left="720" w:hanging="360"/>
      </w:pPr>
      <w:rPr>
        <w:rFonts w:ascii="Arial" w:hAnsi="Arial" w:cs="Arial" w:hint="default"/>
        <w:sz w:val="22"/>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85037999">
    <w:abstractNumId w:val="3"/>
  </w:num>
  <w:num w:numId="2" w16cid:durableId="1331564844">
    <w:abstractNumId w:val="15"/>
  </w:num>
  <w:num w:numId="3" w16cid:durableId="1094016587">
    <w:abstractNumId w:val="5"/>
  </w:num>
  <w:num w:numId="4" w16cid:durableId="171337745">
    <w:abstractNumId w:val="19"/>
  </w:num>
  <w:num w:numId="5" w16cid:durableId="647898287">
    <w:abstractNumId w:val="14"/>
  </w:num>
  <w:num w:numId="6" w16cid:durableId="710807768">
    <w:abstractNumId w:val="16"/>
  </w:num>
  <w:num w:numId="7" w16cid:durableId="1865970863">
    <w:abstractNumId w:val="2"/>
  </w:num>
  <w:num w:numId="8" w16cid:durableId="63064165">
    <w:abstractNumId w:val="11"/>
  </w:num>
  <w:num w:numId="9" w16cid:durableId="1348752002">
    <w:abstractNumId w:val="8"/>
  </w:num>
  <w:num w:numId="10" w16cid:durableId="1546288659">
    <w:abstractNumId w:val="4"/>
  </w:num>
  <w:num w:numId="11" w16cid:durableId="1110590724">
    <w:abstractNumId w:val="13"/>
  </w:num>
  <w:num w:numId="12" w16cid:durableId="2093770900">
    <w:abstractNumId w:val="6"/>
  </w:num>
  <w:num w:numId="13" w16cid:durableId="192426790">
    <w:abstractNumId w:val="20"/>
  </w:num>
  <w:num w:numId="14" w16cid:durableId="1716083956">
    <w:abstractNumId w:val="22"/>
  </w:num>
  <w:num w:numId="15" w16cid:durableId="578447429">
    <w:abstractNumId w:val="7"/>
  </w:num>
  <w:num w:numId="16" w16cid:durableId="967859052">
    <w:abstractNumId w:val="0"/>
  </w:num>
  <w:num w:numId="17" w16cid:durableId="1880776931">
    <w:abstractNumId w:val="18"/>
  </w:num>
  <w:num w:numId="18" w16cid:durableId="1820727240">
    <w:abstractNumId w:val="1"/>
  </w:num>
  <w:num w:numId="19" w16cid:durableId="876816211">
    <w:abstractNumId w:val="9"/>
  </w:num>
  <w:num w:numId="20" w16cid:durableId="1163201129">
    <w:abstractNumId w:val="21"/>
  </w:num>
  <w:num w:numId="21" w16cid:durableId="753747425">
    <w:abstractNumId w:val="12"/>
  </w:num>
  <w:num w:numId="22" w16cid:durableId="604964976">
    <w:abstractNumId w:val="17"/>
  </w:num>
  <w:num w:numId="23" w16cid:durableId="135495878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41C"/>
    <w:rsid w:val="00007146"/>
    <w:rsid w:val="00010544"/>
    <w:rsid w:val="00010BA0"/>
    <w:rsid w:val="0001344B"/>
    <w:rsid w:val="00020557"/>
    <w:rsid w:val="000250C7"/>
    <w:rsid w:val="00026F16"/>
    <w:rsid w:val="000272A8"/>
    <w:rsid w:val="00034A70"/>
    <w:rsid w:val="00037621"/>
    <w:rsid w:val="00041B32"/>
    <w:rsid w:val="000445D1"/>
    <w:rsid w:val="00044D46"/>
    <w:rsid w:val="00045088"/>
    <w:rsid w:val="00045904"/>
    <w:rsid w:val="0005016C"/>
    <w:rsid w:val="00055A53"/>
    <w:rsid w:val="00060E78"/>
    <w:rsid w:val="000630CE"/>
    <w:rsid w:val="00065166"/>
    <w:rsid w:val="00066C24"/>
    <w:rsid w:val="00082609"/>
    <w:rsid w:val="000851CC"/>
    <w:rsid w:val="00087CD6"/>
    <w:rsid w:val="00090654"/>
    <w:rsid w:val="00093BE8"/>
    <w:rsid w:val="000A68ED"/>
    <w:rsid w:val="000A7BF9"/>
    <w:rsid w:val="000B5FF1"/>
    <w:rsid w:val="000B609F"/>
    <w:rsid w:val="000B6C7A"/>
    <w:rsid w:val="000D55A8"/>
    <w:rsid w:val="000E4841"/>
    <w:rsid w:val="000F06E7"/>
    <w:rsid w:val="000F1677"/>
    <w:rsid w:val="000F3D6C"/>
    <w:rsid w:val="000F49CE"/>
    <w:rsid w:val="000F5361"/>
    <w:rsid w:val="00101707"/>
    <w:rsid w:val="00104534"/>
    <w:rsid w:val="00113E29"/>
    <w:rsid w:val="0011473D"/>
    <w:rsid w:val="0011548B"/>
    <w:rsid w:val="001157BB"/>
    <w:rsid w:val="00115C85"/>
    <w:rsid w:val="00123855"/>
    <w:rsid w:val="00126A4D"/>
    <w:rsid w:val="001336D5"/>
    <w:rsid w:val="00134E4D"/>
    <w:rsid w:val="0014171F"/>
    <w:rsid w:val="0014622C"/>
    <w:rsid w:val="00151435"/>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32A3"/>
    <w:rsid w:val="001A6CB3"/>
    <w:rsid w:val="001A7E9A"/>
    <w:rsid w:val="001B0F70"/>
    <w:rsid w:val="001B5016"/>
    <w:rsid w:val="001C2371"/>
    <w:rsid w:val="001C45FC"/>
    <w:rsid w:val="001D0469"/>
    <w:rsid w:val="001D4862"/>
    <w:rsid w:val="001D6E1C"/>
    <w:rsid w:val="001E2113"/>
    <w:rsid w:val="001E25B9"/>
    <w:rsid w:val="001E3C22"/>
    <w:rsid w:val="001E49E0"/>
    <w:rsid w:val="001E5F8A"/>
    <w:rsid w:val="001E7B5A"/>
    <w:rsid w:val="001F7412"/>
    <w:rsid w:val="0020228F"/>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13A6"/>
    <w:rsid w:val="00284EBE"/>
    <w:rsid w:val="0029433F"/>
    <w:rsid w:val="00294829"/>
    <w:rsid w:val="0029690F"/>
    <w:rsid w:val="0029756D"/>
    <w:rsid w:val="00297C8A"/>
    <w:rsid w:val="002A2A60"/>
    <w:rsid w:val="002A37BB"/>
    <w:rsid w:val="002B1C45"/>
    <w:rsid w:val="002C13C8"/>
    <w:rsid w:val="002C3547"/>
    <w:rsid w:val="002D0021"/>
    <w:rsid w:val="002D3473"/>
    <w:rsid w:val="002E065D"/>
    <w:rsid w:val="002E3EA7"/>
    <w:rsid w:val="002E4CF1"/>
    <w:rsid w:val="002F1956"/>
    <w:rsid w:val="002F3440"/>
    <w:rsid w:val="002F75A3"/>
    <w:rsid w:val="00303C2F"/>
    <w:rsid w:val="0030513B"/>
    <w:rsid w:val="00310982"/>
    <w:rsid w:val="0031216A"/>
    <w:rsid w:val="003132F2"/>
    <w:rsid w:val="003144EF"/>
    <w:rsid w:val="00322906"/>
    <w:rsid w:val="003252C2"/>
    <w:rsid w:val="00326292"/>
    <w:rsid w:val="00326415"/>
    <w:rsid w:val="00330937"/>
    <w:rsid w:val="00330F31"/>
    <w:rsid w:val="00331480"/>
    <w:rsid w:val="00334648"/>
    <w:rsid w:val="0033768C"/>
    <w:rsid w:val="00337938"/>
    <w:rsid w:val="00340769"/>
    <w:rsid w:val="0034125A"/>
    <w:rsid w:val="00341AA6"/>
    <w:rsid w:val="0034705B"/>
    <w:rsid w:val="003525B6"/>
    <w:rsid w:val="00353C12"/>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B650A"/>
    <w:rsid w:val="003C23DC"/>
    <w:rsid w:val="003C4342"/>
    <w:rsid w:val="003C4471"/>
    <w:rsid w:val="003C4BCB"/>
    <w:rsid w:val="003C5591"/>
    <w:rsid w:val="003C7D22"/>
    <w:rsid w:val="003D0A6D"/>
    <w:rsid w:val="003D1974"/>
    <w:rsid w:val="003E0B16"/>
    <w:rsid w:val="003E26C3"/>
    <w:rsid w:val="003E4DB0"/>
    <w:rsid w:val="003E67D1"/>
    <w:rsid w:val="003F4D75"/>
    <w:rsid w:val="00404329"/>
    <w:rsid w:val="00405DC1"/>
    <w:rsid w:val="00410B3A"/>
    <w:rsid w:val="00415F1F"/>
    <w:rsid w:val="004202D2"/>
    <w:rsid w:val="0042108F"/>
    <w:rsid w:val="00430FED"/>
    <w:rsid w:val="00434A8C"/>
    <w:rsid w:val="00437150"/>
    <w:rsid w:val="00437297"/>
    <w:rsid w:val="004409C7"/>
    <w:rsid w:val="00444284"/>
    <w:rsid w:val="0044574C"/>
    <w:rsid w:val="00445CE6"/>
    <w:rsid w:val="004534C2"/>
    <w:rsid w:val="0045446F"/>
    <w:rsid w:val="0045683E"/>
    <w:rsid w:val="00457CA3"/>
    <w:rsid w:val="00461081"/>
    <w:rsid w:val="00465BFF"/>
    <w:rsid w:val="00477C72"/>
    <w:rsid w:val="00483DDA"/>
    <w:rsid w:val="00491675"/>
    <w:rsid w:val="004924C7"/>
    <w:rsid w:val="00493102"/>
    <w:rsid w:val="00493855"/>
    <w:rsid w:val="00495E79"/>
    <w:rsid w:val="0049649C"/>
    <w:rsid w:val="004A0692"/>
    <w:rsid w:val="004A57DD"/>
    <w:rsid w:val="004A7B51"/>
    <w:rsid w:val="004A7D71"/>
    <w:rsid w:val="004A7EF3"/>
    <w:rsid w:val="004B11FD"/>
    <w:rsid w:val="004B23A2"/>
    <w:rsid w:val="004B6067"/>
    <w:rsid w:val="004C0D03"/>
    <w:rsid w:val="004C0D33"/>
    <w:rsid w:val="004C735D"/>
    <w:rsid w:val="004D1A5A"/>
    <w:rsid w:val="004D2FFF"/>
    <w:rsid w:val="004D3721"/>
    <w:rsid w:val="004D64F9"/>
    <w:rsid w:val="004E3756"/>
    <w:rsid w:val="004E3A6B"/>
    <w:rsid w:val="004E622C"/>
    <w:rsid w:val="004F4AF9"/>
    <w:rsid w:val="004F5FDF"/>
    <w:rsid w:val="005177FE"/>
    <w:rsid w:val="0052263B"/>
    <w:rsid w:val="00524728"/>
    <w:rsid w:val="00525A44"/>
    <w:rsid w:val="005331CA"/>
    <w:rsid w:val="00537970"/>
    <w:rsid w:val="00540E3A"/>
    <w:rsid w:val="00544127"/>
    <w:rsid w:val="00544F6E"/>
    <w:rsid w:val="005463A9"/>
    <w:rsid w:val="00553EB2"/>
    <w:rsid w:val="00560534"/>
    <w:rsid w:val="00561499"/>
    <w:rsid w:val="0056391B"/>
    <w:rsid w:val="005650E2"/>
    <w:rsid w:val="00567AD7"/>
    <w:rsid w:val="00575B2D"/>
    <w:rsid w:val="005833D0"/>
    <w:rsid w:val="005846F3"/>
    <w:rsid w:val="0058622F"/>
    <w:rsid w:val="00591280"/>
    <w:rsid w:val="00592F82"/>
    <w:rsid w:val="005A0CCA"/>
    <w:rsid w:val="005A4E01"/>
    <w:rsid w:val="005A5895"/>
    <w:rsid w:val="005A726D"/>
    <w:rsid w:val="005B67AC"/>
    <w:rsid w:val="005B79F4"/>
    <w:rsid w:val="005D1EAD"/>
    <w:rsid w:val="005D2CD6"/>
    <w:rsid w:val="005D43E0"/>
    <w:rsid w:val="005D58A3"/>
    <w:rsid w:val="005E1B79"/>
    <w:rsid w:val="005E371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710"/>
    <w:rsid w:val="00654B27"/>
    <w:rsid w:val="00654C2F"/>
    <w:rsid w:val="00656DA7"/>
    <w:rsid w:val="00657087"/>
    <w:rsid w:val="006603F1"/>
    <w:rsid w:val="006639DB"/>
    <w:rsid w:val="006661EF"/>
    <w:rsid w:val="00674AD9"/>
    <w:rsid w:val="00677AEB"/>
    <w:rsid w:val="00680952"/>
    <w:rsid w:val="00680EF2"/>
    <w:rsid w:val="00682004"/>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2783E"/>
    <w:rsid w:val="0073158B"/>
    <w:rsid w:val="007333CC"/>
    <w:rsid w:val="0073399A"/>
    <w:rsid w:val="007603F5"/>
    <w:rsid w:val="00764DB0"/>
    <w:rsid w:val="0076764D"/>
    <w:rsid w:val="0077498C"/>
    <w:rsid w:val="007772BD"/>
    <w:rsid w:val="007809BC"/>
    <w:rsid w:val="00782EE1"/>
    <w:rsid w:val="00784128"/>
    <w:rsid w:val="00793173"/>
    <w:rsid w:val="00793561"/>
    <w:rsid w:val="007A107A"/>
    <w:rsid w:val="007A2A33"/>
    <w:rsid w:val="007A6B8D"/>
    <w:rsid w:val="007A7B20"/>
    <w:rsid w:val="007C1FCC"/>
    <w:rsid w:val="007C50AA"/>
    <w:rsid w:val="007C6201"/>
    <w:rsid w:val="007D7C92"/>
    <w:rsid w:val="007D7EB2"/>
    <w:rsid w:val="007E1154"/>
    <w:rsid w:val="007E39B3"/>
    <w:rsid w:val="007E44C4"/>
    <w:rsid w:val="007E6BA4"/>
    <w:rsid w:val="007F008B"/>
    <w:rsid w:val="007F41F8"/>
    <w:rsid w:val="007F6A57"/>
    <w:rsid w:val="00800B1B"/>
    <w:rsid w:val="00800B76"/>
    <w:rsid w:val="008017F0"/>
    <w:rsid w:val="0080454E"/>
    <w:rsid w:val="00804C32"/>
    <w:rsid w:val="00804DA6"/>
    <w:rsid w:val="00806302"/>
    <w:rsid w:val="00807119"/>
    <w:rsid w:val="008116BE"/>
    <w:rsid w:val="00820736"/>
    <w:rsid w:val="0082483F"/>
    <w:rsid w:val="00826559"/>
    <w:rsid w:val="008279C0"/>
    <w:rsid w:val="00841051"/>
    <w:rsid w:val="008500BD"/>
    <w:rsid w:val="00860723"/>
    <w:rsid w:val="008723F3"/>
    <w:rsid w:val="00874240"/>
    <w:rsid w:val="00881DE6"/>
    <w:rsid w:val="008837A6"/>
    <w:rsid w:val="00886E7D"/>
    <w:rsid w:val="0089145D"/>
    <w:rsid w:val="00894C1D"/>
    <w:rsid w:val="00897A78"/>
    <w:rsid w:val="008A4DF2"/>
    <w:rsid w:val="008A6CFE"/>
    <w:rsid w:val="008B5333"/>
    <w:rsid w:val="008B6223"/>
    <w:rsid w:val="008C4AC6"/>
    <w:rsid w:val="008C66E0"/>
    <w:rsid w:val="008D0C07"/>
    <w:rsid w:val="008D62F7"/>
    <w:rsid w:val="008D652E"/>
    <w:rsid w:val="008E0EC8"/>
    <w:rsid w:val="008E3339"/>
    <w:rsid w:val="008E7371"/>
    <w:rsid w:val="008E7D0A"/>
    <w:rsid w:val="008F20FC"/>
    <w:rsid w:val="008F5FFE"/>
    <w:rsid w:val="00901B1A"/>
    <w:rsid w:val="00905A43"/>
    <w:rsid w:val="0091231E"/>
    <w:rsid w:val="00912C79"/>
    <w:rsid w:val="00914A23"/>
    <w:rsid w:val="00923673"/>
    <w:rsid w:val="00933C3A"/>
    <w:rsid w:val="00935A21"/>
    <w:rsid w:val="00942123"/>
    <w:rsid w:val="0095207B"/>
    <w:rsid w:val="009528F4"/>
    <w:rsid w:val="009545CF"/>
    <w:rsid w:val="00957AB4"/>
    <w:rsid w:val="00962045"/>
    <w:rsid w:val="00967219"/>
    <w:rsid w:val="00971896"/>
    <w:rsid w:val="00974779"/>
    <w:rsid w:val="00980E61"/>
    <w:rsid w:val="00982CD8"/>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9F4E51"/>
    <w:rsid w:val="00A047EE"/>
    <w:rsid w:val="00A115EA"/>
    <w:rsid w:val="00A11E80"/>
    <w:rsid w:val="00A17858"/>
    <w:rsid w:val="00A2274A"/>
    <w:rsid w:val="00A2339B"/>
    <w:rsid w:val="00A235B7"/>
    <w:rsid w:val="00A27A7A"/>
    <w:rsid w:val="00A27F32"/>
    <w:rsid w:val="00A407EF"/>
    <w:rsid w:val="00A46B4C"/>
    <w:rsid w:val="00A5091B"/>
    <w:rsid w:val="00A5117B"/>
    <w:rsid w:val="00A54CB5"/>
    <w:rsid w:val="00A5516C"/>
    <w:rsid w:val="00A60074"/>
    <w:rsid w:val="00A620A6"/>
    <w:rsid w:val="00A62FDA"/>
    <w:rsid w:val="00A6627C"/>
    <w:rsid w:val="00A71019"/>
    <w:rsid w:val="00A81029"/>
    <w:rsid w:val="00A94925"/>
    <w:rsid w:val="00A96489"/>
    <w:rsid w:val="00AA6E36"/>
    <w:rsid w:val="00AB685C"/>
    <w:rsid w:val="00AB6C2D"/>
    <w:rsid w:val="00AC08F7"/>
    <w:rsid w:val="00AC28C8"/>
    <w:rsid w:val="00AC3839"/>
    <w:rsid w:val="00AC7082"/>
    <w:rsid w:val="00AD2931"/>
    <w:rsid w:val="00AD513F"/>
    <w:rsid w:val="00AD5D70"/>
    <w:rsid w:val="00AD6609"/>
    <w:rsid w:val="00AD6870"/>
    <w:rsid w:val="00AE2316"/>
    <w:rsid w:val="00AE74BA"/>
    <w:rsid w:val="00AF228E"/>
    <w:rsid w:val="00B016A8"/>
    <w:rsid w:val="00B12499"/>
    <w:rsid w:val="00B12EF7"/>
    <w:rsid w:val="00B14819"/>
    <w:rsid w:val="00B15E2F"/>
    <w:rsid w:val="00B17AA9"/>
    <w:rsid w:val="00B30D9A"/>
    <w:rsid w:val="00B44713"/>
    <w:rsid w:val="00B50CBF"/>
    <w:rsid w:val="00B56103"/>
    <w:rsid w:val="00B635C8"/>
    <w:rsid w:val="00B64929"/>
    <w:rsid w:val="00B736DF"/>
    <w:rsid w:val="00B743D6"/>
    <w:rsid w:val="00B74FBD"/>
    <w:rsid w:val="00B77F46"/>
    <w:rsid w:val="00B82586"/>
    <w:rsid w:val="00B829A3"/>
    <w:rsid w:val="00B86DB1"/>
    <w:rsid w:val="00B87869"/>
    <w:rsid w:val="00B96CE3"/>
    <w:rsid w:val="00BA543A"/>
    <w:rsid w:val="00BB0F2B"/>
    <w:rsid w:val="00BB145D"/>
    <w:rsid w:val="00BB2A9B"/>
    <w:rsid w:val="00BB2F65"/>
    <w:rsid w:val="00BB38D1"/>
    <w:rsid w:val="00BC17CA"/>
    <w:rsid w:val="00BD73DA"/>
    <w:rsid w:val="00BE4FF3"/>
    <w:rsid w:val="00BF50F7"/>
    <w:rsid w:val="00C00B20"/>
    <w:rsid w:val="00C02F29"/>
    <w:rsid w:val="00C20AFE"/>
    <w:rsid w:val="00C22A25"/>
    <w:rsid w:val="00C34D2A"/>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50B4"/>
    <w:rsid w:val="00C963D3"/>
    <w:rsid w:val="00C97E43"/>
    <w:rsid w:val="00CB1983"/>
    <w:rsid w:val="00CB2CBB"/>
    <w:rsid w:val="00CB7CAC"/>
    <w:rsid w:val="00CC4C0D"/>
    <w:rsid w:val="00CC5335"/>
    <w:rsid w:val="00CC5BA4"/>
    <w:rsid w:val="00CD4998"/>
    <w:rsid w:val="00CE1035"/>
    <w:rsid w:val="00CE5E10"/>
    <w:rsid w:val="00CE6E50"/>
    <w:rsid w:val="00CF2819"/>
    <w:rsid w:val="00CF4F9D"/>
    <w:rsid w:val="00CF70DC"/>
    <w:rsid w:val="00D148DC"/>
    <w:rsid w:val="00D17FDC"/>
    <w:rsid w:val="00D21F62"/>
    <w:rsid w:val="00D26E26"/>
    <w:rsid w:val="00D3410C"/>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1DD4"/>
    <w:rsid w:val="00E03AF0"/>
    <w:rsid w:val="00E07C5A"/>
    <w:rsid w:val="00E15BA9"/>
    <w:rsid w:val="00E26E19"/>
    <w:rsid w:val="00E30C8A"/>
    <w:rsid w:val="00E31DF3"/>
    <w:rsid w:val="00E450A4"/>
    <w:rsid w:val="00E506BE"/>
    <w:rsid w:val="00E551B9"/>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45B5"/>
    <w:rsid w:val="00E9597C"/>
    <w:rsid w:val="00EA0211"/>
    <w:rsid w:val="00EA0913"/>
    <w:rsid w:val="00EA15AC"/>
    <w:rsid w:val="00EA5B00"/>
    <w:rsid w:val="00EB146B"/>
    <w:rsid w:val="00EB45AC"/>
    <w:rsid w:val="00EB5CA4"/>
    <w:rsid w:val="00EB6B69"/>
    <w:rsid w:val="00EC00F9"/>
    <w:rsid w:val="00ED0BC4"/>
    <w:rsid w:val="00ED20E8"/>
    <w:rsid w:val="00ED472A"/>
    <w:rsid w:val="00ED54B6"/>
    <w:rsid w:val="00EE4971"/>
    <w:rsid w:val="00EF090E"/>
    <w:rsid w:val="00F033DA"/>
    <w:rsid w:val="00F13D95"/>
    <w:rsid w:val="00F13FB1"/>
    <w:rsid w:val="00F27CD8"/>
    <w:rsid w:val="00F30351"/>
    <w:rsid w:val="00F3323E"/>
    <w:rsid w:val="00F341F4"/>
    <w:rsid w:val="00F34F9D"/>
    <w:rsid w:val="00F35CCE"/>
    <w:rsid w:val="00F543C4"/>
    <w:rsid w:val="00F5524B"/>
    <w:rsid w:val="00F60538"/>
    <w:rsid w:val="00F61DD2"/>
    <w:rsid w:val="00F66AFF"/>
    <w:rsid w:val="00F71433"/>
    <w:rsid w:val="00F76CD4"/>
    <w:rsid w:val="00F7713A"/>
    <w:rsid w:val="00F80A19"/>
    <w:rsid w:val="00F814B4"/>
    <w:rsid w:val="00F83464"/>
    <w:rsid w:val="00F93BE7"/>
    <w:rsid w:val="00F97C5B"/>
    <w:rsid w:val="00FA3D50"/>
    <w:rsid w:val="00FB7FBD"/>
    <w:rsid w:val="00FC1D81"/>
    <w:rsid w:val="00FC374A"/>
    <w:rsid w:val="00FC48D8"/>
    <w:rsid w:val="00FC7B47"/>
    <w:rsid w:val="00FD035C"/>
    <w:rsid w:val="00FD1A35"/>
    <w:rsid w:val="00FD31EE"/>
    <w:rsid w:val="00FD36C5"/>
    <w:rsid w:val="00FD6310"/>
    <w:rsid w:val="00FD7C7B"/>
    <w:rsid w:val="00FE1D12"/>
    <w:rsid w:val="00FE2122"/>
    <w:rsid w:val="00FE2A86"/>
    <w:rsid w:val="00FE2DE2"/>
    <w:rsid w:val="00FE4EB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06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92036822">
      <w:bodyDiv w:val="1"/>
      <w:marLeft w:val="0"/>
      <w:marRight w:val="0"/>
      <w:marTop w:val="0"/>
      <w:marBottom w:val="0"/>
      <w:divBdr>
        <w:top w:val="none" w:sz="0" w:space="0" w:color="auto"/>
        <w:left w:val="none" w:sz="0" w:space="0" w:color="auto"/>
        <w:bottom w:val="none" w:sz="0" w:space="0" w:color="auto"/>
        <w:right w:val="none" w:sz="0" w:space="0" w:color="auto"/>
      </w:divBdr>
      <w:divsChild>
        <w:div w:id="2090879651">
          <w:marLeft w:val="0"/>
          <w:marRight w:val="0"/>
          <w:marTop w:val="0"/>
          <w:marBottom w:val="360"/>
          <w:divBdr>
            <w:top w:val="none" w:sz="0" w:space="0" w:color="auto"/>
            <w:left w:val="none" w:sz="0" w:space="0" w:color="auto"/>
            <w:bottom w:val="none" w:sz="0" w:space="0" w:color="auto"/>
            <w:right w:val="none" w:sz="0" w:space="0" w:color="auto"/>
          </w:divBdr>
          <w:divsChild>
            <w:div w:id="644940486">
              <w:marLeft w:val="0"/>
              <w:marRight w:val="0"/>
              <w:marTop w:val="0"/>
              <w:marBottom w:val="0"/>
              <w:divBdr>
                <w:top w:val="single" w:sz="6" w:space="0" w:color="D5D5D5"/>
                <w:left w:val="single" w:sz="6" w:space="0" w:color="D5D5D5"/>
                <w:bottom w:val="single" w:sz="6" w:space="0" w:color="D5D5D5"/>
                <w:right w:val="single" w:sz="6" w:space="0" w:color="D5D5D5"/>
              </w:divBdr>
              <w:divsChild>
                <w:div w:id="3600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nk.springer.com/article/10.1007/s12027-015-03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E64345-EBEF-44DB-8092-3BF2002E73FD}">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Hitesh Mundhra</cp:lastModifiedBy>
  <cp:revision>2</cp:revision>
  <cp:lastPrinted>2019-08-27T05:42:00Z</cp:lastPrinted>
  <dcterms:created xsi:type="dcterms:W3CDTF">2022-07-31T22:19:00Z</dcterms:created>
  <dcterms:modified xsi:type="dcterms:W3CDTF">2022-07-31T22:19:00Z</dcterms:modified>
</cp:coreProperties>
</file>