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en-IN" w:eastAsia="en-IN"/>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4808871D"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Pr="00D4049B">
        <w:rPr>
          <w:rFonts w:ascii="Arial" w:hAnsi="Arial" w:cs="Arial"/>
          <w:sz w:val="22"/>
          <w:szCs w:val="22"/>
          <w:lang w:val="en-GB"/>
        </w:rPr>
        <w:t xml:space="preserve">The final submission date for this assessment is </w:t>
      </w:r>
      <w:r w:rsidRPr="00D4049B">
        <w:rPr>
          <w:rFonts w:ascii="Arial" w:hAnsi="Arial" w:cs="Arial"/>
          <w:b/>
          <w:bCs/>
          <w:sz w:val="22"/>
          <w:szCs w:val="22"/>
          <w:lang w:val="en-GB"/>
        </w:rPr>
        <w:t>31 July 202</w:t>
      </w:r>
      <w:r w:rsidR="00D4049B">
        <w:rPr>
          <w:rFonts w:ascii="Arial" w:hAnsi="Arial" w:cs="Arial"/>
          <w:b/>
          <w:bCs/>
          <w:sz w:val="22"/>
          <w:szCs w:val="22"/>
          <w:lang w:val="en-GB"/>
        </w:rPr>
        <w:t>2</w:t>
      </w:r>
      <w:r w:rsidRPr="00D4049B">
        <w:rPr>
          <w:rFonts w:ascii="Arial" w:hAnsi="Arial" w:cs="Arial"/>
          <w:sz w:val="22"/>
          <w:szCs w:val="22"/>
          <w:lang w:val="en-GB"/>
        </w:rPr>
        <w:t xml:space="preserve">. The assessment submission portal will close at </w:t>
      </w:r>
      <w:r w:rsidRPr="00D4049B">
        <w:rPr>
          <w:rFonts w:ascii="Arial" w:hAnsi="Arial" w:cs="Arial"/>
          <w:b/>
          <w:sz w:val="22"/>
          <w:szCs w:val="22"/>
          <w:lang w:val="en-GB"/>
        </w:rPr>
        <w:t xml:space="preserve">23:00 (11 pm) </w:t>
      </w:r>
      <w:r w:rsidR="00D4049B">
        <w:rPr>
          <w:rFonts w:ascii="Arial" w:hAnsi="Arial" w:cs="Arial"/>
          <w:b/>
          <w:sz w:val="22"/>
          <w:szCs w:val="22"/>
          <w:lang w:val="en-GB"/>
        </w:rPr>
        <w:t>BST (GMT +1)</w:t>
      </w:r>
      <w:r w:rsidRPr="00D4049B">
        <w:rPr>
          <w:rFonts w:ascii="Arial" w:hAnsi="Arial" w:cs="Arial"/>
          <w:b/>
          <w:sz w:val="22"/>
          <w:szCs w:val="22"/>
          <w:lang w:val="en-GB"/>
        </w:rPr>
        <w:t xml:space="preserve"> on 31 July 202</w:t>
      </w:r>
      <w:r w:rsidR="00D4049B">
        <w:rPr>
          <w:rFonts w:ascii="Arial" w:hAnsi="Arial" w:cs="Arial"/>
          <w:b/>
          <w:sz w:val="22"/>
          <w:szCs w:val="22"/>
          <w:lang w:val="en-GB"/>
        </w:rPr>
        <w:t>2</w:t>
      </w:r>
      <w:r w:rsidRPr="00D4049B">
        <w:rPr>
          <w:rFonts w:ascii="Arial" w:hAnsi="Arial" w:cs="Arial"/>
          <w:sz w:val="22"/>
          <w:szCs w:val="22"/>
          <w:lang w:val="en-GB"/>
        </w:rPr>
        <w:t>. No submissions</w:t>
      </w:r>
      <w:r w:rsidRPr="001E23FD">
        <w:rPr>
          <w:rFonts w:ascii="Arial" w:hAnsi="Arial" w:cs="Arial"/>
          <w:sz w:val="22"/>
          <w:szCs w:val="22"/>
          <w:lang w:val="en-GB"/>
        </w:rPr>
        <w:t xml:space="preserve">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EB3508" w:rsidRDefault="00193129" w:rsidP="00545969">
      <w:pPr>
        <w:pStyle w:val="ListParagraph"/>
        <w:numPr>
          <w:ilvl w:val="0"/>
          <w:numId w:val="11"/>
        </w:numPr>
        <w:ind w:left="426"/>
        <w:rPr>
          <w:rFonts w:ascii="Arial" w:hAnsi="Arial" w:cs="Arial"/>
          <w:sz w:val="22"/>
          <w:szCs w:val="22"/>
          <w:highlight w:val="yellow"/>
          <w:lang w:val="en-GB"/>
        </w:rPr>
      </w:pPr>
      <w:r w:rsidRPr="00EB3508">
        <w:rPr>
          <w:rFonts w:ascii="Arial" w:hAnsi="Arial" w:cs="Arial"/>
          <w:sz w:val="22"/>
          <w:szCs w:val="22"/>
          <w:highlight w:val="yellow"/>
          <w:lang w:val="en-GB"/>
        </w:rPr>
        <w:t>The court</w:t>
      </w:r>
      <w:r w:rsidR="00B77BF0" w:rsidRPr="00EB3508">
        <w:rPr>
          <w:rFonts w:ascii="Arial" w:hAnsi="Arial" w:cs="Arial"/>
          <w:sz w:val="22"/>
          <w:szCs w:val="22"/>
          <w:highlight w:val="yellow"/>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3F6DA2" w:rsidRDefault="00193129" w:rsidP="00545969">
      <w:pPr>
        <w:pStyle w:val="ListParagraph"/>
        <w:numPr>
          <w:ilvl w:val="0"/>
          <w:numId w:val="11"/>
        </w:numPr>
        <w:ind w:left="426"/>
        <w:rPr>
          <w:rFonts w:ascii="Arial" w:hAnsi="Arial" w:cs="Arial"/>
          <w:sz w:val="22"/>
          <w:szCs w:val="22"/>
          <w:lang w:val="en-GB"/>
        </w:rPr>
      </w:pPr>
      <w:r w:rsidRPr="003F6DA2">
        <w:rPr>
          <w:rFonts w:ascii="Arial" w:hAnsi="Arial" w:cs="Arial"/>
          <w:sz w:val="22"/>
          <w:szCs w:val="22"/>
          <w:lang w:val="en-GB"/>
        </w:rPr>
        <w:t>The court, but subject to a diverging decision of the first creditors’ meeting</w:t>
      </w:r>
      <w:r w:rsidR="00E86A87" w:rsidRPr="003F6DA2">
        <w:rPr>
          <w:rFonts w:ascii="Arial" w:hAnsi="Arial" w:cs="Arial"/>
          <w:sz w:val="22"/>
          <w:szCs w:val="22"/>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FD47A2">
        <w:rPr>
          <w:rFonts w:ascii="Arial" w:hAnsi="Arial" w:cs="Arial"/>
          <w:b/>
          <w:bCs/>
          <w:sz w:val="22"/>
          <w:szCs w:val="22"/>
          <w:u w:val="single"/>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ListParagraph"/>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9C2121" w:rsidRDefault="00193129" w:rsidP="00545969">
      <w:pPr>
        <w:pStyle w:val="ListParagraph"/>
        <w:numPr>
          <w:ilvl w:val="0"/>
          <w:numId w:val="13"/>
        </w:numPr>
        <w:ind w:left="426"/>
        <w:rPr>
          <w:rFonts w:ascii="Arial" w:hAnsi="Arial" w:cs="Arial"/>
          <w:sz w:val="22"/>
          <w:szCs w:val="22"/>
          <w:highlight w:val="yellow"/>
          <w:lang w:val="en-GB"/>
        </w:rPr>
      </w:pPr>
      <w:r w:rsidRPr="009C2121">
        <w:rPr>
          <w:rFonts w:ascii="Arial" w:hAnsi="Arial" w:cs="Arial"/>
          <w:sz w:val="22"/>
          <w:szCs w:val="22"/>
          <w:highlight w:val="yellow"/>
          <w:lang w:val="en-GB"/>
        </w:rPr>
        <w:t>Mortgage (</w:t>
      </w:r>
      <w:r w:rsidR="00976666" w:rsidRPr="009C2121">
        <w:rPr>
          <w:rFonts w:ascii="Arial" w:hAnsi="Arial" w:cs="Arial"/>
          <w:i/>
          <w:sz w:val="22"/>
          <w:szCs w:val="22"/>
          <w:highlight w:val="yellow"/>
          <w:lang w:val="en-GB"/>
        </w:rPr>
        <w:t>Grundschuld</w:t>
      </w:r>
      <w:r w:rsidRPr="009C2121">
        <w:rPr>
          <w:rFonts w:ascii="Arial" w:hAnsi="Arial" w:cs="Arial"/>
          <w:sz w:val="22"/>
          <w:szCs w:val="22"/>
          <w:highlight w:val="yellow"/>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ListParagraph"/>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ListParagraph"/>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FD47A2">
        <w:rPr>
          <w:rFonts w:ascii="Arial" w:hAnsi="Arial" w:cs="Arial"/>
          <w:b/>
          <w:bCs/>
          <w:sz w:val="22"/>
          <w:szCs w:val="22"/>
          <w:u w:val="single"/>
          <w:lang w:val="en-GB"/>
        </w:rPr>
        <w:t>cann</w:t>
      </w:r>
      <w:r w:rsidRPr="00FD47A2">
        <w:rPr>
          <w:rFonts w:ascii="Arial" w:hAnsi="Arial" w:cs="Arial"/>
          <w:b/>
          <w:sz w:val="22"/>
          <w:szCs w:val="22"/>
          <w:u w:val="single"/>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9C2121" w:rsidRDefault="006B42ED" w:rsidP="00545969">
      <w:pPr>
        <w:pStyle w:val="ListParagraph"/>
        <w:numPr>
          <w:ilvl w:val="0"/>
          <w:numId w:val="15"/>
        </w:numPr>
        <w:ind w:left="426"/>
        <w:rPr>
          <w:rFonts w:ascii="Arial" w:hAnsi="Arial" w:cs="Arial"/>
          <w:i/>
          <w:sz w:val="22"/>
          <w:szCs w:val="22"/>
          <w:highlight w:val="yellow"/>
          <w:lang w:val="en-GB"/>
        </w:rPr>
      </w:pPr>
      <w:r w:rsidRPr="009C2121">
        <w:rPr>
          <w:rFonts w:ascii="Arial" w:hAnsi="Arial" w:cs="Arial"/>
          <w:sz w:val="22"/>
          <w:szCs w:val="22"/>
          <w:highlight w:val="yellow"/>
          <w:lang w:val="en-GB"/>
        </w:rPr>
        <w:t>Verification of creditors’ claims filed with the insolvency administrator.</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ListParagraph"/>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w:t>
      </w:r>
      <w:r w:rsidRPr="00FD47A2">
        <w:rPr>
          <w:rFonts w:ascii="Arial" w:hAnsi="Arial" w:cs="Arial"/>
          <w:b/>
          <w:bCs/>
          <w:sz w:val="22"/>
          <w:szCs w:val="22"/>
          <w:u w:val="single"/>
          <w:lang w:val="en-GB"/>
        </w:rPr>
        <w:t xml:space="preserve">how long </w:t>
      </w:r>
      <w:r w:rsidR="00D9383B" w:rsidRPr="00FD47A2">
        <w:rPr>
          <w:rFonts w:ascii="Arial" w:hAnsi="Arial" w:cs="Arial"/>
          <w:b/>
          <w:bCs/>
          <w:sz w:val="22"/>
          <w:szCs w:val="22"/>
          <w:u w:val="single"/>
          <w:lang w:val="en-GB"/>
        </w:rPr>
        <w:t>is the time period</w:t>
      </w:r>
      <w:r w:rsidR="00D9383B">
        <w:rPr>
          <w:rFonts w:ascii="Arial" w:hAnsi="Arial" w:cs="Arial"/>
          <w:sz w:val="22"/>
          <w:szCs w:val="22"/>
          <w:lang w:val="en-GB"/>
        </w:rPr>
        <w:t xml:space="preserve">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EE323F" w:rsidRDefault="00D9383B" w:rsidP="00BF0162">
      <w:pPr>
        <w:pStyle w:val="ListParagraph"/>
        <w:numPr>
          <w:ilvl w:val="0"/>
          <w:numId w:val="17"/>
        </w:numPr>
        <w:ind w:left="426"/>
        <w:rPr>
          <w:rFonts w:ascii="Arial" w:hAnsi="Arial" w:cs="Arial"/>
          <w:sz w:val="22"/>
          <w:szCs w:val="22"/>
          <w:highlight w:val="yellow"/>
          <w:lang w:val="en-GB"/>
        </w:rPr>
      </w:pPr>
      <w:r w:rsidRPr="00EE323F">
        <w:rPr>
          <w:rFonts w:ascii="Arial" w:hAnsi="Arial" w:cs="Arial"/>
          <w:sz w:val="22"/>
          <w:szCs w:val="22"/>
          <w:highlight w:val="yellow"/>
          <w:lang w:val="en-GB"/>
        </w:rPr>
        <w:t>Six weeks</w:t>
      </w:r>
      <w:r w:rsidR="007D7536" w:rsidRPr="00EE323F">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2C102B" w:rsidRDefault="0025078F" w:rsidP="00BF0162">
      <w:pPr>
        <w:pStyle w:val="ListParagraph"/>
        <w:numPr>
          <w:ilvl w:val="0"/>
          <w:numId w:val="19"/>
        </w:numPr>
        <w:ind w:left="426"/>
        <w:rPr>
          <w:rFonts w:ascii="Arial" w:hAnsi="Arial" w:cs="Arial"/>
          <w:sz w:val="22"/>
          <w:szCs w:val="22"/>
          <w:highlight w:val="yellow"/>
        </w:rPr>
      </w:pPr>
      <w:bookmarkStart w:id="1" w:name="_GoBack"/>
      <w:bookmarkEnd w:id="1"/>
      <w:r w:rsidRPr="002C102B">
        <w:rPr>
          <w:rFonts w:ascii="Arial" w:hAnsi="Arial" w:cs="Arial"/>
          <w:sz w:val="22"/>
          <w:szCs w:val="22"/>
          <w:highlight w:val="yellow"/>
        </w:rPr>
        <w:t>e</w:t>
      </w:r>
      <w:r w:rsidR="003939F8" w:rsidRPr="002C102B">
        <w:rPr>
          <w:rFonts w:ascii="Arial" w:hAnsi="Arial" w:cs="Arial"/>
          <w:sz w:val="22"/>
          <w:szCs w:val="22"/>
          <w:highlight w:val="yellow"/>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3F6DA2" w:rsidRDefault="0025078F" w:rsidP="00BF0162">
      <w:pPr>
        <w:pStyle w:val="ListParagraph"/>
        <w:numPr>
          <w:ilvl w:val="0"/>
          <w:numId w:val="19"/>
        </w:numPr>
        <w:ind w:left="426"/>
        <w:rPr>
          <w:rFonts w:ascii="Arial" w:hAnsi="Arial" w:cs="Arial"/>
          <w:sz w:val="22"/>
          <w:szCs w:val="22"/>
        </w:rPr>
      </w:pPr>
      <w:r w:rsidRPr="003F6DA2">
        <w:rPr>
          <w:rFonts w:ascii="Arial" w:hAnsi="Arial" w:cs="Arial"/>
          <w:sz w:val="22"/>
          <w:szCs w:val="22"/>
        </w:rPr>
        <w:t>r</w:t>
      </w:r>
      <w:r w:rsidR="003939F8" w:rsidRPr="003F6DA2">
        <w:rPr>
          <w:rFonts w:ascii="Arial" w:hAnsi="Arial" w:cs="Arial"/>
          <w:sz w:val="22"/>
          <w:szCs w:val="22"/>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sidRPr="00FD47A2">
        <w:rPr>
          <w:rFonts w:ascii="Arial" w:hAnsi="Arial" w:cs="Arial"/>
          <w:b/>
          <w:bCs/>
          <w:sz w:val="22"/>
          <w:szCs w:val="22"/>
          <w:u w:val="single"/>
          <w:lang w:val="en-GB"/>
        </w:rPr>
        <w:t xml:space="preserve">majority </w:t>
      </w:r>
      <w:r w:rsidR="0025078F" w:rsidRPr="00FD47A2">
        <w:rPr>
          <w:rFonts w:ascii="Arial" w:hAnsi="Arial" w:cs="Arial"/>
          <w:b/>
          <w:bCs/>
          <w:sz w:val="22"/>
          <w:szCs w:val="22"/>
          <w:u w:val="single"/>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3F6DA2" w:rsidRDefault="00D9383B" w:rsidP="00BF0162">
      <w:pPr>
        <w:pStyle w:val="ListParagraph"/>
        <w:numPr>
          <w:ilvl w:val="0"/>
          <w:numId w:val="24"/>
        </w:numPr>
        <w:ind w:left="426"/>
        <w:rPr>
          <w:rFonts w:ascii="Arial" w:hAnsi="Arial" w:cs="Arial"/>
          <w:sz w:val="22"/>
          <w:szCs w:val="22"/>
          <w:lang w:val="en-GB"/>
        </w:rPr>
      </w:pPr>
      <w:r w:rsidRPr="003F6DA2">
        <w:rPr>
          <w:rFonts w:ascii="Arial" w:hAnsi="Arial" w:cs="Arial"/>
          <w:sz w:val="22"/>
          <w:szCs w:val="22"/>
          <w:lang w:val="en-GB"/>
        </w:rPr>
        <w:t>75% in sum regarding the claims of all affected creditors</w:t>
      </w:r>
      <w:r w:rsidR="00E676A0" w:rsidRPr="003F6DA2">
        <w:rPr>
          <w:rFonts w:ascii="Arial" w:hAnsi="Arial" w:cs="Arial"/>
          <w:sz w:val="22"/>
          <w:szCs w:val="22"/>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5A5AC8" w:rsidRDefault="00D9383B" w:rsidP="00BF0162">
      <w:pPr>
        <w:pStyle w:val="ListParagraph"/>
        <w:numPr>
          <w:ilvl w:val="0"/>
          <w:numId w:val="24"/>
        </w:numPr>
        <w:ind w:left="426"/>
        <w:rPr>
          <w:rFonts w:ascii="Arial" w:hAnsi="Arial" w:cs="Arial"/>
          <w:sz w:val="22"/>
          <w:szCs w:val="22"/>
          <w:highlight w:val="yellow"/>
          <w:lang w:val="en-GB"/>
        </w:rPr>
      </w:pPr>
      <w:r w:rsidRPr="005A5AC8">
        <w:rPr>
          <w:rFonts w:ascii="Arial" w:hAnsi="Arial" w:cs="Arial"/>
          <w:sz w:val="22"/>
          <w:szCs w:val="22"/>
          <w:highlight w:val="yellow"/>
          <w:lang w:val="en-GB"/>
        </w:rPr>
        <w:t xml:space="preserve">Simple majority in sum regarding the claims of creditors present and voting and </w:t>
      </w:r>
      <w:r w:rsidR="0037467B" w:rsidRPr="005A5AC8">
        <w:rPr>
          <w:rFonts w:ascii="Arial" w:hAnsi="Arial" w:cs="Arial"/>
          <w:sz w:val="22"/>
          <w:szCs w:val="22"/>
          <w:highlight w:val="yellow"/>
          <w:lang w:val="en-GB"/>
        </w:rPr>
        <w:t>simple</w:t>
      </w:r>
      <w:r w:rsidRPr="005A5AC8">
        <w:rPr>
          <w:rFonts w:ascii="Arial" w:hAnsi="Arial" w:cs="Arial"/>
          <w:sz w:val="22"/>
          <w:szCs w:val="22"/>
          <w:highlight w:val="yellow"/>
          <w:lang w:val="en-GB"/>
        </w:rPr>
        <w:t xml:space="preserve"> majority of creditors (head count)</w:t>
      </w:r>
      <w:r w:rsidR="00E676A0" w:rsidRPr="005A5AC8">
        <w:rPr>
          <w:rFonts w:ascii="Arial" w:hAnsi="Arial" w:cs="Arial"/>
          <w:sz w:val="22"/>
          <w:szCs w:val="22"/>
          <w:highlight w:val="yellow"/>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sidRPr="00FD47A2">
        <w:rPr>
          <w:rFonts w:ascii="Arial" w:hAnsi="Arial" w:cs="Arial"/>
          <w:b/>
          <w:bCs/>
          <w:sz w:val="22"/>
          <w:szCs w:val="22"/>
          <w:u w:val="single"/>
          <w:lang w:val="en-GB"/>
        </w:rPr>
        <w:t>Which court</w:t>
      </w:r>
      <w:r>
        <w:rPr>
          <w:rFonts w:ascii="Arial" w:hAnsi="Arial" w:cs="Arial"/>
          <w:sz w:val="22"/>
          <w:szCs w:val="22"/>
          <w:lang w:val="en-GB"/>
        </w:rPr>
        <w:t xml:space="preserve">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287BE3" w:rsidRDefault="00976666" w:rsidP="00D4592B">
      <w:pPr>
        <w:pStyle w:val="ListParagraph"/>
        <w:numPr>
          <w:ilvl w:val="0"/>
          <w:numId w:val="25"/>
        </w:numPr>
        <w:ind w:left="426"/>
        <w:rPr>
          <w:rFonts w:ascii="Arial" w:hAnsi="Arial" w:cs="Arial"/>
          <w:sz w:val="22"/>
          <w:szCs w:val="22"/>
          <w:highlight w:val="yellow"/>
          <w:lang w:val="en-GB"/>
        </w:rPr>
      </w:pPr>
      <w:r w:rsidRPr="00287BE3">
        <w:rPr>
          <w:rFonts w:ascii="Arial" w:hAnsi="Arial" w:cs="Arial"/>
          <w:i/>
          <w:sz w:val="22"/>
          <w:szCs w:val="22"/>
          <w:highlight w:val="yellow"/>
          <w:lang w:val="en-GB"/>
        </w:rPr>
        <w:t>Amtsgericht</w:t>
      </w:r>
      <w:r w:rsidR="00E676A0" w:rsidRPr="00287BE3">
        <w:rPr>
          <w:rFonts w:ascii="Arial" w:hAnsi="Arial" w:cs="Arial"/>
          <w:sz w:val="22"/>
          <w:szCs w:val="22"/>
          <w:highlight w:val="yellow"/>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w:t>
      </w:r>
      <w:r w:rsidRPr="00FD47A2">
        <w:rPr>
          <w:rFonts w:ascii="Arial" w:hAnsi="Arial" w:cs="Arial"/>
          <w:b/>
          <w:bCs/>
          <w:sz w:val="22"/>
          <w:szCs w:val="22"/>
          <w:u w:val="single"/>
          <w:lang w:val="en-GB"/>
        </w:rPr>
        <w:t>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Pledgees</w:t>
      </w:r>
      <w:r w:rsidR="00E676A0" w:rsidRPr="00976666">
        <w:rPr>
          <w:rFonts w:ascii="Arial" w:hAnsi="Arial" w:cs="Arial"/>
          <w:sz w:val="22"/>
          <w:szCs w:val="22"/>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2C102B" w:rsidRDefault="00976666" w:rsidP="00D4592B">
      <w:pPr>
        <w:pStyle w:val="ListParagraph"/>
        <w:numPr>
          <w:ilvl w:val="0"/>
          <w:numId w:val="27"/>
        </w:numPr>
        <w:ind w:left="426"/>
        <w:rPr>
          <w:rFonts w:ascii="Arial" w:hAnsi="Arial" w:cs="Arial"/>
          <w:sz w:val="22"/>
          <w:szCs w:val="22"/>
          <w:highlight w:val="yellow"/>
          <w:lang w:val="en-GB"/>
        </w:rPr>
      </w:pPr>
      <w:r w:rsidRPr="002C102B">
        <w:rPr>
          <w:rFonts w:ascii="Arial" w:hAnsi="Arial" w:cs="Arial"/>
          <w:sz w:val="22"/>
          <w:szCs w:val="22"/>
          <w:highlight w:val="yellow"/>
          <w:lang w:val="en-GB"/>
        </w:rPr>
        <w:t>Landlords after termination of the tenancy agreement</w:t>
      </w:r>
      <w:r w:rsidR="00E676A0" w:rsidRPr="002C102B">
        <w:rPr>
          <w:rFonts w:ascii="Arial" w:hAnsi="Arial" w:cs="Arial"/>
          <w:sz w:val="22"/>
          <w:szCs w:val="22"/>
          <w:highlight w:val="yellow"/>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FD47A2">
        <w:rPr>
          <w:rFonts w:ascii="Arial" w:hAnsi="Arial" w:cs="Arial"/>
          <w:b/>
          <w:bCs/>
          <w:sz w:val="22"/>
          <w:szCs w:val="22"/>
          <w:u w:val="single"/>
          <w:lang w:val="en-GB"/>
        </w:rPr>
        <w:t>How long</w:t>
      </w:r>
      <w:r w:rsidRPr="00976666">
        <w:rPr>
          <w:rFonts w:ascii="Arial" w:hAnsi="Arial" w:cs="Arial"/>
          <w:sz w:val="22"/>
          <w:szCs w:val="22"/>
          <w:lang w:val="en-GB"/>
        </w:rPr>
        <w:t xml:space="preserve">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5A5AC8" w:rsidRDefault="004A7773" w:rsidP="00D4592B">
      <w:pPr>
        <w:pStyle w:val="ListParagraph"/>
        <w:numPr>
          <w:ilvl w:val="0"/>
          <w:numId w:val="29"/>
        </w:numPr>
        <w:ind w:left="426"/>
        <w:rPr>
          <w:rFonts w:ascii="Arial" w:hAnsi="Arial" w:cs="Arial"/>
          <w:sz w:val="22"/>
          <w:szCs w:val="22"/>
          <w:highlight w:val="yellow"/>
          <w:lang w:val="en-GB"/>
        </w:rPr>
      </w:pPr>
      <w:r w:rsidRPr="005A5AC8">
        <w:rPr>
          <w:rFonts w:ascii="Arial" w:hAnsi="Arial" w:cs="Arial"/>
          <w:sz w:val="22"/>
          <w:szCs w:val="22"/>
          <w:highlight w:val="yellow"/>
          <w:lang w:val="en-GB"/>
        </w:rPr>
        <w:t>Three years</w:t>
      </w:r>
      <w:r w:rsidR="005F75C3" w:rsidRPr="005A5AC8">
        <w:rPr>
          <w:rFonts w:ascii="Arial" w:hAnsi="Arial" w:cs="Arial"/>
          <w:sz w:val="22"/>
          <w:szCs w:val="22"/>
          <w:highlight w:val="yellow"/>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2E1A7C" w:rsidRDefault="00976666" w:rsidP="00D4592B">
      <w:pPr>
        <w:pStyle w:val="ListParagraph"/>
        <w:numPr>
          <w:ilvl w:val="0"/>
          <w:numId w:val="31"/>
        </w:numPr>
        <w:ind w:left="426"/>
        <w:rPr>
          <w:rFonts w:ascii="Arial" w:hAnsi="Arial" w:cs="Arial"/>
          <w:sz w:val="22"/>
          <w:szCs w:val="22"/>
          <w:highlight w:val="yellow"/>
          <w:lang w:val="en-GB"/>
        </w:rPr>
      </w:pPr>
      <w:r w:rsidRPr="002E1A7C">
        <w:rPr>
          <w:rFonts w:ascii="Arial" w:hAnsi="Arial" w:cs="Arial"/>
          <w:sz w:val="22"/>
          <w:szCs w:val="22"/>
          <w:highlight w:val="yellow"/>
          <w:lang w:val="en-GB"/>
        </w:rPr>
        <w:t>Disadvantage for the general body of creditors</w:t>
      </w:r>
      <w:r w:rsidR="002B40FB" w:rsidRPr="002E1A7C">
        <w:rPr>
          <w:rFonts w:ascii="Arial" w:hAnsi="Arial" w:cs="Arial"/>
          <w:sz w:val="22"/>
          <w:szCs w:val="22"/>
          <w:highlight w:val="yellow"/>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0A1B2873" w14:textId="5462CAB4" w:rsidR="00472F84" w:rsidRDefault="00D05CA4" w:rsidP="00C34152">
      <w:pPr>
        <w:jc w:val="both"/>
        <w:rPr>
          <w:rFonts w:ascii="Arial" w:hAnsi="Arial" w:cs="Arial"/>
          <w:color w:val="A6A6A6" w:themeColor="background1" w:themeShade="A6"/>
          <w:sz w:val="22"/>
          <w:szCs w:val="22"/>
          <w:lang w:val="en-IN"/>
        </w:rPr>
      </w:pPr>
      <w:r w:rsidRPr="00D05CA4">
        <w:rPr>
          <w:rFonts w:ascii="Arial" w:hAnsi="Arial" w:cs="Arial"/>
          <w:color w:val="A6A6A6" w:themeColor="background1" w:themeShade="A6"/>
          <w:sz w:val="22"/>
          <w:szCs w:val="22"/>
          <w:lang w:val="en-GB"/>
        </w:rPr>
        <w:t>[</w:t>
      </w:r>
      <w:r w:rsidR="00472F84" w:rsidRPr="00472F84">
        <w:rPr>
          <w:rFonts w:ascii="Arial" w:hAnsi="Arial" w:cs="Arial"/>
          <w:color w:val="A6A6A6" w:themeColor="background1" w:themeShade="A6"/>
          <w:sz w:val="22"/>
          <w:szCs w:val="22"/>
          <w:lang w:val="en-IN"/>
        </w:rPr>
        <w:t>Insolvency is a state of financial distress in which a person or business is unable to pay their debts.</w:t>
      </w:r>
      <w:r w:rsidR="00472F84">
        <w:rPr>
          <w:rFonts w:ascii="Arial" w:hAnsi="Arial" w:cs="Arial"/>
          <w:color w:val="A6A6A6" w:themeColor="background1" w:themeShade="A6"/>
          <w:sz w:val="22"/>
          <w:szCs w:val="22"/>
          <w:lang w:val="en-IN"/>
        </w:rPr>
        <w:t xml:space="preserve"> The reason to open insolvency proceedings are inability to pay debts as they fall due, cash flow insolvency, illiquidity, overindebtness and imminent inability to pay debts.</w:t>
      </w:r>
    </w:p>
    <w:p w14:paraId="3C93A6AA" w14:textId="77777777" w:rsidR="00472F84" w:rsidRDefault="00472F84" w:rsidP="00C34152">
      <w:pPr>
        <w:jc w:val="both"/>
        <w:rPr>
          <w:rFonts w:ascii="Arial" w:hAnsi="Arial" w:cs="Arial"/>
          <w:color w:val="A6A6A6" w:themeColor="background1" w:themeShade="A6"/>
          <w:sz w:val="22"/>
          <w:szCs w:val="22"/>
          <w:lang w:val="en-IN"/>
        </w:rPr>
      </w:pPr>
    </w:p>
    <w:p w14:paraId="46D18EAD" w14:textId="1AF76108" w:rsidR="00472F84" w:rsidRPr="00286A27" w:rsidRDefault="00286A27" w:rsidP="00C34152">
      <w:pPr>
        <w:jc w:val="both"/>
        <w:rPr>
          <w:rFonts w:ascii="Arial" w:hAnsi="Arial" w:cs="Arial"/>
          <w:b/>
          <w:color w:val="A6A6A6" w:themeColor="background1" w:themeShade="A6"/>
          <w:sz w:val="22"/>
          <w:szCs w:val="22"/>
          <w:lang w:val="en-IN"/>
        </w:rPr>
      </w:pPr>
      <w:r w:rsidRPr="00286A27">
        <w:rPr>
          <w:rFonts w:ascii="Arial" w:hAnsi="Arial" w:cs="Arial"/>
          <w:b/>
          <w:color w:val="A6A6A6" w:themeColor="background1" w:themeShade="A6"/>
          <w:sz w:val="22"/>
          <w:szCs w:val="22"/>
          <w:lang w:val="en-IN"/>
        </w:rPr>
        <w:t>Inability to pay debts as they fall due</w:t>
      </w:r>
    </w:p>
    <w:p w14:paraId="1F523E35" w14:textId="72BE66E0" w:rsidR="00286A27" w:rsidRDefault="00286A27" w:rsidP="00C34152">
      <w:pPr>
        <w:jc w:val="both"/>
        <w:rPr>
          <w:rFonts w:ascii="Arial" w:hAnsi="Arial" w:cs="Arial"/>
          <w:color w:val="A6A6A6" w:themeColor="background1" w:themeShade="A6"/>
          <w:sz w:val="22"/>
          <w:szCs w:val="22"/>
          <w:lang w:val="en-IN"/>
        </w:rPr>
      </w:pPr>
      <w:r>
        <w:rPr>
          <w:rFonts w:ascii="Arial" w:hAnsi="Arial" w:cs="Arial"/>
          <w:color w:val="A6A6A6" w:themeColor="background1" w:themeShade="A6"/>
          <w:sz w:val="22"/>
          <w:szCs w:val="22"/>
          <w:lang w:val="en-IN"/>
        </w:rPr>
        <w:t>The debtor shall be deemed illiquid if he is unable to meet his mature obligations to pay. Insolvency shall be presumed as a rule if the debtor has stopped payments.</w:t>
      </w:r>
    </w:p>
    <w:p w14:paraId="0D7D89A0" w14:textId="6254EC18" w:rsidR="00286A27" w:rsidRDefault="00286A27" w:rsidP="00C34152">
      <w:pPr>
        <w:jc w:val="both"/>
        <w:rPr>
          <w:rFonts w:ascii="Arial" w:hAnsi="Arial" w:cs="Arial"/>
          <w:color w:val="A6A6A6" w:themeColor="background1" w:themeShade="A6"/>
          <w:sz w:val="22"/>
          <w:szCs w:val="22"/>
          <w:lang w:val="en-IN"/>
        </w:rPr>
      </w:pPr>
    </w:p>
    <w:p w14:paraId="6EF23FF0" w14:textId="45B30446" w:rsidR="00286A27" w:rsidRDefault="00286A27" w:rsidP="00C34152">
      <w:pPr>
        <w:jc w:val="both"/>
        <w:rPr>
          <w:rFonts w:ascii="Arial" w:hAnsi="Arial" w:cs="Arial"/>
          <w:b/>
          <w:color w:val="A6A6A6" w:themeColor="background1" w:themeShade="A6"/>
          <w:sz w:val="22"/>
          <w:szCs w:val="22"/>
          <w:lang w:val="en-IN"/>
        </w:rPr>
      </w:pPr>
      <w:r w:rsidRPr="00286A27">
        <w:rPr>
          <w:rFonts w:ascii="Arial" w:hAnsi="Arial" w:cs="Arial"/>
          <w:b/>
          <w:color w:val="A6A6A6" w:themeColor="background1" w:themeShade="A6"/>
          <w:sz w:val="22"/>
          <w:szCs w:val="22"/>
          <w:lang w:val="en-IN"/>
        </w:rPr>
        <w:t>Imminent inability to pay debts</w:t>
      </w:r>
    </w:p>
    <w:p w14:paraId="7FB7C4E5" w14:textId="790442C4" w:rsidR="00286A27" w:rsidRDefault="00286A27" w:rsidP="00C34152">
      <w:pPr>
        <w:jc w:val="both"/>
        <w:rPr>
          <w:rFonts w:ascii="Arial" w:hAnsi="Arial" w:cs="Arial"/>
          <w:color w:val="A6A6A6" w:themeColor="background1" w:themeShade="A6"/>
          <w:sz w:val="22"/>
          <w:szCs w:val="22"/>
          <w:lang w:val="en-IN"/>
        </w:rPr>
      </w:pPr>
      <w:r w:rsidRPr="00286A27">
        <w:rPr>
          <w:rFonts w:ascii="Arial" w:hAnsi="Arial" w:cs="Arial"/>
          <w:color w:val="A6A6A6" w:themeColor="background1" w:themeShade="A6"/>
          <w:sz w:val="22"/>
          <w:szCs w:val="22"/>
          <w:lang w:val="en-IN"/>
        </w:rPr>
        <w:t>The debtor shall be deemed to be faced with imminent insolvency if he is likely to be unable to meet his existing obligations to pay on the date of maturity</w:t>
      </w:r>
    </w:p>
    <w:p w14:paraId="3382628C" w14:textId="282DF976" w:rsidR="00286A27" w:rsidRDefault="00286A27" w:rsidP="00C34152">
      <w:pPr>
        <w:jc w:val="both"/>
        <w:rPr>
          <w:rFonts w:ascii="Arial" w:hAnsi="Arial" w:cs="Arial"/>
          <w:color w:val="A6A6A6" w:themeColor="background1" w:themeShade="A6"/>
          <w:sz w:val="22"/>
          <w:szCs w:val="22"/>
          <w:lang w:val="en-IN"/>
        </w:rPr>
      </w:pPr>
    </w:p>
    <w:p w14:paraId="06C7E954" w14:textId="3F4C7384" w:rsidR="00286A27" w:rsidRPr="00286A27" w:rsidRDefault="00286A27" w:rsidP="00C34152">
      <w:pPr>
        <w:jc w:val="both"/>
        <w:rPr>
          <w:rFonts w:ascii="Arial" w:hAnsi="Arial" w:cs="Arial"/>
          <w:b/>
          <w:color w:val="A6A6A6" w:themeColor="background1" w:themeShade="A6"/>
          <w:sz w:val="22"/>
          <w:szCs w:val="22"/>
          <w:lang w:val="en-IN"/>
        </w:rPr>
      </w:pPr>
      <w:proofErr w:type="spellStart"/>
      <w:r w:rsidRPr="00286A27">
        <w:rPr>
          <w:rFonts w:ascii="Arial" w:hAnsi="Arial" w:cs="Arial"/>
          <w:b/>
          <w:color w:val="A6A6A6" w:themeColor="background1" w:themeShade="A6"/>
          <w:sz w:val="22"/>
          <w:szCs w:val="22"/>
          <w:lang w:val="en-IN"/>
        </w:rPr>
        <w:lastRenderedPageBreak/>
        <w:t>Overindebtedness</w:t>
      </w:r>
      <w:proofErr w:type="spellEnd"/>
    </w:p>
    <w:p w14:paraId="72F86E8F" w14:textId="28FFCE94" w:rsidR="00286A27" w:rsidRPr="00286A27" w:rsidRDefault="00286A27" w:rsidP="00C34152">
      <w:pPr>
        <w:jc w:val="both"/>
        <w:rPr>
          <w:rFonts w:ascii="Arial" w:hAnsi="Arial" w:cs="Arial"/>
          <w:color w:val="A6A6A6" w:themeColor="background1" w:themeShade="A6"/>
          <w:sz w:val="22"/>
          <w:szCs w:val="22"/>
          <w:lang w:val="en-IN"/>
        </w:rPr>
      </w:pPr>
      <w:proofErr w:type="spellStart"/>
      <w:r>
        <w:rPr>
          <w:rFonts w:ascii="Arial" w:hAnsi="Arial" w:cs="Arial"/>
          <w:color w:val="A6A6A6" w:themeColor="background1" w:themeShade="A6"/>
          <w:sz w:val="22"/>
          <w:szCs w:val="22"/>
          <w:lang w:val="en-IN"/>
        </w:rPr>
        <w:t>Overindebtedness</w:t>
      </w:r>
      <w:proofErr w:type="spellEnd"/>
      <w:r>
        <w:rPr>
          <w:rFonts w:ascii="Arial" w:hAnsi="Arial" w:cs="Arial"/>
          <w:color w:val="A6A6A6" w:themeColor="background1" w:themeShade="A6"/>
          <w:sz w:val="22"/>
          <w:szCs w:val="22"/>
          <w:lang w:val="en-IN"/>
        </w:rPr>
        <w:t xml:space="preserve"> shall exist if the debtor’s assets no longer cover his existing obligations to pay, unless it is highly likely., considering the circumstances, that the enterprise will continue to exist over the next twelve months.</w:t>
      </w:r>
    </w:p>
    <w:p w14:paraId="467E485E" w14:textId="77777777" w:rsidR="00472F84" w:rsidRDefault="00472F84" w:rsidP="00C34152">
      <w:pPr>
        <w:jc w:val="both"/>
        <w:rPr>
          <w:rFonts w:ascii="Arial" w:hAnsi="Arial" w:cs="Arial"/>
          <w:color w:val="A6A6A6" w:themeColor="background1" w:themeShade="A6"/>
          <w:sz w:val="22"/>
          <w:szCs w:val="22"/>
          <w:lang w:val="en-IN"/>
        </w:rPr>
      </w:pPr>
    </w:p>
    <w:p w14:paraId="370663CF" w14:textId="6C56516A" w:rsidR="003F6DA2" w:rsidRPr="00D05CA4" w:rsidRDefault="00D05CA4" w:rsidP="00C34152">
      <w:pPr>
        <w:jc w:val="both"/>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w:t>
      </w:r>
    </w:p>
    <w:p w14:paraId="43644420" w14:textId="7634DD96" w:rsidR="003F6DA2" w:rsidRDefault="003F6DA2" w:rsidP="00C34152">
      <w:pPr>
        <w:jc w:val="both"/>
        <w:rPr>
          <w:rFonts w:ascii="Arial" w:hAnsi="Arial" w:cs="Arial"/>
          <w:sz w:val="22"/>
          <w:szCs w:val="22"/>
          <w:lang w:val="en-GB"/>
        </w:rPr>
      </w:pPr>
    </w:p>
    <w:p w14:paraId="6525CC4F" w14:textId="77777777" w:rsidR="00D05CA4" w:rsidRPr="00E349CE" w:rsidRDefault="00D05CA4"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ListParagraph"/>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7F9D361B" w14:textId="2DBEA140" w:rsidR="00C34152" w:rsidRDefault="00C34152" w:rsidP="00C34152">
      <w:pPr>
        <w:pStyle w:val="ListParagraph"/>
        <w:ind w:left="0"/>
        <w:rPr>
          <w:rFonts w:ascii="Arial" w:hAnsi="Arial" w:cs="Arial"/>
          <w:sz w:val="22"/>
          <w:szCs w:val="22"/>
          <w:lang w:val="en-GB"/>
        </w:rPr>
      </w:pPr>
    </w:p>
    <w:p w14:paraId="682348C2" w14:textId="46E3A04A" w:rsidR="00303B4F" w:rsidRDefault="00D05CA4" w:rsidP="00933321">
      <w:pPr>
        <w:pStyle w:val="ListParagraph"/>
        <w:ind w:left="0"/>
        <w:jc w:val="both"/>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w:t>
      </w:r>
      <w:r w:rsidR="00303B4F">
        <w:rPr>
          <w:rFonts w:ascii="Arial" w:hAnsi="Arial" w:cs="Arial"/>
          <w:color w:val="A6A6A6" w:themeColor="background1" w:themeShade="A6"/>
          <w:sz w:val="22"/>
          <w:szCs w:val="22"/>
          <w:lang w:val="en-GB"/>
        </w:rPr>
        <w:t xml:space="preserve">The pre-insolvency tool box of the </w:t>
      </w:r>
      <w:proofErr w:type="spellStart"/>
      <w:r w:rsidR="00303B4F">
        <w:rPr>
          <w:rFonts w:ascii="Arial" w:hAnsi="Arial" w:cs="Arial"/>
          <w:color w:val="A6A6A6" w:themeColor="background1" w:themeShade="A6"/>
          <w:sz w:val="22"/>
          <w:szCs w:val="22"/>
          <w:lang w:val="en-GB"/>
        </w:rPr>
        <w:t>StaRUG</w:t>
      </w:r>
      <w:proofErr w:type="spellEnd"/>
      <w:r w:rsidR="00303B4F">
        <w:rPr>
          <w:rFonts w:ascii="Arial" w:hAnsi="Arial" w:cs="Arial"/>
          <w:color w:val="A6A6A6" w:themeColor="background1" w:themeShade="A6"/>
          <w:sz w:val="22"/>
          <w:szCs w:val="22"/>
          <w:lang w:val="en-GB"/>
        </w:rPr>
        <w:t xml:space="preserve"> is available for entrepreneurs of all kinds, no matter</w:t>
      </w:r>
      <w:r w:rsidR="00933321">
        <w:rPr>
          <w:rFonts w:ascii="Arial" w:hAnsi="Arial" w:cs="Arial"/>
          <w:color w:val="A6A6A6" w:themeColor="background1" w:themeShade="A6"/>
          <w:sz w:val="22"/>
          <w:szCs w:val="22"/>
          <w:lang w:val="en-GB"/>
        </w:rPr>
        <w:t xml:space="preserve"> </w:t>
      </w:r>
      <w:r w:rsidR="00303B4F">
        <w:rPr>
          <w:rFonts w:ascii="Arial" w:hAnsi="Arial" w:cs="Arial"/>
          <w:color w:val="A6A6A6" w:themeColor="background1" w:themeShade="A6"/>
          <w:sz w:val="22"/>
          <w:szCs w:val="22"/>
          <w:lang w:val="en-GB"/>
        </w:rPr>
        <w:t xml:space="preserve">whether they are natural persons or legal entities whereas </w:t>
      </w:r>
      <w:proofErr w:type="gramStart"/>
      <w:r w:rsidR="00303B4F">
        <w:rPr>
          <w:rFonts w:ascii="Arial" w:hAnsi="Arial" w:cs="Arial"/>
          <w:color w:val="A6A6A6" w:themeColor="background1" w:themeShade="A6"/>
          <w:sz w:val="22"/>
          <w:szCs w:val="22"/>
          <w:lang w:val="en-GB"/>
        </w:rPr>
        <w:t>an Insolvency proceedings</w:t>
      </w:r>
      <w:proofErr w:type="gramEnd"/>
      <w:r w:rsidR="00303B4F">
        <w:rPr>
          <w:rFonts w:ascii="Arial" w:hAnsi="Arial" w:cs="Arial"/>
          <w:color w:val="A6A6A6" w:themeColor="background1" w:themeShade="A6"/>
          <w:sz w:val="22"/>
          <w:szCs w:val="22"/>
          <w:lang w:val="en-GB"/>
        </w:rPr>
        <w:t xml:space="preserve"> can be opened over the estate of every natural persons only</w:t>
      </w:r>
      <w:r w:rsidR="00933321">
        <w:rPr>
          <w:rFonts w:ascii="Arial" w:hAnsi="Arial" w:cs="Arial"/>
          <w:color w:val="A6A6A6" w:themeColor="background1" w:themeShade="A6"/>
          <w:sz w:val="22"/>
          <w:szCs w:val="22"/>
          <w:lang w:val="en-GB"/>
        </w:rPr>
        <w:t>.</w:t>
      </w:r>
    </w:p>
    <w:p w14:paraId="258905EF" w14:textId="2ADBF48B" w:rsidR="00933321" w:rsidRDefault="00933321" w:rsidP="00C34152">
      <w:pPr>
        <w:pStyle w:val="ListParagraph"/>
        <w:ind w:left="0"/>
        <w:rPr>
          <w:rFonts w:ascii="Arial" w:hAnsi="Arial" w:cs="Arial"/>
          <w:color w:val="A6A6A6" w:themeColor="background1" w:themeShade="A6"/>
          <w:sz w:val="22"/>
          <w:szCs w:val="22"/>
          <w:lang w:val="en-GB"/>
        </w:rPr>
      </w:pPr>
    </w:p>
    <w:p w14:paraId="53414D17" w14:textId="654D7CC3" w:rsidR="00933321" w:rsidRDefault="00933321" w:rsidP="0093332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the </w:t>
      </w:r>
      <w:proofErr w:type="spellStart"/>
      <w:r>
        <w:rPr>
          <w:rFonts w:ascii="Arial" w:hAnsi="Arial" w:cs="Arial"/>
          <w:color w:val="A6A6A6" w:themeColor="background1" w:themeShade="A6"/>
          <w:sz w:val="22"/>
          <w:szCs w:val="22"/>
          <w:lang w:val="en-GB"/>
        </w:rPr>
        <w:t>StaRUG</w:t>
      </w:r>
      <w:proofErr w:type="spellEnd"/>
      <w:r>
        <w:rPr>
          <w:rFonts w:ascii="Arial" w:hAnsi="Arial" w:cs="Arial"/>
          <w:color w:val="A6A6A6" w:themeColor="background1" w:themeShade="A6"/>
          <w:sz w:val="22"/>
          <w:szCs w:val="22"/>
          <w:lang w:val="en-GB"/>
        </w:rPr>
        <w:t>, the debtor may commence out-of-court negotiations with the creditors needed for restructuring. While for insolvency proceedings, there is an obligation to file insolvency proceedings.</w:t>
      </w:r>
    </w:p>
    <w:p w14:paraId="626CB4DF" w14:textId="09D6F744" w:rsidR="00933321" w:rsidRDefault="00933321" w:rsidP="00C34152">
      <w:pPr>
        <w:pStyle w:val="ListParagraph"/>
        <w:ind w:left="0"/>
        <w:rPr>
          <w:rFonts w:ascii="Arial" w:hAnsi="Arial" w:cs="Arial"/>
          <w:color w:val="A6A6A6" w:themeColor="background1" w:themeShade="A6"/>
          <w:sz w:val="22"/>
          <w:szCs w:val="22"/>
          <w:lang w:val="en-GB"/>
        </w:rPr>
      </w:pPr>
    </w:p>
    <w:p w14:paraId="16D8A387" w14:textId="6B09A9B1" w:rsidR="00933321" w:rsidRDefault="00933321" w:rsidP="00933321">
      <w:pPr>
        <w:jc w:val="both"/>
        <w:rPr>
          <w:rFonts w:ascii="Arial" w:hAnsi="Arial" w:cs="Arial"/>
          <w:color w:val="A6A6A6" w:themeColor="background1" w:themeShade="A6"/>
          <w:sz w:val="22"/>
          <w:szCs w:val="22"/>
          <w:lang w:val="en-GB"/>
        </w:rPr>
      </w:pPr>
      <w:r w:rsidRPr="00933321">
        <w:rPr>
          <w:rFonts w:ascii="Arial" w:hAnsi="Arial" w:cs="Arial"/>
          <w:color w:val="A6A6A6" w:themeColor="background1" w:themeShade="A6"/>
          <w:sz w:val="22"/>
          <w:szCs w:val="22"/>
          <w:lang w:val="en-GB"/>
        </w:rPr>
        <w:t>As far as rescue attempts are conducted under insolvency proceedings, it is for the insolvency practitioner to decide whether liquidation or restructuring is the best available option. Conversion from corporate rescue to liquidation is therefore possible within the same proceedings. This is also true if self-administration has been ordered.</w:t>
      </w:r>
      <w:r>
        <w:rPr>
          <w:rFonts w:ascii="Arial" w:hAnsi="Arial" w:cs="Arial"/>
          <w:color w:val="A6A6A6" w:themeColor="background1" w:themeShade="A6"/>
          <w:sz w:val="22"/>
          <w:szCs w:val="22"/>
          <w:lang w:val="en-GB"/>
        </w:rPr>
        <w:t xml:space="preserve"> On the other hand, w</w:t>
      </w:r>
      <w:r w:rsidRPr="00933321">
        <w:rPr>
          <w:rFonts w:ascii="Arial" w:hAnsi="Arial" w:cs="Arial"/>
          <w:color w:val="A6A6A6" w:themeColor="background1" w:themeShade="A6"/>
          <w:sz w:val="22"/>
          <w:szCs w:val="22"/>
          <w:lang w:val="en-GB"/>
        </w:rPr>
        <w:t xml:space="preserve">here pre-insolvency rescue has been commenced, those proceedings must be stopped as soon as the debtor becomes substantively insolvent (unable to pay debts or </w:t>
      </w:r>
      <w:r w:rsidRPr="00933321">
        <w:rPr>
          <w:rFonts w:ascii="Arial" w:hAnsi="Arial" w:cs="Arial"/>
          <w:color w:val="A6A6A6" w:themeColor="background1" w:themeShade="A6"/>
          <w:sz w:val="22"/>
          <w:szCs w:val="22"/>
          <w:lang w:val="en-GB"/>
        </w:rPr>
        <w:t>over indebted</w:t>
      </w:r>
      <w:r w:rsidRPr="00933321">
        <w:rPr>
          <w:rFonts w:ascii="Arial" w:hAnsi="Arial" w:cs="Arial"/>
          <w:color w:val="A6A6A6" w:themeColor="background1" w:themeShade="A6"/>
          <w:sz w:val="22"/>
          <w:szCs w:val="22"/>
          <w:lang w:val="en-GB"/>
        </w:rPr>
        <w:t>). They are not automatically converted to insolvency proceedings. Hence, debtor and creditors can apply for ordinary insolvency proceedings.</w:t>
      </w:r>
    </w:p>
    <w:p w14:paraId="6CBFD0FA" w14:textId="5E3EE6B4" w:rsidR="00933321" w:rsidRDefault="00933321" w:rsidP="00933321">
      <w:pPr>
        <w:jc w:val="both"/>
        <w:rPr>
          <w:rFonts w:ascii="Arial" w:hAnsi="Arial" w:cs="Arial"/>
          <w:color w:val="A6A6A6" w:themeColor="background1" w:themeShade="A6"/>
          <w:sz w:val="22"/>
          <w:szCs w:val="22"/>
          <w:lang w:val="en-GB"/>
        </w:rPr>
      </w:pPr>
    </w:p>
    <w:p w14:paraId="2E256547" w14:textId="28D74496" w:rsidR="00933321" w:rsidRDefault="00933321" w:rsidP="00933321">
      <w:pPr>
        <w:jc w:val="both"/>
        <w:rPr>
          <w:rFonts w:ascii="Arial" w:hAnsi="Arial" w:cs="Arial"/>
          <w:color w:val="A6A6A6" w:themeColor="background1" w:themeShade="A6"/>
          <w:sz w:val="22"/>
          <w:szCs w:val="22"/>
          <w:lang w:val="en-GB"/>
        </w:rPr>
      </w:pPr>
      <w:r w:rsidRPr="00933321">
        <w:rPr>
          <w:rFonts w:ascii="Arial" w:hAnsi="Arial" w:cs="Arial"/>
          <w:color w:val="A6A6A6" w:themeColor="background1" w:themeShade="A6"/>
          <w:sz w:val="22"/>
          <w:szCs w:val="22"/>
          <w:lang w:val="en-GB"/>
        </w:rPr>
        <w:t>Both corporate rescues as well as liquidation can be achieved through standard insolvency proceedings. If the rescue is not successful, then the company is liquidated within the same proceeding.</w:t>
      </w:r>
      <w:r>
        <w:rPr>
          <w:rFonts w:ascii="Arial" w:hAnsi="Arial" w:cs="Arial"/>
          <w:color w:val="A6A6A6" w:themeColor="background1" w:themeShade="A6"/>
          <w:sz w:val="22"/>
          <w:szCs w:val="22"/>
          <w:lang w:val="en-GB"/>
        </w:rPr>
        <w:t xml:space="preserve"> While in the case of pre</w:t>
      </w:r>
      <w:r w:rsidRPr="00933321">
        <w:rPr>
          <w:rFonts w:ascii="Arial" w:hAnsi="Arial" w:cs="Arial"/>
          <w:color w:val="A6A6A6" w:themeColor="background1" w:themeShade="A6"/>
          <w:sz w:val="22"/>
          <w:szCs w:val="22"/>
          <w:lang w:val="en-GB"/>
        </w:rPr>
        <w:t>-insolvency restructuring proceedings, these must be terminated and regular insolvency proceedings ensue.</w:t>
      </w:r>
    </w:p>
    <w:p w14:paraId="656EF84B" w14:textId="415F470E" w:rsidR="00933321" w:rsidRDefault="00933321" w:rsidP="00933321">
      <w:pPr>
        <w:jc w:val="both"/>
        <w:rPr>
          <w:rFonts w:ascii="Arial" w:hAnsi="Arial" w:cs="Arial"/>
          <w:color w:val="A6A6A6" w:themeColor="background1" w:themeShade="A6"/>
          <w:sz w:val="22"/>
          <w:szCs w:val="22"/>
          <w:lang w:val="en-GB"/>
        </w:rPr>
      </w:pPr>
    </w:p>
    <w:p w14:paraId="7F35BF1F" w14:textId="33394628" w:rsidR="00933321" w:rsidRDefault="00933321" w:rsidP="00933321">
      <w:pPr>
        <w:jc w:val="both"/>
        <w:rPr>
          <w:rFonts w:ascii="Arial" w:hAnsi="Arial" w:cs="Arial"/>
          <w:color w:val="A6A6A6" w:themeColor="background1" w:themeShade="A6"/>
          <w:sz w:val="22"/>
          <w:szCs w:val="22"/>
          <w:lang w:val="en-GB"/>
        </w:rPr>
      </w:pPr>
      <w:r w:rsidRPr="00933321">
        <w:rPr>
          <w:rFonts w:ascii="Arial" w:hAnsi="Arial" w:cs="Arial"/>
          <w:color w:val="A6A6A6" w:themeColor="background1" w:themeShade="A6"/>
          <w:sz w:val="22"/>
          <w:szCs w:val="22"/>
          <w:lang w:val="en-GB"/>
        </w:rPr>
        <w:t xml:space="preserve">During the course of insolvency </w:t>
      </w:r>
      <w:r w:rsidRPr="00933321">
        <w:rPr>
          <w:rFonts w:ascii="Arial" w:hAnsi="Arial" w:cs="Arial"/>
          <w:color w:val="A6A6A6" w:themeColor="background1" w:themeShade="A6"/>
          <w:sz w:val="22"/>
          <w:szCs w:val="22"/>
          <w:lang w:val="en-GB"/>
        </w:rPr>
        <w:t>proceedings,</w:t>
      </w:r>
      <w:r w:rsidRPr="00933321">
        <w:rPr>
          <w:rFonts w:ascii="Arial" w:hAnsi="Arial" w:cs="Arial"/>
          <w:color w:val="A6A6A6" w:themeColor="background1" w:themeShade="A6"/>
          <w:sz w:val="22"/>
          <w:szCs w:val="22"/>
          <w:lang w:val="en-GB"/>
        </w:rPr>
        <w:t xml:space="preserve"> the insolvency pract</w:t>
      </w:r>
      <w:r>
        <w:rPr>
          <w:rFonts w:ascii="Arial" w:hAnsi="Arial" w:cs="Arial"/>
          <w:color w:val="A6A6A6" w:themeColor="background1" w:themeShade="A6"/>
          <w:sz w:val="22"/>
          <w:szCs w:val="22"/>
          <w:lang w:val="en-GB"/>
        </w:rPr>
        <w:t>itioner can apply for credit</w:t>
      </w:r>
      <w:r w:rsidRPr="00933321">
        <w:rPr>
          <w:rFonts w:ascii="Arial" w:hAnsi="Arial" w:cs="Arial"/>
          <w:color w:val="A6A6A6" w:themeColor="background1" w:themeShade="A6"/>
          <w:sz w:val="22"/>
          <w:szCs w:val="22"/>
          <w:lang w:val="en-GB"/>
        </w:rPr>
        <w:t xml:space="preserve"> on the capital markets. The obligations arising from the credit agreement are considered expenses of the proceedings (debts of the insolvency estate) and therefore are satisfied from the insolvency estate directly after the costs of the insolvency proceedings. If the insolvency estate is insufficient to cover the costs of the debts that have arisen through the proceedings. then the insolvency administrator is personally liable towards the other contracting party, unless it was not foreseeable (the same applies for the manager in debtor-in possession insolvency proceedings</w:t>
      </w:r>
      <w:r w:rsidRPr="00933321">
        <w:rPr>
          <w:rFonts w:ascii="Arial" w:hAnsi="Arial" w:cs="Arial"/>
          <w:color w:val="A6A6A6" w:themeColor="background1" w:themeShade="A6"/>
          <w:sz w:val="22"/>
          <w:szCs w:val="22"/>
          <w:lang w:val="en-GB"/>
        </w:rPr>
        <w:t>). In</w:t>
      </w:r>
      <w:r w:rsidRPr="00933321">
        <w:rPr>
          <w:rFonts w:ascii="Arial" w:hAnsi="Arial" w:cs="Arial"/>
          <w:color w:val="A6A6A6" w:themeColor="background1" w:themeShade="A6"/>
          <w:sz w:val="22"/>
          <w:szCs w:val="22"/>
          <w:lang w:val="en-GB"/>
        </w:rPr>
        <w:t xml:space="preserve"> pre-insolvency proceedings under the </w:t>
      </w:r>
      <w:proofErr w:type="spellStart"/>
      <w:r w:rsidRPr="00933321">
        <w:rPr>
          <w:rFonts w:ascii="Arial" w:hAnsi="Arial" w:cs="Arial"/>
          <w:color w:val="A6A6A6" w:themeColor="background1" w:themeShade="A6"/>
          <w:sz w:val="22"/>
          <w:szCs w:val="22"/>
          <w:lang w:val="en-GB"/>
        </w:rPr>
        <w:t>StaRUG</w:t>
      </w:r>
      <w:proofErr w:type="spellEnd"/>
      <w:r w:rsidRPr="00933321">
        <w:rPr>
          <w:rFonts w:ascii="Arial" w:hAnsi="Arial" w:cs="Arial"/>
          <w:color w:val="A6A6A6" w:themeColor="background1" w:themeShade="A6"/>
          <w:sz w:val="22"/>
          <w:szCs w:val="22"/>
          <w:lang w:val="en-GB"/>
        </w:rPr>
        <w:t>, fresh money must be acquired by the debtor. Such restructuring loans can be part of the restructuring plan. If the restructuring attempt fails and insolvency proceedings ensue, the loan does not enjoy a privilege in ranking. However</w:t>
      </w:r>
      <w:r w:rsidRPr="00933321">
        <w:rPr>
          <w:rFonts w:ascii="Arial" w:hAnsi="Arial" w:cs="Arial"/>
          <w:color w:val="A6A6A6" w:themeColor="background1" w:themeShade="A6"/>
          <w:sz w:val="22"/>
          <w:szCs w:val="22"/>
          <w:lang w:val="en-GB"/>
        </w:rPr>
        <w:t>,</w:t>
      </w:r>
      <w:r w:rsidRPr="00933321">
        <w:rPr>
          <w:rFonts w:ascii="Arial" w:hAnsi="Arial" w:cs="Arial"/>
          <w:color w:val="A6A6A6" w:themeColor="background1" w:themeShade="A6"/>
          <w:sz w:val="22"/>
          <w:szCs w:val="22"/>
          <w:lang w:val="en-GB"/>
        </w:rPr>
        <w:t xml:space="preserve"> granting </w:t>
      </w:r>
      <w:r>
        <w:rPr>
          <w:rFonts w:ascii="Arial" w:hAnsi="Arial" w:cs="Arial"/>
          <w:color w:val="A6A6A6" w:themeColor="background1" w:themeShade="A6"/>
          <w:sz w:val="22"/>
          <w:szCs w:val="22"/>
          <w:lang w:val="en-GB"/>
        </w:rPr>
        <w:t>a</w:t>
      </w:r>
      <w:r w:rsidRPr="00933321">
        <w:rPr>
          <w:rFonts w:ascii="Arial" w:hAnsi="Arial" w:cs="Arial"/>
          <w:color w:val="A6A6A6" w:themeColor="background1" w:themeShade="A6"/>
          <w:sz w:val="22"/>
          <w:szCs w:val="22"/>
          <w:lang w:val="en-GB"/>
        </w:rPr>
        <w:t>nd collateralisation of the loan is not challengeable in subsequent insolvency proceedings if it is regulated in a court-confirmed restructuring plan.</w:t>
      </w:r>
    </w:p>
    <w:p w14:paraId="365FB657" w14:textId="77777777" w:rsidR="00303B4F" w:rsidRDefault="00303B4F" w:rsidP="00C34152">
      <w:pPr>
        <w:pStyle w:val="ListParagraph"/>
        <w:ind w:left="0"/>
        <w:rPr>
          <w:rFonts w:ascii="Arial" w:hAnsi="Arial" w:cs="Arial"/>
          <w:color w:val="A6A6A6" w:themeColor="background1" w:themeShade="A6"/>
          <w:sz w:val="22"/>
          <w:szCs w:val="22"/>
          <w:lang w:val="en-GB"/>
        </w:rPr>
      </w:pPr>
    </w:p>
    <w:p w14:paraId="053CE421" w14:textId="4AE2CACE" w:rsidR="009F4558" w:rsidRPr="00D05CA4" w:rsidRDefault="00125CCA"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For pre-insolvency restructuring, the </w:t>
      </w:r>
      <w:proofErr w:type="spellStart"/>
      <w:r>
        <w:rPr>
          <w:rFonts w:ascii="Arial" w:hAnsi="Arial" w:cs="Arial"/>
          <w:color w:val="A6A6A6" w:themeColor="background1" w:themeShade="A6"/>
          <w:sz w:val="22"/>
          <w:szCs w:val="22"/>
          <w:lang w:val="en-GB"/>
        </w:rPr>
        <w:t>StaRUG</w:t>
      </w:r>
      <w:proofErr w:type="spellEnd"/>
      <w:r>
        <w:rPr>
          <w:rFonts w:ascii="Arial" w:hAnsi="Arial" w:cs="Arial"/>
          <w:color w:val="A6A6A6" w:themeColor="background1" w:themeShade="A6"/>
          <w:sz w:val="22"/>
          <w:szCs w:val="22"/>
          <w:lang w:val="en-GB"/>
        </w:rPr>
        <w:t xml:space="preserve"> does not provide for transactions avoidance but protects transactions contained in, or executing, a restructuring plan in subsequent insolvency </w:t>
      </w:r>
      <w:proofErr w:type="gramStart"/>
      <w:r>
        <w:rPr>
          <w:rFonts w:ascii="Arial" w:hAnsi="Arial" w:cs="Arial"/>
          <w:color w:val="A6A6A6" w:themeColor="background1" w:themeShade="A6"/>
          <w:sz w:val="22"/>
          <w:szCs w:val="22"/>
          <w:lang w:val="en-GB"/>
        </w:rPr>
        <w:t>proceedings.</w:t>
      </w:r>
      <w:r w:rsidR="0083155B" w:rsidRPr="0083155B">
        <w:rPr>
          <w:rFonts w:ascii="Arial" w:hAnsi="Arial" w:cs="Arial"/>
          <w:color w:val="A6A6A6" w:themeColor="background1" w:themeShade="A6"/>
          <w:sz w:val="22"/>
          <w:szCs w:val="22"/>
        </w:rPr>
        <w:t>.</w:t>
      </w:r>
      <w:proofErr w:type="gramEnd"/>
      <w:r w:rsidR="0083155B" w:rsidRPr="0083155B">
        <w:rPr>
          <w:rFonts w:ascii="Arial" w:hAnsi="Arial" w:cs="Arial"/>
          <w:color w:val="A6A6A6" w:themeColor="background1" w:themeShade="A6"/>
          <w:sz w:val="22"/>
          <w:szCs w:val="22"/>
        </w:rPr>
        <w:t> </w:t>
      </w:r>
      <w:r>
        <w:rPr>
          <w:rFonts w:ascii="Arial" w:hAnsi="Arial" w:cs="Arial"/>
          <w:color w:val="A6A6A6" w:themeColor="background1" w:themeShade="A6"/>
          <w:sz w:val="22"/>
          <w:szCs w:val="22"/>
          <w:lang w:val="en-GB"/>
        </w:rPr>
        <w:t xml:space="preserve"> </w:t>
      </w:r>
      <w:r w:rsidR="00D05CA4" w:rsidRPr="00D05CA4">
        <w:rPr>
          <w:rFonts w:ascii="Arial" w:hAnsi="Arial" w:cs="Arial"/>
          <w:color w:val="A6A6A6" w:themeColor="background1" w:themeShade="A6"/>
          <w:sz w:val="22"/>
          <w:szCs w:val="22"/>
          <w:lang w:val="en-GB"/>
        </w:rPr>
        <w:t>]</w:t>
      </w:r>
    </w:p>
    <w:p w14:paraId="724E3744" w14:textId="299F687E" w:rsidR="004B14C9" w:rsidRPr="00193129" w:rsidRDefault="004B14C9" w:rsidP="002F16BD">
      <w:pPr>
        <w:ind w:left="720" w:hanging="720"/>
        <w:jc w:val="right"/>
        <w:rPr>
          <w:rFonts w:ascii="Arial" w:hAnsi="Arial" w:cs="Arial"/>
          <w:b/>
          <w:color w:val="FF0000"/>
          <w:sz w:val="22"/>
          <w:szCs w:val="22"/>
          <w:highlight w:val="cyan"/>
        </w:rPr>
      </w:pPr>
    </w:p>
    <w:p w14:paraId="6B031977" w14:textId="420081AD" w:rsidR="00B30912" w:rsidRDefault="00B30912" w:rsidP="0098784A">
      <w:pPr>
        <w:jc w:val="both"/>
        <w:rPr>
          <w:rFonts w:ascii="Arial" w:hAnsi="Arial" w:cs="Arial"/>
          <w:sz w:val="22"/>
          <w:szCs w:val="22"/>
          <w:highlight w:val="cyan"/>
          <w:lang w:val="x-none"/>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1024EF6F" w14:textId="4892399E" w:rsidR="003D55EA" w:rsidRPr="00E349CE" w:rsidRDefault="003D55EA" w:rsidP="00C34152">
      <w:pPr>
        <w:jc w:val="both"/>
        <w:rPr>
          <w:rFonts w:ascii="Arial" w:hAnsi="Arial" w:cs="Arial"/>
          <w:sz w:val="22"/>
          <w:szCs w:val="22"/>
          <w:lang w:val="en-GB"/>
        </w:rPr>
      </w:pPr>
    </w:p>
    <w:p w14:paraId="7C849BF8" w14:textId="50B3814E" w:rsidR="0036377B" w:rsidRDefault="00D05CA4" w:rsidP="00125CCA">
      <w:pPr>
        <w:pStyle w:val="ListParagraph"/>
        <w:ind w:left="0"/>
        <w:rPr>
          <w:rFonts w:ascii="Arial" w:hAnsi="Arial" w:cs="Arial"/>
          <w:color w:val="A6A6A6" w:themeColor="background1" w:themeShade="A6"/>
          <w:sz w:val="22"/>
          <w:szCs w:val="22"/>
        </w:rPr>
      </w:pPr>
      <w:r w:rsidRPr="00D05CA4">
        <w:rPr>
          <w:rFonts w:ascii="Arial" w:hAnsi="Arial" w:cs="Arial"/>
          <w:color w:val="A6A6A6" w:themeColor="background1" w:themeShade="A6"/>
          <w:sz w:val="22"/>
          <w:szCs w:val="22"/>
          <w:lang w:val="en-GB"/>
        </w:rPr>
        <w:t>[</w:t>
      </w:r>
      <w:r w:rsidR="0036377B" w:rsidRPr="0036377B">
        <w:rPr>
          <w:rFonts w:ascii="Arial" w:hAnsi="Arial" w:cs="Arial"/>
          <w:color w:val="A6A6A6" w:themeColor="background1" w:themeShade="A6"/>
          <w:sz w:val="22"/>
          <w:szCs w:val="22"/>
        </w:rPr>
        <w:t xml:space="preserve">Contracts concluded by a debtor for the lease and tenancy of </w:t>
      </w:r>
      <w:r w:rsidR="000B6374" w:rsidRPr="0036377B">
        <w:rPr>
          <w:rFonts w:ascii="Arial" w:hAnsi="Arial" w:cs="Arial"/>
          <w:color w:val="A6A6A6" w:themeColor="background1" w:themeShade="A6"/>
          <w:sz w:val="22"/>
          <w:szCs w:val="22"/>
        </w:rPr>
        <w:t>immovable</w:t>
      </w:r>
      <w:r w:rsidR="0036377B" w:rsidRPr="0036377B">
        <w:rPr>
          <w:rFonts w:ascii="Arial" w:hAnsi="Arial" w:cs="Arial"/>
          <w:color w:val="A6A6A6" w:themeColor="background1" w:themeShade="A6"/>
          <w:sz w:val="22"/>
          <w:szCs w:val="22"/>
        </w:rPr>
        <w:t xml:space="preserve"> or premises and the debtor’s employment relationships continue to exist, but to the credit of the insolvency estate. This also applies in respect of rental and lease contracts concluded by the debtor as landlord or lessor relating to other effects assigned as a security to a third party which had financed their acquisition or production.</w:t>
      </w:r>
    </w:p>
    <w:p w14:paraId="11746E12" w14:textId="480D321D" w:rsidR="000B6374" w:rsidRDefault="000B6374" w:rsidP="00125CCA">
      <w:pPr>
        <w:pStyle w:val="ListParagraph"/>
        <w:ind w:left="0"/>
        <w:rPr>
          <w:rFonts w:ascii="Arial" w:hAnsi="Arial" w:cs="Arial"/>
          <w:color w:val="A6A6A6" w:themeColor="background1" w:themeShade="A6"/>
          <w:sz w:val="22"/>
          <w:szCs w:val="22"/>
        </w:rPr>
      </w:pPr>
    </w:p>
    <w:p w14:paraId="033D3368" w14:textId="77777777" w:rsidR="000B6374" w:rsidRPr="00125CCA" w:rsidRDefault="000B6374" w:rsidP="00286A27">
      <w:pPr>
        <w:pStyle w:val="ListParagraph"/>
        <w:ind w:left="0"/>
        <w:jc w:val="both"/>
        <w:rPr>
          <w:rFonts w:ascii="Arial" w:hAnsi="Arial" w:cs="Arial"/>
          <w:color w:val="A6A6A6" w:themeColor="background1" w:themeShade="A6"/>
          <w:sz w:val="22"/>
          <w:szCs w:val="22"/>
          <w:lang w:val="en-IN"/>
        </w:rPr>
      </w:pPr>
      <w:r w:rsidRPr="00125CCA">
        <w:rPr>
          <w:rFonts w:ascii="Arial" w:hAnsi="Arial" w:cs="Arial"/>
          <w:color w:val="A6A6A6" w:themeColor="background1" w:themeShade="A6"/>
          <w:sz w:val="22"/>
          <w:szCs w:val="22"/>
          <w:lang w:val="en-IN"/>
        </w:rPr>
        <w:t xml:space="preserve">Tenancy </w:t>
      </w:r>
      <w:r>
        <w:rPr>
          <w:rFonts w:ascii="Arial" w:hAnsi="Arial" w:cs="Arial"/>
          <w:color w:val="A6A6A6" w:themeColor="background1" w:themeShade="A6"/>
          <w:sz w:val="22"/>
          <w:szCs w:val="22"/>
          <w:lang w:val="en-IN"/>
        </w:rPr>
        <w:t>agreements</w:t>
      </w:r>
      <w:r w:rsidRPr="00125CCA">
        <w:rPr>
          <w:rFonts w:ascii="Arial" w:hAnsi="Arial" w:cs="Arial"/>
          <w:color w:val="A6A6A6" w:themeColor="background1" w:themeShade="A6"/>
          <w:sz w:val="22"/>
          <w:szCs w:val="22"/>
          <w:lang w:val="en-IN"/>
        </w:rPr>
        <w:t xml:space="preserve"> concluded by the debtor as tenant or lessee may not be terminated by the other party after the opening of insolvency proceedings has been requested:</w:t>
      </w:r>
    </w:p>
    <w:p w14:paraId="5DE9D247" w14:textId="77777777" w:rsidR="000B6374" w:rsidRPr="00125CCA" w:rsidRDefault="000B6374" w:rsidP="00286A27">
      <w:pPr>
        <w:pStyle w:val="ListParagraph"/>
        <w:jc w:val="both"/>
        <w:rPr>
          <w:rFonts w:ascii="Arial" w:hAnsi="Arial" w:cs="Arial"/>
          <w:color w:val="A6A6A6" w:themeColor="background1" w:themeShade="A6"/>
          <w:sz w:val="22"/>
          <w:szCs w:val="22"/>
          <w:lang w:val="en-IN"/>
        </w:rPr>
      </w:pPr>
      <w:bookmarkStart w:id="2" w:name="p0570"/>
      <w:bookmarkEnd w:id="2"/>
      <w:r w:rsidRPr="00125CCA">
        <w:rPr>
          <w:rFonts w:ascii="Arial" w:hAnsi="Arial" w:cs="Arial"/>
          <w:color w:val="A6A6A6" w:themeColor="background1" w:themeShade="A6"/>
          <w:sz w:val="22"/>
          <w:szCs w:val="22"/>
          <w:lang w:val="en-IN"/>
        </w:rPr>
        <w:t xml:space="preserve">1.  because of default in the payment of tenancy or lease fees arising before the </w:t>
      </w:r>
      <w:r>
        <w:rPr>
          <w:rFonts w:ascii="Arial" w:hAnsi="Arial" w:cs="Arial"/>
          <w:color w:val="A6A6A6" w:themeColor="background1" w:themeShade="A6"/>
          <w:sz w:val="22"/>
          <w:szCs w:val="22"/>
          <w:lang w:val="en-IN"/>
        </w:rPr>
        <w:t xml:space="preserve">  </w:t>
      </w:r>
      <w:r w:rsidRPr="00125CCA">
        <w:rPr>
          <w:rFonts w:ascii="Arial" w:hAnsi="Arial" w:cs="Arial"/>
          <w:color w:val="A6A6A6" w:themeColor="background1" w:themeShade="A6"/>
          <w:sz w:val="22"/>
          <w:szCs w:val="22"/>
          <w:lang w:val="en-IN"/>
        </w:rPr>
        <w:t>opening of the insolvency proceedings was requested,</w:t>
      </w:r>
    </w:p>
    <w:p w14:paraId="6E34E228" w14:textId="77777777" w:rsidR="000B6374" w:rsidRPr="00125CCA" w:rsidRDefault="000B6374" w:rsidP="00286A27">
      <w:pPr>
        <w:pStyle w:val="ListParagraph"/>
        <w:ind w:left="0" w:firstLine="720"/>
        <w:jc w:val="both"/>
        <w:rPr>
          <w:rFonts w:ascii="Arial" w:hAnsi="Arial" w:cs="Arial"/>
          <w:color w:val="A6A6A6" w:themeColor="background1" w:themeShade="A6"/>
          <w:sz w:val="22"/>
          <w:szCs w:val="22"/>
          <w:lang w:val="en-IN"/>
        </w:rPr>
      </w:pPr>
      <w:bookmarkStart w:id="3" w:name="p0571"/>
      <w:bookmarkEnd w:id="3"/>
      <w:r w:rsidRPr="00125CCA">
        <w:rPr>
          <w:rFonts w:ascii="Arial" w:hAnsi="Arial" w:cs="Arial"/>
          <w:color w:val="A6A6A6" w:themeColor="background1" w:themeShade="A6"/>
          <w:sz w:val="22"/>
          <w:szCs w:val="22"/>
          <w:lang w:val="en-IN"/>
        </w:rPr>
        <w:t>2.  because of deterioration in the debtor’s financial situation.</w:t>
      </w:r>
    </w:p>
    <w:p w14:paraId="51A96437" w14:textId="64DB8345" w:rsidR="0036377B" w:rsidRDefault="0036377B" w:rsidP="00125CCA">
      <w:pPr>
        <w:pStyle w:val="ListParagraph"/>
        <w:ind w:left="0"/>
        <w:rPr>
          <w:rFonts w:ascii="Arial" w:hAnsi="Arial" w:cs="Arial"/>
          <w:color w:val="A6A6A6" w:themeColor="background1" w:themeShade="A6"/>
          <w:sz w:val="22"/>
          <w:szCs w:val="22"/>
        </w:rPr>
      </w:pPr>
    </w:p>
    <w:p w14:paraId="5447C7AE" w14:textId="30916266" w:rsidR="0036377B" w:rsidRDefault="0036377B" w:rsidP="00286A27">
      <w:pPr>
        <w:pStyle w:val="ListParagraph"/>
        <w:ind w:left="0"/>
        <w:jc w:val="both"/>
        <w:rPr>
          <w:rFonts w:ascii="Arial" w:hAnsi="Arial" w:cs="Arial"/>
          <w:color w:val="A6A6A6" w:themeColor="background1" w:themeShade="A6"/>
          <w:sz w:val="22"/>
          <w:szCs w:val="22"/>
        </w:rPr>
      </w:pPr>
      <w:r>
        <w:rPr>
          <w:rFonts w:ascii="Arial" w:hAnsi="Arial" w:cs="Arial"/>
          <w:color w:val="A6A6A6" w:themeColor="background1" w:themeShade="A6"/>
          <w:sz w:val="22"/>
          <w:szCs w:val="22"/>
        </w:rPr>
        <w:t xml:space="preserve">While with regards to executory contracts, if the debtor and its other party </w:t>
      </w:r>
      <w:r w:rsidR="006022D7">
        <w:rPr>
          <w:rFonts w:ascii="Arial" w:hAnsi="Arial" w:cs="Arial"/>
          <w:color w:val="A6A6A6" w:themeColor="background1" w:themeShade="A6"/>
          <w:sz w:val="22"/>
          <w:szCs w:val="22"/>
        </w:rPr>
        <w:t>fails to completely perform the mutual contract, at the date</w:t>
      </w:r>
      <w:r>
        <w:rPr>
          <w:rFonts w:ascii="Arial" w:hAnsi="Arial" w:cs="Arial"/>
          <w:color w:val="A6A6A6" w:themeColor="background1" w:themeShade="A6"/>
          <w:sz w:val="22"/>
          <w:szCs w:val="22"/>
        </w:rPr>
        <w:t xml:space="preserve"> </w:t>
      </w:r>
      <w:r w:rsidR="006022D7">
        <w:rPr>
          <w:rFonts w:ascii="Arial" w:hAnsi="Arial" w:cs="Arial"/>
          <w:color w:val="A6A6A6" w:themeColor="background1" w:themeShade="A6"/>
          <w:sz w:val="22"/>
          <w:szCs w:val="22"/>
        </w:rPr>
        <w:t>when the insolvency proceedings were opened, both claims to fulfillment lose their enforceability.</w:t>
      </w:r>
    </w:p>
    <w:p w14:paraId="2AFBDD06" w14:textId="77777777" w:rsidR="0036377B" w:rsidRDefault="0036377B" w:rsidP="00125CCA">
      <w:pPr>
        <w:pStyle w:val="ListParagraph"/>
        <w:ind w:left="0"/>
        <w:rPr>
          <w:rFonts w:ascii="Arial" w:hAnsi="Arial" w:cs="Arial"/>
          <w:color w:val="A6A6A6" w:themeColor="background1" w:themeShade="A6"/>
          <w:sz w:val="22"/>
          <w:szCs w:val="22"/>
          <w:lang w:val="en-GB"/>
        </w:rPr>
      </w:pPr>
    </w:p>
    <w:p w14:paraId="2C710F86" w14:textId="13FED97B" w:rsidR="00D05CA4" w:rsidRPr="00D05CA4" w:rsidRDefault="00D05CA4" w:rsidP="00D05CA4">
      <w:pPr>
        <w:pStyle w:val="ListParagraph"/>
        <w:ind w:left="0"/>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w:t>
      </w:r>
    </w:p>
    <w:p w14:paraId="327DAA6E" w14:textId="2F5CEBA7" w:rsidR="001821C7" w:rsidRPr="00E349CE"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lang w:val="x-none"/>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52921A3F" w14:textId="5722FC74" w:rsidR="0083155B" w:rsidRDefault="00D05CA4" w:rsidP="0083155B">
      <w:pPr>
        <w:pStyle w:val="ListParagraph"/>
        <w:ind w:left="0"/>
        <w:jc w:val="both"/>
        <w:rPr>
          <w:rFonts w:ascii="Arial" w:hAnsi="Arial" w:cs="Arial"/>
          <w:color w:val="A6A6A6" w:themeColor="background1" w:themeShade="A6"/>
          <w:sz w:val="22"/>
          <w:szCs w:val="22"/>
          <w:lang w:val="en-IN"/>
        </w:rPr>
      </w:pPr>
      <w:r w:rsidRPr="00D05CA4">
        <w:rPr>
          <w:rFonts w:ascii="Arial" w:hAnsi="Arial" w:cs="Arial"/>
          <w:color w:val="A6A6A6" w:themeColor="background1" w:themeShade="A6"/>
          <w:sz w:val="22"/>
          <w:szCs w:val="22"/>
          <w:lang w:val="en-GB"/>
        </w:rPr>
        <w:t>[</w:t>
      </w:r>
      <w:r w:rsidR="0083155B" w:rsidRPr="0083155B">
        <w:rPr>
          <w:rFonts w:ascii="Arial" w:hAnsi="Arial" w:cs="Arial"/>
          <w:color w:val="A6A6A6" w:themeColor="background1" w:themeShade="A6"/>
          <w:sz w:val="22"/>
          <w:szCs w:val="22"/>
          <w:lang w:val="en-IN"/>
        </w:rPr>
        <w:t>Transactions made before the opening of insolvency proceedings can be contested if they were made to the disadvantage of the creditors and a reason to contest (avoidance ground) has been shown. A transaction disadvantages the general body of creditors if it reduces the amount of proceeds that can be paid to the ordinary creditors.</w:t>
      </w:r>
    </w:p>
    <w:p w14:paraId="743BC98D" w14:textId="77777777" w:rsidR="0083155B" w:rsidRPr="0083155B" w:rsidRDefault="0083155B" w:rsidP="0083155B">
      <w:pPr>
        <w:pStyle w:val="ListParagraph"/>
        <w:ind w:left="0"/>
        <w:jc w:val="both"/>
        <w:rPr>
          <w:rFonts w:ascii="Arial" w:hAnsi="Arial" w:cs="Arial"/>
          <w:color w:val="A6A6A6" w:themeColor="background1" w:themeShade="A6"/>
          <w:sz w:val="22"/>
          <w:szCs w:val="22"/>
          <w:lang w:val="en-IN"/>
        </w:rPr>
      </w:pPr>
    </w:p>
    <w:p w14:paraId="4A05CAF6" w14:textId="7B888373" w:rsidR="0083155B" w:rsidRDefault="0083155B" w:rsidP="0083155B">
      <w:pPr>
        <w:pStyle w:val="ListParagraph"/>
        <w:ind w:left="0"/>
        <w:jc w:val="both"/>
        <w:rPr>
          <w:rFonts w:ascii="Arial" w:hAnsi="Arial" w:cs="Arial"/>
          <w:color w:val="A6A6A6" w:themeColor="background1" w:themeShade="A6"/>
          <w:sz w:val="22"/>
          <w:szCs w:val="22"/>
          <w:lang w:val="en-IN"/>
        </w:rPr>
      </w:pPr>
      <w:r w:rsidRPr="0083155B">
        <w:rPr>
          <w:rFonts w:ascii="Arial" w:hAnsi="Arial" w:cs="Arial"/>
          <w:color w:val="A6A6A6" w:themeColor="background1" w:themeShade="A6"/>
          <w:sz w:val="22"/>
          <w:szCs w:val="22"/>
          <w:lang w:val="en-IN"/>
        </w:rPr>
        <w:t xml:space="preserve">The avoidance grounds are listed in Section 130 </w:t>
      </w:r>
      <w:r w:rsidRPr="0083155B">
        <w:rPr>
          <w:rFonts w:ascii="Arial" w:hAnsi="Arial" w:cs="Arial"/>
          <w:i/>
          <w:color w:val="A6A6A6" w:themeColor="background1" w:themeShade="A6"/>
          <w:sz w:val="22"/>
          <w:szCs w:val="22"/>
          <w:lang w:val="en-IN"/>
        </w:rPr>
        <w:t xml:space="preserve">et </w:t>
      </w:r>
      <w:proofErr w:type="spellStart"/>
      <w:r w:rsidRPr="0083155B">
        <w:rPr>
          <w:rFonts w:ascii="Arial" w:hAnsi="Arial" w:cs="Arial"/>
          <w:i/>
          <w:color w:val="A6A6A6" w:themeColor="background1" w:themeShade="A6"/>
          <w:sz w:val="22"/>
          <w:szCs w:val="22"/>
          <w:lang w:val="en-IN"/>
        </w:rPr>
        <w:t>seq</w:t>
      </w:r>
      <w:proofErr w:type="spellEnd"/>
      <w:r w:rsidRPr="0083155B">
        <w:rPr>
          <w:rFonts w:ascii="Arial" w:hAnsi="Arial" w:cs="Arial"/>
          <w:color w:val="A6A6A6" w:themeColor="background1" w:themeShade="A6"/>
          <w:sz w:val="22"/>
          <w:szCs w:val="22"/>
          <w:lang w:val="en-IN"/>
        </w:rPr>
        <w:t xml:space="preserve"> </w:t>
      </w:r>
      <w:proofErr w:type="spellStart"/>
      <w:r w:rsidRPr="0083155B">
        <w:rPr>
          <w:rFonts w:ascii="Arial" w:hAnsi="Arial" w:cs="Arial"/>
          <w:color w:val="A6A6A6" w:themeColor="background1" w:themeShade="A6"/>
          <w:sz w:val="22"/>
          <w:szCs w:val="22"/>
          <w:lang w:val="en-IN"/>
        </w:rPr>
        <w:t>InsO</w:t>
      </w:r>
      <w:proofErr w:type="spellEnd"/>
      <w:r w:rsidRPr="0083155B">
        <w:rPr>
          <w:rFonts w:ascii="Arial" w:hAnsi="Arial" w:cs="Arial"/>
          <w:color w:val="A6A6A6" w:themeColor="background1" w:themeShade="A6"/>
          <w:sz w:val="22"/>
          <w:szCs w:val="22"/>
          <w:lang w:val="en-IN"/>
        </w:rPr>
        <w:t>. In summary, assets must be returned to the insolvency estate if they left it in close timing to the opening of the insolvency proceedings or under circumstances which justify their return, even if the third party has already relied on their disposition. The following are reasons to contest:</w:t>
      </w:r>
    </w:p>
    <w:p w14:paraId="3F27D11B" w14:textId="77777777" w:rsidR="0083155B" w:rsidRPr="0083155B" w:rsidRDefault="0083155B" w:rsidP="0083155B">
      <w:pPr>
        <w:pStyle w:val="ListParagraph"/>
        <w:ind w:left="0"/>
        <w:jc w:val="both"/>
        <w:rPr>
          <w:rFonts w:ascii="Arial" w:hAnsi="Arial" w:cs="Arial"/>
          <w:color w:val="A6A6A6" w:themeColor="background1" w:themeShade="A6"/>
          <w:sz w:val="22"/>
          <w:szCs w:val="22"/>
          <w:lang w:val="en-IN"/>
        </w:rPr>
      </w:pPr>
    </w:p>
    <w:p w14:paraId="5B4824AB" w14:textId="77777777" w:rsidR="0083155B" w:rsidRPr="0083155B" w:rsidRDefault="0083155B" w:rsidP="0083155B">
      <w:pPr>
        <w:pStyle w:val="ListParagraph"/>
        <w:ind w:left="0"/>
        <w:jc w:val="both"/>
        <w:rPr>
          <w:rFonts w:ascii="Arial" w:hAnsi="Arial" w:cs="Arial"/>
          <w:color w:val="A6A6A6" w:themeColor="background1" w:themeShade="A6"/>
          <w:sz w:val="22"/>
          <w:szCs w:val="22"/>
          <w:lang w:val="en-IN"/>
        </w:rPr>
      </w:pPr>
      <w:r w:rsidRPr="0083155B">
        <w:rPr>
          <w:rFonts w:ascii="Arial" w:hAnsi="Arial" w:cs="Arial"/>
          <w:color w:val="A6A6A6" w:themeColor="background1" w:themeShade="A6"/>
          <w:sz w:val="22"/>
          <w:szCs w:val="22"/>
          <w:lang w:val="en-IN"/>
        </w:rPr>
        <w:t xml:space="preserve">(1) </w:t>
      </w:r>
      <w:r w:rsidR="00347C29" w:rsidRPr="0083155B">
        <w:rPr>
          <w:rFonts w:ascii="Arial" w:hAnsi="Arial" w:cs="Arial"/>
          <w:color w:val="A6A6A6" w:themeColor="background1" w:themeShade="A6"/>
          <w:sz w:val="22"/>
          <w:szCs w:val="22"/>
          <w:lang w:val="en-IN"/>
        </w:rPr>
        <w:t>A transaction granting or facilitating an insolvency creditor a security or satisfaction to which the opponent had a claim (so-called congruent coverage) is contestable if it occurred in the last three months before the application to open insolvency p</w:t>
      </w:r>
      <w:r w:rsidR="00347C29" w:rsidRPr="0083155B">
        <w:rPr>
          <w:rFonts w:ascii="Arial" w:hAnsi="Arial" w:cs="Arial"/>
          <w:color w:val="A6A6A6" w:themeColor="background1" w:themeShade="A6"/>
          <w:sz w:val="22"/>
          <w:szCs w:val="22"/>
          <w:lang w:val="en-IN"/>
        </w:rPr>
        <w:t>roceedings, the debtor was already cash flow insolvent/illiquid and the creditor was aware of this. If there has already been an application to open insolvency proceedings, then the knowledge of such an application is sufficient grounds to contest. Whether</w:t>
      </w:r>
      <w:r w:rsidR="00347C29" w:rsidRPr="0083155B">
        <w:rPr>
          <w:rFonts w:ascii="Arial" w:hAnsi="Arial" w:cs="Arial"/>
          <w:color w:val="A6A6A6" w:themeColor="background1" w:themeShade="A6"/>
          <w:sz w:val="22"/>
          <w:szCs w:val="22"/>
          <w:lang w:val="en-IN"/>
        </w:rPr>
        <w:t xml:space="preserve"> a transaction has been performed within the suspect period of three months prior to the application for insolvency</w:t>
      </w:r>
      <w:r w:rsidRPr="0083155B">
        <w:rPr>
          <w:rFonts w:ascii="Arial" w:hAnsi="Arial" w:cs="Arial"/>
          <w:color w:val="A6A6A6" w:themeColor="background1" w:themeShade="A6"/>
          <w:sz w:val="22"/>
          <w:szCs w:val="22"/>
          <w:lang w:val="en-IN"/>
        </w:rPr>
        <w:t xml:space="preserve"> proceedings must be decided by applying Section 140 of </w:t>
      </w:r>
      <w:proofErr w:type="spellStart"/>
      <w:r w:rsidRPr="0083155B">
        <w:rPr>
          <w:rFonts w:ascii="Arial" w:hAnsi="Arial" w:cs="Arial"/>
          <w:color w:val="A6A6A6" w:themeColor="background1" w:themeShade="A6"/>
          <w:sz w:val="22"/>
          <w:szCs w:val="22"/>
          <w:lang w:val="en-IN"/>
        </w:rPr>
        <w:t>InsO</w:t>
      </w:r>
      <w:proofErr w:type="spellEnd"/>
      <w:r w:rsidRPr="0083155B">
        <w:rPr>
          <w:rFonts w:ascii="Arial" w:hAnsi="Arial" w:cs="Arial"/>
          <w:color w:val="A6A6A6" w:themeColor="background1" w:themeShade="A6"/>
          <w:sz w:val="22"/>
          <w:szCs w:val="22"/>
          <w:lang w:val="en-IN"/>
        </w:rPr>
        <w:t>, which refers to the point in time where the transaction was perfected.</w:t>
      </w:r>
    </w:p>
    <w:p w14:paraId="79B3A423" w14:textId="77777777" w:rsidR="0083155B" w:rsidRPr="0083155B" w:rsidRDefault="0083155B" w:rsidP="0083155B">
      <w:pPr>
        <w:pStyle w:val="ListParagraph"/>
        <w:ind w:left="0"/>
        <w:rPr>
          <w:rFonts w:ascii="Arial" w:hAnsi="Arial" w:cs="Arial"/>
          <w:color w:val="A6A6A6" w:themeColor="background1" w:themeShade="A6"/>
          <w:sz w:val="22"/>
          <w:szCs w:val="22"/>
          <w:lang w:val="en-IN"/>
        </w:rPr>
      </w:pPr>
    </w:p>
    <w:p w14:paraId="7BACC1C1" w14:textId="77777777" w:rsidR="0083155B" w:rsidRPr="0083155B" w:rsidRDefault="0083155B" w:rsidP="0083155B">
      <w:pPr>
        <w:pStyle w:val="ListParagraph"/>
        <w:ind w:left="0"/>
        <w:jc w:val="both"/>
        <w:rPr>
          <w:rFonts w:ascii="Arial" w:hAnsi="Arial" w:cs="Arial"/>
          <w:color w:val="A6A6A6" w:themeColor="background1" w:themeShade="A6"/>
          <w:sz w:val="22"/>
          <w:szCs w:val="22"/>
          <w:lang w:val="en-IN"/>
        </w:rPr>
      </w:pPr>
      <w:r w:rsidRPr="0083155B">
        <w:rPr>
          <w:rFonts w:ascii="Arial" w:hAnsi="Arial" w:cs="Arial"/>
          <w:color w:val="A6A6A6" w:themeColor="background1" w:themeShade="A6"/>
          <w:sz w:val="22"/>
          <w:szCs w:val="22"/>
          <w:lang w:val="en-IN"/>
        </w:rPr>
        <w:t>(2) A transaction granting an insolvency creditor security or satisfaction without his entitlement to such a security or satisfaction (so-called incongruent coverage) can be contested. The suspect period is also three months, but there are no subjective requirements (mental elements). The only additional prerequisite is the cash flow insolvency (inability to pay debts) of the debtor and, if the payment has been made during the last month before (or after) the application for insolvency proceedings, even this is not necessary,</w:t>
      </w:r>
    </w:p>
    <w:p w14:paraId="2D9210CF" w14:textId="77777777" w:rsidR="0083155B" w:rsidRPr="0083155B" w:rsidRDefault="00347C29" w:rsidP="0083155B">
      <w:pPr>
        <w:pStyle w:val="ListParagraph"/>
        <w:ind w:left="0"/>
        <w:jc w:val="both"/>
        <w:rPr>
          <w:rFonts w:ascii="Arial" w:hAnsi="Arial" w:cs="Arial"/>
          <w:color w:val="A6A6A6" w:themeColor="background1" w:themeShade="A6"/>
          <w:sz w:val="22"/>
          <w:szCs w:val="22"/>
          <w:lang w:val="en-IN"/>
        </w:rPr>
      </w:pPr>
      <w:r w:rsidRPr="0083155B">
        <w:rPr>
          <w:rFonts w:ascii="Arial" w:hAnsi="Arial" w:cs="Arial"/>
          <w:color w:val="A6A6A6" w:themeColor="background1" w:themeShade="A6"/>
          <w:sz w:val="22"/>
          <w:szCs w:val="22"/>
          <w:lang w:val="en-IN"/>
        </w:rPr>
        <w:lastRenderedPageBreak/>
        <w:t>(3) Transactions that immediately disadvant</w:t>
      </w:r>
      <w:r w:rsidRPr="0083155B">
        <w:rPr>
          <w:rFonts w:ascii="Arial" w:hAnsi="Arial" w:cs="Arial"/>
          <w:color w:val="A6A6A6" w:themeColor="background1" w:themeShade="A6"/>
          <w:sz w:val="22"/>
          <w:szCs w:val="22"/>
          <w:lang w:val="en-IN"/>
        </w:rPr>
        <w:t xml:space="preserve">age insolvency creditors may be contested if the debtor was already illiquid and the creditor was aware of the illiquidity or of an application to open insolvency proceedings. </w:t>
      </w:r>
    </w:p>
    <w:p w14:paraId="579BAD3D" w14:textId="77777777" w:rsidR="0083155B" w:rsidRPr="0083155B" w:rsidRDefault="0083155B" w:rsidP="0083155B">
      <w:pPr>
        <w:pStyle w:val="ListParagraph"/>
        <w:ind w:left="0"/>
        <w:jc w:val="both"/>
        <w:rPr>
          <w:rFonts w:ascii="Arial" w:hAnsi="Arial" w:cs="Arial"/>
          <w:color w:val="A6A6A6" w:themeColor="background1" w:themeShade="A6"/>
          <w:sz w:val="22"/>
          <w:szCs w:val="22"/>
          <w:lang w:val="en-IN"/>
        </w:rPr>
      </w:pPr>
      <w:r w:rsidRPr="0083155B">
        <w:rPr>
          <w:rFonts w:ascii="Arial" w:hAnsi="Arial" w:cs="Arial"/>
          <w:color w:val="A6A6A6" w:themeColor="background1" w:themeShade="A6"/>
          <w:sz w:val="22"/>
          <w:szCs w:val="22"/>
          <w:lang w:val="en-IN"/>
        </w:rPr>
        <w:t>(4) A transaction made by the debtor in the last 10 years before the request to open insolvency proceedings may be contested if it was made with the intention to disadvantage creditors and if the other party was aware of the intentions of the debtor.</w:t>
      </w:r>
    </w:p>
    <w:p w14:paraId="0A51E769" w14:textId="77777777" w:rsidR="0083155B" w:rsidRPr="0083155B" w:rsidRDefault="0083155B" w:rsidP="0083155B">
      <w:pPr>
        <w:pStyle w:val="ListParagraph"/>
        <w:ind w:left="0"/>
        <w:jc w:val="both"/>
        <w:rPr>
          <w:rFonts w:ascii="Arial" w:hAnsi="Arial" w:cs="Arial"/>
          <w:color w:val="A6A6A6" w:themeColor="background1" w:themeShade="A6"/>
          <w:sz w:val="22"/>
          <w:szCs w:val="22"/>
          <w:lang w:val="en-IN"/>
        </w:rPr>
      </w:pPr>
    </w:p>
    <w:p w14:paraId="0327705A" w14:textId="77777777" w:rsidR="0083155B" w:rsidRPr="0083155B" w:rsidRDefault="0083155B" w:rsidP="0083155B">
      <w:pPr>
        <w:pStyle w:val="ListParagraph"/>
        <w:ind w:left="0"/>
        <w:jc w:val="both"/>
        <w:rPr>
          <w:rFonts w:ascii="Arial" w:hAnsi="Arial" w:cs="Arial"/>
          <w:color w:val="A6A6A6" w:themeColor="background1" w:themeShade="A6"/>
          <w:sz w:val="22"/>
          <w:szCs w:val="22"/>
          <w:lang w:val="en-IN"/>
        </w:rPr>
      </w:pPr>
      <w:r w:rsidRPr="0083155B">
        <w:rPr>
          <w:rFonts w:ascii="Arial" w:hAnsi="Arial" w:cs="Arial"/>
          <w:color w:val="A6A6A6" w:themeColor="background1" w:themeShade="A6"/>
          <w:sz w:val="22"/>
          <w:szCs w:val="22"/>
          <w:lang w:val="en-IN"/>
        </w:rPr>
        <w:t>(5) A transaction at an undervalue performed by the debtor may be contested if it was made within four years of the request to open insolvency proceedings.</w:t>
      </w:r>
    </w:p>
    <w:p w14:paraId="1B0DF1EE" w14:textId="77777777" w:rsidR="0083155B" w:rsidRPr="0083155B" w:rsidRDefault="0083155B" w:rsidP="0083155B">
      <w:pPr>
        <w:pStyle w:val="ListParagraph"/>
        <w:ind w:left="0"/>
        <w:jc w:val="both"/>
        <w:rPr>
          <w:rFonts w:ascii="Arial" w:hAnsi="Arial" w:cs="Arial"/>
          <w:color w:val="A6A6A6" w:themeColor="background1" w:themeShade="A6"/>
          <w:sz w:val="22"/>
          <w:szCs w:val="22"/>
          <w:lang w:val="en-IN"/>
        </w:rPr>
      </w:pPr>
    </w:p>
    <w:p w14:paraId="01070B03" w14:textId="77777777" w:rsidR="004A559B" w:rsidRPr="0083155B" w:rsidRDefault="0083155B" w:rsidP="0083155B">
      <w:pPr>
        <w:pStyle w:val="ListParagraph"/>
        <w:ind w:left="0"/>
        <w:jc w:val="both"/>
        <w:rPr>
          <w:rFonts w:ascii="Arial" w:hAnsi="Arial" w:cs="Arial"/>
          <w:color w:val="A6A6A6" w:themeColor="background1" w:themeShade="A6"/>
          <w:sz w:val="22"/>
          <w:szCs w:val="22"/>
          <w:lang w:val="en-IN"/>
        </w:rPr>
      </w:pPr>
      <w:r w:rsidRPr="0083155B">
        <w:rPr>
          <w:rFonts w:ascii="Arial" w:hAnsi="Arial" w:cs="Arial"/>
          <w:color w:val="A6A6A6" w:themeColor="background1" w:themeShade="A6"/>
          <w:sz w:val="22"/>
          <w:szCs w:val="22"/>
          <w:lang w:val="en-IN"/>
        </w:rPr>
        <w:t>(6) Payments and securities granted to shareholders can be clawed back under alleviated conditions. All payments which have been made during the last year-and all charges granted during the last 10 years prior to (or after) the application for insolvency proceedings are voidable. There are no further prerequisites especially no mental elements.</w:t>
      </w:r>
    </w:p>
    <w:p w14:paraId="086D40DB" w14:textId="1084D2A7" w:rsidR="00D05CA4" w:rsidRPr="00D05CA4" w:rsidRDefault="00D05CA4" w:rsidP="00D05CA4">
      <w:pPr>
        <w:pStyle w:val="ListParagraph"/>
        <w:ind w:left="0"/>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w:t>
      </w:r>
    </w:p>
    <w:p w14:paraId="00130585" w14:textId="529A5CA6" w:rsidR="00780E21" w:rsidRPr="009F4558" w:rsidRDefault="00780E21" w:rsidP="003E4613">
      <w:pPr>
        <w:jc w:val="both"/>
        <w:rPr>
          <w:rFonts w:ascii="Arial" w:hAnsi="Arial" w:cs="Arial"/>
          <w:color w:val="000000"/>
          <w:sz w:val="22"/>
          <w:szCs w:val="22"/>
        </w:rPr>
      </w:pPr>
    </w:p>
    <w:p w14:paraId="06E1270C" w14:textId="77777777" w:rsidR="00CC34BB" w:rsidRPr="00193129" w:rsidRDefault="00CC34BB" w:rsidP="003E4613">
      <w:pPr>
        <w:jc w:val="both"/>
        <w:rPr>
          <w:rFonts w:ascii="Arial" w:hAnsi="Arial" w:cs="Arial"/>
          <w:color w:val="000000"/>
          <w:sz w:val="22"/>
          <w:szCs w:val="22"/>
          <w:highlight w:val="cyan"/>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Preformatted"/>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Preformatted"/>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BD7A8AE" w14:textId="2A5C9FEB" w:rsidR="00CC572F" w:rsidRDefault="00CC572F" w:rsidP="00C34152">
      <w:pPr>
        <w:jc w:val="both"/>
        <w:rPr>
          <w:rFonts w:ascii="Arial" w:hAnsi="Arial" w:cs="Arial"/>
          <w:sz w:val="22"/>
          <w:szCs w:val="22"/>
          <w:lang w:val="en-GB"/>
        </w:rPr>
      </w:pPr>
    </w:p>
    <w:p w14:paraId="625DB55F" w14:textId="77777777" w:rsidR="00D05CA4" w:rsidRPr="00D05CA4" w:rsidRDefault="00D05CA4" w:rsidP="00D05CA4">
      <w:pPr>
        <w:pStyle w:val="ListParagraph"/>
        <w:ind w:left="0"/>
        <w:rPr>
          <w:rFonts w:ascii="Arial" w:hAnsi="Arial" w:cs="Arial"/>
          <w:color w:val="A6A6A6" w:themeColor="background1" w:themeShade="A6"/>
          <w:sz w:val="22"/>
          <w:szCs w:val="22"/>
          <w:lang w:val="en-GB"/>
        </w:rPr>
      </w:pPr>
      <w:bookmarkStart w:id="4" w:name="_Hlk17745211"/>
      <w:r w:rsidRPr="00D05CA4">
        <w:rPr>
          <w:rFonts w:ascii="Arial" w:hAnsi="Arial" w:cs="Arial"/>
          <w:color w:val="A6A6A6" w:themeColor="background1" w:themeShade="A6"/>
          <w:sz w:val="22"/>
          <w:szCs w:val="22"/>
          <w:lang w:val="en-GB"/>
        </w:rPr>
        <w:t>[Type your answer here]</w:t>
      </w:r>
    </w:p>
    <w:p w14:paraId="37102164" w14:textId="77777777" w:rsidR="00102CC9" w:rsidRPr="00636DD2" w:rsidRDefault="00102CC9" w:rsidP="00087F21">
      <w:pPr>
        <w:jc w:val="both"/>
        <w:rPr>
          <w:rFonts w:ascii="Arial" w:hAnsi="Arial" w:cs="Arial"/>
          <w:sz w:val="22"/>
          <w:szCs w:val="22"/>
          <w:highlight w:val="yellow"/>
          <w:lang w:val="en-GB"/>
        </w:rPr>
      </w:pPr>
    </w:p>
    <w:bookmarkEnd w:id="4"/>
    <w:p w14:paraId="29833350" w14:textId="337D681B"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0626489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A8F4" w14:textId="77777777" w:rsidR="00347C29" w:rsidRDefault="00347C29" w:rsidP="00241B44">
      <w:r>
        <w:separator/>
      </w:r>
    </w:p>
  </w:endnote>
  <w:endnote w:type="continuationSeparator" w:id="0">
    <w:p w14:paraId="73118C59" w14:textId="77777777" w:rsidR="00347C29" w:rsidRDefault="00347C2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22"/>
        <w:szCs w:val="22"/>
      </w:rPr>
      <w:id w:val="-1409602822"/>
      <w:docPartObj>
        <w:docPartGallery w:val="Page Numbers (Bottom of Page)"/>
        <w:docPartUnique/>
      </w:docPartObj>
    </w:sdtPr>
    <w:sdtEndPr>
      <w:rPr>
        <w:rStyle w:val="PageNumber"/>
        <w:b w:val="0"/>
        <w:bCs w:val="0"/>
      </w:rPr>
    </w:sdtEndPr>
    <w:sdtContent>
      <w:p w14:paraId="00AD0DDF" w14:textId="171FDEC8" w:rsidR="002124BE" w:rsidRPr="00902A28" w:rsidRDefault="002124BE" w:rsidP="00672963">
        <w:pPr>
          <w:pStyle w:val="Footer"/>
          <w:framePr w:wrap="none" w:vAnchor="text" w:hAnchor="margin" w:xAlign="right" w:y="1"/>
          <w:rPr>
            <w:rStyle w:val="PageNumber"/>
            <w:rFonts w:ascii="Arial" w:hAnsi="Arial" w:cs="Arial"/>
            <w:sz w:val="22"/>
            <w:szCs w:val="22"/>
          </w:rPr>
        </w:pPr>
        <w:r w:rsidRPr="00902A28">
          <w:rPr>
            <w:rStyle w:val="PageNumber"/>
            <w:rFonts w:ascii="Arial" w:hAnsi="Arial" w:cs="Arial"/>
            <w:b/>
            <w:bCs/>
            <w:sz w:val="22"/>
            <w:szCs w:val="22"/>
          </w:rPr>
          <w:t xml:space="preserve">Page </w:t>
        </w:r>
        <w:r w:rsidRPr="00902A28">
          <w:rPr>
            <w:rStyle w:val="PageNumber"/>
            <w:rFonts w:ascii="Arial" w:hAnsi="Arial" w:cs="Arial"/>
            <w:b/>
            <w:bCs/>
            <w:sz w:val="22"/>
            <w:szCs w:val="22"/>
          </w:rPr>
          <w:fldChar w:fldCharType="begin"/>
        </w:r>
        <w:r w:rsidRPr="00902A28">
          <w:rPr>
            <w:rStyle w:val="PageNumber"/>
            <w:rFonts w:ascii="Arial" w:hAnsi="Arial" w:cs="Arial"/>
            <w:b/>
            <w:bCs/>
            <w:sz w:val="22"/>
            <w:szCs w:val="22"/>
          </w:rPr>
          <w:instrText xml:space="preserve"> PAGE </w:instrText>
        </w:r>
        <w:r w:rsidRPr="00902A28">
          <w:rPr>
            <w:rStyle w:val="PageNumber"/>
            <w:rFonts w:ascii="Arial" w:hAnsi="Arial" w:cs="Arial"/>
            <w:b/>
            <w:bCs/>
            <w:sz w:val="22"/>
            <w:szCs w:val="22"/>
          </w:rPr>
          <w:fldChar w:fldCharType="separate"/>
        </w:r>
        <w:r w:rsidR="002C102B">
          <w:rPr>
            <w:rStyle w:val="PageNumber"/>
            <w:rFonts w:ascii="Arial" w:hAnsi="Arial" w:cs="Arial"/>
            <w:b/>
            <w:bCs/>
            <w:noProof/>
            <w:sz w:val="22"/>
            <w:szCs w:val="22"/>
          </w:rPr>
          <w:t>8</w:t>
        </w:r>
        <w:r w:rsidRPr="00902A28">
          <w:rPr>
            <w:rStyle w:val="PageNumber"/>
            <w:rFonts w:ascii="Arial" w:hAnsi="Arial" w:cs="Arial"/>
            <w:b/>
            <w:bCs/>
            <w:sz w:val="22"/>
            <w:szCs w:val="22"/>
          </w:rPr>
          <w:fldChar w:fldCharType="end"/>
        </w:r>
      </w:p>
    </w:sdtContent>
  </w:sdt>
  <w:p w14:paraId="5AC08553" w14:textId="2452CD07" w:rsidR="00BC2C6F" w:rsidRPr="00902A28" w:rsidRDefault="002C102B" w:rsidP="009B4976">
    <w:pPr>
      <w:pStyle w:val="Footer"/>
      <w:ind w:right="360"/>
      <w:rPr>
        <w:rFonts w:ascii="Arial" w:hAnsi="Arial" w:cs="Arial"/>
        <w:sz w:val="22"/>
        <w:szCs w:val="22"/>
        <w:lang w:val="en-GB"/>
      </w:rPr>
    </w:pPr>
    <w:r>
      <w:rPr>
        <w:rFonts w:ascii="Arial" w:hAnsi="Arial" w:cs="Arial"/>
        <w:sz w:val="22"/>
        <w:szCs w:val="22"/>
        <w:lang w:val="en-GB"/>
      </w:rPr>
      <w:t>202122-575</w:t>
    </w:r>
    <w:r w:rsidR="002124BE"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E0B12" w14:textId="77777777" w:rsidR="00347C29" w:rsidRDefault="00347C29" w:rsidP="00241B44">
      <w:r>
        <w:separator/>
      </w:r>
    </w:p>
  </w:footnote>
  <w:footnote w:type="continuationSeparator" w:id="0">
    <w:p w14:paraId="689E8F31" w14:textId="77777777" w:rsidR="00347C29" w:rsidRDefault="00347C29" w:rsidP="00241B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22F85"/>
    <w:multiLevelType w:val="multilevel"/>
    <w:tmpl w:val="729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8"/>
  </w:num>
  <w:num w:numId="4">
    <w:abstractNumId w:val="25"/>
  </w:num>
  <w:num w:numId="5">
    <w:abstractNumId w:val="19"/>
  </w:num>
  <w:num w:numId="6">
    <w:abstractNumId w:val="15"/>
  </w:num>
  <w:num w:numId="7">
    <w:abstractNumId w:val="4"/>
  </w:num>
  <w:num w:numId="8">
    <w:abstractNumId w:val="14"/>
  </w:num>
  <w:num w:numId="9">
    <w:abstractNumId w:val="13"/>
  </w:num>
  <w:num w:numId="10">
    <w:abstractNumId w:val="29"/>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1"/>
  </w:num>
  <w:num w:numId="18">
    <w:abstractNumId w:val="23"/>
  </w:num>
  <w:num w:numId="19">
    <w:abstractNumId w:val="32"/>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30"/>
  </w:num>
  <w:num w:numId="29">
    <w:abstractNumId w:val="27"/>
  </w:num>
  <w:num w:numId="30">
    <w:abstractNumId w:val="18"/>
  </w:num>
  <w:num w:numId="31">
    <w:abstractNumId w:val="26"/>
  </w:num>
  <w:num w:numId="32">
    <w:abstractNumId w:val="7"/>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46823"/>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2F4A"/>
    <w:rsid w:val="000A407B"/>
    <w:rsid w:val="000A68ED"/>
    <w:rsid w:val="000B20E5"/>
    <w:rsid w:val="000B5FF1"/>
    <w:rsid w:val="000B609F"/>
    <w:rsid w:val="000B6374"/>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5CCA"/>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6A27"/>
    <w:rsid w:val="002872AF"/>
    <w:rsid w:val="00287BE3"/>
    <w:rsid w:val="002903A7"/>
    <w:rsid w:val="00292C50"/>
    <w:rsid w:val="0029433F"/>
    <w:rsid w:val="00294829"/>
    <w:rsid w:val="0029575F"/>
    <w:rsid w:val="0029690F"/>
    <w:rsid w:val="00297C8A"/>
    <w:rsid w:val="002A032F"/>
    <w:rsid w:val="002A2A60"/>
    <w:rsid w:val="002A37BB"/>
    <w:rsid w:val="002A5915"/>
    <w:rsid w:val="002B1C45"/>
    <w:rsid w:val="002B40FB"/>
    <w:rsid w:val="002C102B"/>
    <w:rsid w:val="002C13C8"/>
    <w:rsid w:val="002C2624"/>
    <w:rsid w:val="002C3547"/>
    <w:rsid w:val="002C4A81"/>
    <w:rsid w:val="002C77A0"/>
    <w:rsid w:val="002D0021"/>
    <w:rsid w:val="002D1132"/>
    <w:rsid w:val="002D299D"/>
    <w:rsid w:val="002D3473"/>
    <w:rsid w:val="002E1A7C"/>
    <w:rsid w:val="002F16BD"/>
    <w:rsid w:val="002F1956"/>
    <w:rsid w:val="002F3440"/>
    <w:rsid w:val="002F75A3"/>
    <w:rsid w:val="00303B4F"/>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47C29"/>
    <w:rsid w:val="00355D93"/>
    <w:rsid w:val="00361A0A"/>
    <w:rsid w:val="003635EA"/>
    <w:rsid w:val="0036377B"/>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3F6DA2"/>
    <w:rsid w:val="00404329"/>
    <w:rsid w:val="00405DC1"/>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2F84"/>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5AC8"/>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AEA"/>
    <w:rsid w:val="005F2D0B"/>
    <w:rsid w:val="005F4512"/>
    <w:rsid w:val="005F4B31"/>
    <w:rsid w:val="005F75C3"/>
    <w:rsid w:val="006019E8"/>
    <w:rsid w:val="006022D7"/>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36DD2"/>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46D42"/>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1E9F"/>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3155B"/>
    <w:rsid w:val="008406FF"/>
    <w:rsid w:val="008443E0"/>
    <w:rsid w:val="0084766D"/>
    <w:rsid w:val="00851A1E"/>
    <w:rsid w:val="00853668"/>
    <w:rsid w:val="00861C2C"/>
    <w:rsid w:val="00867701"/>
    <w:rsid w:val="008723F3"/>
    <w:rsid w:val="00876F56"/>
    <w:rsid w:val="00881DE6"/>
    <w:rsid w:val="00881E90"/>
    <w:rsid w:val="008837A6"/>
    <w:rsid w:val="00884368"/>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3321"/>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121"/>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558"/>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5CA4"/>
    <w:rsid w:val="00D07F71"/>
    <w:rsid w:val="00D148DC"/>
    <w:rsid w:val="00D17384"/>
    <w:rsid w:val="00D17FDC"/>
    <w:rsid w:val="00D21D8C"/>
    <w:rsid w:val="00D40287"/>
    <w:rsid w:val="00D4049B"/>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349CE"/>
    <w:rsid w:val="00E407CE"/>
    <w:rsid w:val="00E43A56"/>
    <w:rsid w:val="00E4487E"/>
    <w:rsid w:val="00E44B9C"/>
    <w:rsid w:val="00E450A4"/>
    <w:rsid w:val="00E4595D"/>
    <w:rsid w:val="00E506BE"/>
    <w:rsid w:val="00E52B46"/>
    <w:rsid w:val="00E53223"/>
    <w:rsid w:val="00E55547"/>
    <w:rsid w:val="00E6302B"/>
    <w:rsid w:val="00E6452F"/>
    <w:rsid w:val="00E64F45"/>
    <w:rsid w:val="00E6742D"/>
    <w:rsid w:val="00E676A0"/>
    <w:rsid w:val="00E71CB0"/>
    <w:rsid w:val="00E7733D"/>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3508"/>
    <w:rsid w:val="00EB45AC"/>
    <w:rsid w:val="00EB7ED9"/>
    <w:rsid w:val="00EC441F"/>
    <w:rsid w:val="00EC4755"/>
    <w:rsid w:val="00EC62B8"/>
    <w:rsid w:val="00ED0482"/>
    <w:rsid w:val="00ED0BC4"/>
    <w:rsid w:val="00ED447D"/>
    <w:rsid w:val="00ED6613"/>
    <w:rsid w:val="00EE1BE4"/>
    <w:rsid w:val="00EE323F"/>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47A2"/>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30327184">
      <w:bodyDiv w:val="1"/>
      <w:marLeft w:val="0"/>
      <w:marRight w:val="0"/>
      <w:marTop w:val="0"/>
      <w:marBottom w:val="0"/>
      <w:divBdr>
        <w:top w:val="none" w:sz="0" w:space="0" w:color="auto"/>
        <w:left w:val="none" w:sz="0" w:space="0" w:color="auto"/>
        <w:bottom w:val="none" w:sz="0" w:space="0" w:color="auto"/>
        <w:right w:val="none" w:sz="0" w:space="0" w:color="auto"/>
      </w:divBdr>
    </w:div>
    <w:div w:id="1395735885">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7E4B8478-022B-48B5-A98E-912A72BC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8</Pages>
  <Words>2313</Words>
  <Characters>13185</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8</cp:revision>
  <cp:lastPrinted>2019-08-27T05:42:00Z</cp:lastPrinted>
  <dcterms:created xsi:type="dcterms:W3CDTF">2021-05-13T11:03:00Z</dcterms:created>
  <dcterms:modified xsi:type="dcterms:W3CDTF">2022-07-31T21:36:00Z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