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156303" w:rsidRDefault="002073B6" w:rsidP="00C76745">
      <w:pPr>
        <w:pStyle w:val="ListParagraph"/>
        <w:numPr>
          <w:ilvl w:val="0"/>
          <w:numId w:val="9"/>
        </w:numPr>
        <w:ind w:left="426" w:hanging="426"/>
        <w:jc w:val="both"/>
        <w:rPr>
          <w:rFonts w:ascii="Arial" w:hAnsi="Arial" w:cs="Arial"/>
          <w:sz w:val="22"/>
          <w:szCs w:val="22"/>
          <w:highlight w:val="yellow"/>
          <w:lang w:val="en-GB"/>
        </w:rPr>
      </w:pPr>
      <w:r w:rsidRPr="00156303">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156303" w:rsidRDefault="002073B6" w:rsidP="00C76745">
      <w:pPr>
        <w:pStyle w:val="ListParagraph"/>
        <w:numPr>
          <w:ilvl w:val="0"/>
          <w:numId w:val="11"/>
        </w:numPr>
        <w:ind w:left="426" w:hanging="426"/>
        <w:jc w:val="both"/>
        <w:rPr>
          <w:rFonts w:ascii="Arial" w:hAnsi="Arial" w:cs="Arial"/>
          <w:sz w:val="22"/>
          <w:szCs w:val="22"/>
          <w:highlight w:val="yellow"/>
          <w:lang w:val="en-GB"/>
        </w:rPr>
      </w:pPr>
      <w:r w:rsidRPr="00156303">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156303"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156303">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156303"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156303">
        <w:rPr>
          <w:rFonts w:ascii="Arial" w:hAnsi="Arial" w:cs="Arial"/>
          <w:bCs/>
          <w:sz w:val="22"/>
          <w:szCs w:val="22"/>
          <w:highlight w:val="yellow"/>
          <w:lang w:val="en-GB"/>
        </w:rPr>
        <w:t>True</w:t>
      </w:r>
      <w:r w:rsidR="002073B6" w:rsidRPr="00156303">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156303"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156303">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Pr="00156303" w:rsidRDefault="002073B6" w:rsidP="00C76745">
      <w:pPr>
        <w:pStyle w:val="ListParagraph"/>
        <w:numPr>
          <w:ilvl w:val="0"/>
          <w:numId w:val="18"/>
        </w:numPr>
        <w:ind w:left="426" w:hanging="426"/>
        <w:jc w:val="both"/>
        <w:rPr>
          <w:rFonts w:ascii="Arial" w:hAnsi="Arial" w:cs="Arial"/>
          <w:sz w:val="22"/>
          <w:szCs w:val="22"/>
          <w:highlight w:val="yellow"/>
          <w:lang w:val="en-GB"/>
        </w:rPr>
      </w:pPr>
      <w:r w:rsidRPr="00156303">
        <w:rPr>
          <w:rFonts w:ascii="Arial" w:hAnsi="Arial" w:cs="Arial"/>
          <w:sz w:val="22"/>
          <w:szCs w:val="22"/>
          <w:highlight w:val="yellow"/>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Default="002073B6" w:rsidP="00C76745">
      <w:pPr>
        <w:pStyle w:val="ListParagraph"/>
        <w:numPr>
          <w:ilvl w:val="0"/>
          <w:numId w:val="18"/>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156303"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156303">
        <w:rPr>
          <w:rFonts w:ascii="Arial" w:hAnsi="Arial" w:cs="Arial"/>
          <w:bCs/>
          <w:sz w:val="22"/>
          <w:szCs w:val="22"/>
          <w:highlight w:val="yellow"/>
          <w:lang w:val="en-GB"/>
        </w:rPr>
        <w:t xml:space="preserve">Interest on debts owed by the debtor stops accruing on the date of commencement of Preventive Composition. </w:t>
      </w:r>
      <w:r w:rsidRPr="00156303">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Default="002073B6" w:rsidP="00C76745">
      <w:pPr>
        <w:pStyle w:val="ListParagraph"/>
        <w:numPr>
          <w:ilvl w:val="0"/>
          <w:numId w:val="22"/>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Pr="00156303" w:rsidRDefault="002073B6" w:rsidP="00C76745">
      <w:pPr>
        <w:pStyle w:val="ListParagraph"/>
        <w:numPr>
          <w:ilvl w:val="0"/>
          <w:numId w:val="22"/>
        </w:numPr>
        <w:ind w:left="426" w:hanging="426"/>
        <w:jc w:val="both"/>
        <w:rPr>
          <w:rFonts w:ascii="Arial" w:hAnsi="Arial" w:cs="Arial"/>
          <w:sz w:val="22"/>
          <w:szCs w:val="22"/>
          <w:highlight w:val="yellow"/>
          <w:lang w:val="en-GB"/>
        </w:rPr>
      </w:pPr>
      <w:r w:rsidRPr="00156303">
        <w:rPr>
          <w:rFonts w:ascii="Arial" w:hAnsi="Arial" w:cs="Arial"/>
          <w:sz w:val="22"/>
          <w:szCs w:val="22"/>
          <w:highlight w:val="yellow"/>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156303"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156303">
        <w:rPr>
          <w:rFonts w:ascii="Arial" w:hAnsi="Arial" w:cs="Arial"/>
          <w:sz w:val="22"/>
          <w:szCs w:val="22"/>
          <w:highlight w:val="yellow"/>
        </w:rPr>
        <w:t>A</w:t>
      </w:r>
      <w:r w:rsidR="00F80E9B" w:rsidRPr="00156303">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156303">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156303"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156303">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521947B7" w:rsidR="00A334F9" w:rsidRDefault="00156303" w:rsidP="00F6552D">
      <w:pPr>
        <w:jc w:val="both"/>
        <w:rPr>
          <w:rFonts w:ascii="Arial" w:hAnsi="Arial" w:cs="Arial"/>
          <w:sz w:val="22"/>
          <w:szCs w:val="22"/>
          <w:lang w:val="en-GB"/>
        </w:rPr>
      </w:pPr>
      <w:r w:rsidRPr="00D71148">
        <w:rPr>
          <w:rFonts w:ascii="Arial" w:hAnsi="Arial" w:cs="Arial"/>
          <w:sz w:val="22"/>
          <w:szCs w:val="22"/>
          <w:lang w:val="en-GB"/>
        </w:rPr>
        <w:t xml:space="preserve">Each </w:t>
      </w:r>
      <w:r w:rsidR="00F6552D">
        <w:rPr>
          <w:rFonts w:ascii="Arial" w:hAnsi="Arial" w:cs="Arial"/>
          <w:sz w:val="22"/>
          <w:szCs w:val="22"/>
          <w:lang w:val="en-GB"/>
        </w:rPr>
        <w:t xml:space="preserve">of the seven </w:t>
      </w:r>
      <w:r w:rsidRPr="00D71148">
        <w:rPr>
          <w:rFonts w:ascii="Arial" w:hAnsi="Arial" w:cs="Arial"/>
          <w:sz w:val="22"/>
          <w:szCs w:val="22"/>
          <w:lang w:val="en-GB"/>
        </w:rPr>
        <w:t>Emirate</w:t>
      </w:r>
      <w:r w:rsidR="00F6552D">
        <w:rPr>
          <w:rFonts w:ascii="Arial" w:hAnsi="Arial" w:cs="Arial"/>
          <w:sz w:val="22"/>
          <w:szCs w:val="22"/>
          <w:lang w:val="en-GB"/>
        </w:rPr>
        <w:t>s</w:t>
      </w:r>
      <w:r w:rsidRPr="00D71148">
        <w:rPr>
          <w:rFonts w:ascii="Arial" w:hAnsi="Arial" w:cs="Arial"/>
          <w:sz w:val="22"/>
          <w:szCs w:val="22"/>
          <w:lang w:val="en-GB"/>
        </w:rPr>
        <w:t xml:space="preserve"> maintains its own land registration system and while the substance of the law</w:t>
      </w:r>
      <w:r w:rsidR="00F6552D">
        <w:rPr>
          <w:rFonts w:ascii="Arial" w:hAnsi="Arial" w:cs="Arial"/>
          <w:sz w:val="22"/>
          <w:szCs w:val="22"/>
          <w:lang w:val="en-GB"/>
        </w:rPr>
        <w:t xml:space="preserve"> </w:t>
      </w:r>
      <w:r w:rsidRPr="00D71148">
        <w:rPr>
          <w:rFonts w:ascii="Arial" w:hAnsi="Arial" w:cs="Arial"/>
          <w:sz w:val="22"/>
          <w:szCs w:val="22"/>
          <w:lang w:val="en-GB"/>
        </w:rPr>
        <w:t xml:space="preserve">is generally the </w:t>
      </w:r>
      <w:r w:rsidR="00392CBF">
        <w:rPr>
          <w:rFonts w:ascii="Arial" w:hAnsi="Arial" w:cs="Arial"/>
          <w:sz w:val="22"/>
          <w:szCs w:val="22"/>
          <w:lang w:val="en-GB"/>
        </w:rPr>
        <w:t>same, aspects such as registration and enforcement can be subject to slightly</w:t>
      </w:r>
      <w:r w:rsidR="00F6552D">
        <w:rPr>
          <w:rFonts w:ascii="Arial" w:hAnsi="Arial" w:cs="Arial"/>
          <w:sz w:val="22"/>
          <w:szCs w:val="22"/>
          <w:lang w:val="en-GB"/>
        </w:rPr>
        <w:t xml:space="preserve"> </w:t>
      </w:r>
      <w:r w:rsidR="00392CBF">
        <w:rPr>
          <w:rFonts w:ascii="Arial" w:hAnsi="Arial" w:cs="Arial"/>
          <w:sz w:val="22"/>
          <w:szCs w:val="22"/>
          <w:lang w:val="en-GB"/>
        </w:rPr>
        <w:t xml:space="preserve">different laws and procedures. </w:t>
      </w:r>
    </w:p>
    <w:p w14:paraId="5C11F5D7" w14:textId="381116B1" w:rsidR="00392CBF" w:rsidRDefault="00392CBF" w:rsidP="00C76745">
      <w:pPr>
        <w:ind w:left="720" w:hanging="720"/>
        <w:jc w:val="both"/>
        <w:rPr>
          <w:rFonts w:ascii="Arial" w:hAnsi="Arial" w:cs="Arial"/>
          <w:sz w:val="22"/>
          <w:szCs w:val="22"/>
          <w:lang w:val="en-GB"/>
        </w:rPr>
      </w:pPr>
    </w:p>
    <w:p w14:paraId="02A05920" w14:textId="2D0F13FB" w:rsidR="00392CBF" w:rsidRDefault="00392CBF" w:rsidP="00392CBF">
      <w:pPr>
        <w:jc w:val="both"/>
        <w:rPr>
          <w:rFonts w:ascii="Arial" w:hAnsi="Arial" w:cs="Arial"/>
          <w:sz w:val="22"/>
          <w:szCs w:val="22"/>
          <w:lang w:val="en-GB"/>
        </w:rPr>
      </w:pPr>
      <w:r>
        <w:rPr>
          <w:rFonts w:ascii="Arial" w:hAnsi="Arial" w:cs="Arial"/>
          <w:sz w:val="22"/>
          <w:szCs w:val="22"/>
          <w:lang w:val="en-GB"/>
        </w:rPr>
        <w:t xml:space="preserve">For mortgaged real property post default in the </w:t>
      </w:r>
      <w:r w:rsidR="00AD4013">
        <w:rPr>
          <w:rFonts w:ascii="Arial" w:hAnsi="Arial" w:cs="Arial"/>
          <w:sz w:val="22"/>
          <w:szCs w:val="22"/>
          <w:lang w:val="en-GB"/>
        </w:rPr>
        <w:t>FFZ</w:t>
      </w:r>
      <w:r>
        <w:rPr>
          <w:rFonts w:ascii="Arial" w:hAnsi="Arial" w:cs="Arial"/>
          <w:sz w:val="22"/>
          <w:szCs w:val="22"/>
          <w:lang w:val="en-GB"/>
        </w:rPr>
        <w:t xml:space="preserve"> the creditor holding the mortgage over the debtor property is at liberty to enter into possession by giving 60 days' notice to certain relevant parties, and without the need to first obtain an order of the court. The creditor can sell the whole or part of the land or receive rent in respect of the same. A mortgage creditor also has the option to seek an order for forfeiture </w:t>
      </w:r>
      <w:r w:rsidR="00AD4013">
        <w:rPr>
          <w:rFonts w:ascii="Arial" w:hAnsi="Arial" w:cs="Arial"/>
          <w:sz w:val="22"/>
          <w:szCs w:val="22"/>
          <w:lang w:val="en-GB"/>
        </w:rPr>
        <w:t>by application to</w:t>
      </w:r>
      <w:r>
        <w:rPr>
          <w:rFonts w:ascii="Arial" w:hAnsi="Arial" w:cs="Arial"/>
          <w:sz w:val="22"/>
          <w:szCs w:val="22"/>
          <w:lang w:val="en-GB"/>
        </w:rPr>
        <w:t xml:space="preserve"> the </w:t>
      </w:r>
      <w:r w:rsidR="00AD4013">
        <w:rPr>
          <w:rFonts w:ascii="Arial" w:hAnsi="Arial" w:cs="Arial"/>
          <w:sz w:val="22"/>
          <w:szCs w:val="22"/>
          <w:lang w:val="en-GB"/>
        </w:rPr>
        <w:t xml:space="preserve">DIFC. </w:t>
      </w:r>
    </w:p>
    <w:p w14:paraId="448B1FE2" w14:textId="2853073B" w:rsidR="00392CBF" w:rsidRDefault="00392CBF" w:rsidP="00C76745">
      <w:pPr>
        <w:ind w:left="720" w:hanging="720"/>
        <w:jc w:val="both"/>
        <w:rPr>
          <w:rFonts w:ascii="Arial" w:hAnsi="Arial" w:cs="Arial"/>
          <w:sz w:val="22"/>
          <w:szCs w:val="22"/>
          <w:lang w:val="en-GB"/>
        </w:rPr>
      </w:pPr>
    </w:p>
    <w:p w14:paraId="14492C04" w14:textId="7ECFF82E" w:rsidR="00392CBF" w:rsidRPr="00D71148" w:rsidRDefault="00392CBF" w:rsidP="00392CBF">
      <w:pPr>
        <w:jc w:val="both"/>
        <w:rPr>
          <w:rFonts w:ascii="Arial" w:hAnsi="Arial" w:cs="Arial"/>
          <w:sz w:val="22"/>
          <w:szCs w:val="22"/>
          <w:lang w:val="en-GB"/>
        </w:rPr>
      </w:pPr>
      <w:r>
        <w:rPr>
          <w:rFonts w:ascii="Arial" w:hAnsi="Arial" w:cs="Arial"/>
          <w:sz w:val="22"/>
          <w:szCs w:val="22"/>
          <w:lang w:val="en-GB"/>
        </w:rPr>
        <w:t xml:space="preserve">By contrast, in 'mainland' UAE, the law provides for the sale of a mortgaged property by the mortgagee in the event of a debtor default, however this is subject to going through the court process. The general understanding is that a mortgagee need not first obtain judgement for the outstanding debt before proceeding with a sale. Once the order for sale is obtained, the court's execution department will undertake the process to sell the mortgaged property.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2922F059" w:rsidR="00651151" w:rsidRPr="006A0BFC" w:rsidRDefault="00651151" w:rsidP="00C76745">
      <w:pPr>
        <w:pStyle w:val="ListParagraph"/>
        <w:numPr>
          <w:ilvl w:val="0"/>
          <w:numId w:val="30"/>
        </w:numPr>
        <w:ind w:left="426" w:hanging="426"/>
        <w:jc w:val="both"/>
        <w:rPr>
          <w:rFonts w:ascii="Arial" w:hAnsi="Arial" w:cs="Arial"/>
          <w:b/>
          <w:bCs/>
          <w:sz w:val="22"/>
          <w:szCs w:val="22"/>
          <w:lang w:val="en-GB"/>
        </w:rPr>
      </w:pPr>
      <w:r w:rsidRPr="006A0BFC">
        <w:rPr>
          <w:rFonts w:ascii="Arial" w:hAnsi="Arial" w:cs="Arial"/>
          <w:b/>
          <w:bCs/>
          <w:sz w:val="22"/>
          <w:szCs w:val="22"/>
          <w:lang w:val="en-GB"/>
        </w:rPr>
        <w:t>A decision on any application to commence an insolvency process;</w:t>
      </w:r>
    </w:p>
    <w:p w14:paraId="3C6B414D" w14:textId="03F10EAB" w:rsidR="00AD4013" w:rsidRPr="006A0BFC" w:rsidRDefault="00AD4013" w:rsidP="006A0BFC">
      <w:pPr>
        <w:jc w:val="both"/>
        <w:rPr>
          <w:rFonts w:ascii="Arial" w:hAnsi="Arial" w:cs="Arial"/>
          <w:sz w:val="22"/>
          <w:szCs w:val="22"/>
          <w:lang w:val="en-GB"/>
        </w:rPr>
      </w:pPr>
      <w:r w:rsidRPr="006A0BFC">
        <w:rPr>
          <w:rFonts w:ascii="Arial" w:hAnsi="Arial" w:cs="Arial"/>
          <w:sz w:val="22"/>
          <w:szCs w:val="22"/>
          <w:lang w:val="en-GB"/>
        </w:rPr>
        <w:lastRenderedPageBreak/>
        <w:t xml:space="preserve">An application for Preventive Composition can be applied for by the debtor. </w:t>
      </w:r>
    </w:p>
    <w:p w14:paraId="50971D08" w14:textId="77777777" w:rsidR="006A0BFC" w:rsidRDefault="006A0BFC" w:rsidP="006A0BFC">
      <w:pPr>
        <w:jc w:val="both"/>
        <w:rPr>
          <w:rFonts w:ascii="Arial" w:hAnsi="Arial" w:cs="Arial"/>
          <w:sz w:val="22"/>
          <w:szCs w:val="22"/>
          <w:lang w:val="en-GB"/>
        </w:rPr>
      </w:pPr>
    </w:p>
    <w:p w14:paraId="1C1C5BE5" w14:textId="69AA9806" w:rsidR="006A0BFC" w:rsidRPr="006A0BFC" w:rsidRDefault="006A0BFC" w:rsidP="006A0BFC">
      <w:pPr>
        <w:jc w:val="both"/>
        <w:rPr>
          <w:rFonts w:ascii="Arial" w:hAnsi="Arial" w:cs="Arial"/>
          <w:sz w:val="22"/>
          <w:szCs w:val="22"/>
          <w:lang w:val="en-GB"/>
        </w:rPr>
      </w:pPr>
      <w:r w:rsidRPr="006A0BFC">
        <w:rPr>
          <w:rFonts w:ascii="Arial" w:hAnsi="Arial" w:cs="Arial"/>
          <w:sz w:val="22"/>
          <w:szCs w:val="22"/>
          <w:lang w:val="en-GB"/>
        </w:rPr>
        <w:t xml:space="preserve">For Restructuring initiating the process is the prerogative of either the debtor or the creditor. </w:t>
      </w:r>
    </w:p>
    <w:p w14:paraId="6F4D3B3D" w14:textId="77777777" w:rsidR="006F58B3" w:rsidRPr="006F58B3" w:rsidRDefault="006F58B3" w:rsidP="00C76745">
      <w:pPr>
        <w:jc w:val="both"/>
        <w:rPr>
          <w:rFonts w:ascii="Arial" w:hAnsi="Arial" w:cs="Arial"/>
          <w:sz w:val="22"/>
          <w:szCs w:val="22"/>
          <w:lang w:val="en-GB"/>
        </w:rPr>
      </w:pPr>
    </w:p>
    <w:p w14:paraId="07C7D272" w14:textId="2E92626E" w:rsidR="00651151" w:rsidRPr="006A0BFC" w:rsidRDefault="00651151" w:rsidP="00C76745">
      <w:pPr>
        <w:pStyle w:val="ListParagraph"/>
        <w:numPr>
          <w:ilvl w:val="0"/>
          <w:numId w:val="30"/>
        </w:numPr>
        <w:ind w:left="426" w:hanging="426"/>
        <w:jc w:val="both"/>
        <w:rPr>
          <w:rFonts w:ascii="Arial" w:hAnsi="Arial" w:cs="Arial"/>
          <w:b/>
          <w:bCs/>
          <w:sz w:val="22"/>
          <w:szCs w:val="22"/>
          <w:lang w:val="en-GB"/>
        </w:rPr>
      </w:pPr>
      <w:r w:rsidRPr="006A0BFC">
        <w:rPr>
          <w:rFonts w:ascii="Arial" w:hAnsi="Arial" w:cs="Arial"/>
          <w:b/>
          <w:bCs/>
          <w:sz w:val="22"/>
          <w:szCs w:val="22"/>
          <w:lang w:val="en-GB"/>
        </w:rPr>
        <w:t xml:space="preserve">A primary determination as to whether a debtor’s proposal should be adopted; </w:t>
      </w:r>
    </w:p>
    <w:p w14:paraId="2FC9ACBE" w14:textId="1B975B35" w:rsidR="006A0BFC" w:rsidRDefault="006A0BFC" w:rsidP="006A0BFC">
      <w:pPr>
        <w:jc w:val="both"/>
        <w:rPr>
          <w:rFonts w:ascii="Arial" w:hAnsi="Arial" w:cs="Arial"/>
          <w:sz w:val="22"/>
          <w:szCs w:val="22"/>
          <w:lang w:val="en-GB"/>
        </w:rPr>
      </w:pPr>
    </w:p>
    <w:p w14:paraId="1892B8D4" w14:textId="02091D5A" w:rsidR="006A0BFC" w:rsidRPr="006A0BFC" w:rsidRDefault="006A0BFC" w:rsidP="006A0BFC">
      <w:pPr>
        <w:jc w:val="both"/>
        <w:rPr>
          <w:rFonts w:ascii="Arial" w:hAnsi="Arial" w:cs="Arial"/>
          <w:sz w:val="22"/>
          <w:szCs w:val="22"/>
          <w:lang w:val="en-GB"/>
        </w:rPr>
      </w:pPr>
      <w:r>
        <w:rPr>
          <w:rFonts w:ascii="Arial" w:hAnsi="Arial" w:cs="Arial"/>
          <w:sz w:val="22"/>
          <w:szCs w:val="22"/>
          <w:lang w:val="en-GB"/>
        </w:rPr>
        <w:t xml:space="preserve">The </w:t>
      </w:r>
      <w:r w:rsidR="0047527E">
        <w:rPr>
          <w:rFonts w:ascii="Arial" w:hAnsi="Arial" w:cs="Arial"/>
          <w:sz w:val="22"/>
          <w:szCs w:val="22"/>
          <w:lang w:val="en-GB"/>
        </w:rPr>
        <w:t>creditors.</w:t>
      </w:r>
      <w:r>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6904BD08" w:rsidR="00651151" w:rsidRPr="0047527E" w:rsidRDefault="00651151" w:rsidP="00C76745">
      <w:pPr>
        <w:pStyle w:val="ListParagraph"/>
        <w:widowControl w:val="0"/>
        <w:numPr>
          <w:ilvl w:val="0"/>
          <w:numId w:val="30"/>
        </w:numPr>
        <w:autoSpaceDE w:val="0"/>
        <w:autoSpaceDN w:val="0"/>
        <w:adjustRightInd w:val="0"/>
        <w:ind w:left="426" w:hanging="426"/>
        <w:jc w:val="both"/>
        <w:rPr>
          <w:rFonts w:ascii="Arial" w:hAnsi="Arial" w:cs="Arial"/>
          <w:b/>
          <w:bCs/>
          <w:iCs/>
          <w:sz w:val="22"/>
          <w:szCs w:val="22"/>
        </w:rPr>
      </w:pPr>
      <w:r w:rsidRPr="0047527E">
        <w:rPr>
          <w:rFonts w:ascii="Arial" w:hAnsi="Arial" w:cs="Arial"/>
          <w:b/>
          <w:bCs/>
          <w:sz w:val="22"/>
          <w:szCs w:val="22"/>
          <w:lang w:val="en-GB"/>
        </w:rPr>
        <w:t>Confirmation of the primary determination as to whether a debtor’s proposal should be adopted;</w:t>
      </w:r>
    </w:p>
    <w:p w14:paraId="75D4D390" w14:textId="1AFA338E" w:rsidR="0047527E" w:rsidRDefault="0047527E" w:rsidP="0047527E">
      <w:pPr>
        <w:widowControl w:val="0"/>
        <w:autoSpaceDE w:val="0"/>
        <w:autoSpaceDN w:val="0"/>
        <w:adjustRightInd w:val="0"/>
        <w:jc w:val="both"/>
        <w:rPr>
          <w:rFonts w:ascii="Arial" w:hAnsi="Arial" w:cs="Arial"/>
          <w:b/>
          <w:bCs/>
          <w:iCs/>
          <w:sz w:val="22"/>
          <w:szCs w:val="22"/>
        </w:rPr>
      </w:pPr>
    </w:p>
    <w:p w14:paraId="0B9885A9" w14:textId="74A8350F" w:rsidR="0047527E" w:rsidRPr="0047527E" w:rsidRDefault="0047527E" w:rsidP="0047527E">
      <w:pPr>
        <w:widowControl w:val="0"/>
        <w:autoSpaceDE w:val="0"/>
        <w:autoSpaceDN w:val="0"/>
        <w:adjustRightInd w:val="0"/>
        <w:jc w:val="both"/>
        <w:rPr>
          <w:rFonts w:ascii="Arial" w:hAnsi="Arial" w:cs="Arial"/>
          <w:iCs/>
          <w:sz w:val="22"/>
          <w:szCs w:val="22"/>
        </w:rPr>
      </w:pPr>
      <w:r w:rsidRPr="0047527E">
        <w:rPr>
          <w:rFonts w:ascii="Arial" w:hAnsi="Arial" w:cs="Arial"/>
          <w:iCs/>
          <w:sz w:val="22"/>
          <w:szCs w:val="22"/>
        </w:rPr>
        <w:t>Th</w:t>
      </w:r>
      <w:r>
        <w:rPr>
          <w:rFonts w:ascii="Arial" w:hAnsi="Arial" w:cs="Arial"/>
          <w:iCs/>
          <w:sz w:val="22"/>
          <w:szCs w:val="22"/>
        </w:rPr>
        <w:t>e</w:t>
      </w:r>
      <w:r w:rsidRPr="0047527E">
        <w:rPr>
          <w:rFonts w:ascii="Arial" w:hAnsi="Arial" w:cs="Arial"/>
          <w:iCs/>
          <w:sz w:val="22"/>
          <w:szCs w:val="22"/>
        </w:rPr>
        <w:t xml:space="preserve"> court</w:t>
      </w:r>
      <w:r>
        <w:rPr>
          <w:rFonts w:ascii="Arial" w:hAnsi="Arial" w:cs="Arial"/>
          <w:iCs/>
          <w:sz w:val="22"/>
          <w:szCs w:val="22"/>
        </w:rPr>
        <w:t>.</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47527E" w:rsidRDefault="00651151" w:rsidP="00C76745">
      <w:pPr>
        <w:pStyle w:val="ListParagraph"/>
        <w:widowControl w:val="0"/>
        <w:numPr>
          <w:ilvl w:val="0"/>
          <w:numId w:val="30"/>
        </w:numPr>
        <w:autoSpaceDE w:val="0"/>
        <w:autoSpaceDN w:val="0"/>
        <w:adjustRightInd w:val="0"/>
        <w:ind w:left="426" w:hanging="426"/>
        <w:jc w:val="both"/>
        <w:rPr>
          <w:rFonts w:ascii="Arial" w:hAnsi="Arial" w:cs="Arial"/>
          <w:b/>
          <w:bCs/>
          <w:iCs/>
          <w:sz w:val="22"/>
          <w:szCs w:val="22"/>
        </w:rPr>
      </w:pPr>
      <w:r w:rsidRPr="0047527E">
        <w:rPr>
          <w:rFonts w:ascii="Arial" w:hAnsi="Arial" w:cs="Arial"/>
          <w:b/>
          <w:bCs/>
          <w:sz w:val="22"/>
          <w:szCs w:val="22"/>
          <w:lang w:val="en-GB"/>
        </w:rPr>
        <w:t>For supervising the implementation of the insolvency process by the debtor.</w:t>
      </w:r>
    </w:p>
    <w:p w14:paraId="00DEC394" w14:textId="77777777" w:rsidR="0047527E" w:rsidRDefault="0047527E" w:rsidP="00C76745">
      <w:pPr>
        <w:ind w:left="720" w:hanging="720"/>
        <w:jc w:val="both"/>
        <w:rPr>
          <w:rFonts w:ascii="Arial" w:hAnsi="Arial" w:cs="Arial"/>
          <w:sz w:val="22"/>
          <w:szCs w:val="22"/>
        </w:rPr>
      </w:pPr>
    </w:p>
    <w:p w14:paraId="63350B14" w14:textId="5C42A16E" w:rsidR="00651151" w:rsidRPr="00CA448F" w:rsidRDefault="0047527E" w:rsidP="00C76745">
      <w:pPr>
        <w:ind w:left="720" w:hanging="720"/>
        <w:jc w:val="both"/>
        <w:rPr>
          <w:rFonts w:ascii="Arial" w:hAnsi="Arial" w:cs="Arial"/>
          <w:color w:val="808080" w:themeColor="background1" w:themeShade="80"/>
          <w:sz w:val="22"/>
          <w:szCs w:val="22"/>
        </w:rPr>
      </w:pPr>
      <w:r>
        <w:rPr>
          <w:rFonts w:ascii="Arial" w:hAnsi="Arial" w:cs="Arial"/>
          <w:sz w:val="22"/>
          <w:szCs w:val="22"/>
        </w:rPr>
        <w:t xml:space="preserve">The trustee is responsible for the supervision of the implementation. </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B54067" w:rsidRDefault="00651151" w:rsidP="00C76745">
      <w:pPr>
        <w:jc w:val="both"/>
        <w:rPr>
          <w:rFonts w:ascii="Arial" w:hAnsi="Arial" w:cs="Arial"/>
          <w:sz w:val="22"/>
          <w:szCs w:val="22"/>
          <w:lang w:val="en-GB"/>
        </w:rPr>
      </w:pPr>
    </w:p>
    <w:p w14:paraId="015F7341" w14:textId="44060633" w:rsidR="00314C8D" w:rsidRDefault="00314C8D" w:rsidP="00C76745">
      <w:pPr>
        <w:jc w:val="both"/>
        <w:rPr>
          <w:rFonts w:ascii="Arial" w:hAnsi="Arial" w:cs="Arial"/>
          <w:sz w:val="22"/>
          <w:szCs w:val="22"/>
          <w:lang w:val="en-GB"/>
        </w:rPr>
      </w:pPr>
      <w:r w:rsidRPr="00B54067">
        <w:rPr>
          <w:rFonts w:ascii="Arial" w:hAnsi="Arial" w:cs="Arial"/>
          <w:sz w:val="22"/>
          <w:szCs w:val="22"/>
          <w:lang w:val="en-GB"/>
        </w:rPr>
        <w:t xml:space="preserve">A debtor can only apply for a restructuring </w:t>
      </w:r>
      <w:r w:rsidR="00B54067" w:rsidRPr="00B54067">
        <w:rPr>
          <w:rFonts w:ascii="Arial" w:hAnsi="Arial" w:cs="Arial"/>
          <w:sz w:val="22"/>
          <w:szCs w:val="22"/>
          <w:lang w:val="en-GB"/>
        </w:rPr>
        <w:t xml:space="preserve">(and is required to initiate bankruptcy proceedings) </w:t>
      </w:r>
      <w:r w:rsidRPr="00B54067">
        <w:rPr>
          <w:rFonts w:ascii="Arial" w:hAnsi="Arial" w:cs="Arial"/>
          <w:sz w:val="22"/>
          <w:szCs w:val="22"/>
          <w:lang w:val="en-GB"/>
        </w:rPr>
        <w:t xml:space="preserve">where it has failed to pay its debts for a period of 30 </w:t>
      </w:r>
      <w:r w:rsidR="00B54067" w:rsidRPr="00B54067">
        <w:rPr>
          <w:rFonts w:ascii="Arial" w:hAnsi="Arial" w:cs="Arial"/>
          <w:sz w:val="22"/>
          <w:szCs w:val="22"/>
          <w:lang w:val="en-GB"/>
        </w:rPr>
        <w:t xml:space="preserve">consecutive business </w:t>
      </w:r>
      <w:r w:rsidRPr="00B54067">
        <w:rPr>
          <w:rFonts w:ascii="Arial" w:hAnsi="Arial" w:cs="Arial"/>
          <w:sz w:val="22"/>
          <w:szCs w:val="22"/>
          <w:lang w:val="en-GB"/>
        </w:rPr>
        <w:t xml:space="preserve">days. </w:t>
      </w:r>
    </w:p>
    <w:p w14:paraId="36289AAF" w14:textId="4EC30257" w:rsidR="00B54067" w:rsidRDefault="00B54067" w:rsidP="00C76745">
      <w:pPr>
        <w:jc w:val="both"/>
        <w:rPr>
          <w:rFonts w:ascii="Arial" w:hAnsi="Arial" w:cs="Arial"/>
          <w:sz w:val="22"/>
          <w:szCs w:val="22"/>
          <w:lang w:val="en-GB"/>
        </w:rPr>
      </w:pPr>
    </w:p>
    <w:p w14:paraId="2A3DAA7C" w14:textId="4F36EA9C" w:rsidR="00B54067" w:rsidRPr="00B54067" w:rsidRDefault="00B54067" w:rsidP="00C76745">
      <w:pPr>
        <w:jc w:val="both"/>
        <w:rPr>
          <w:rFonts w:ascii="Arial" w:hAnsi="Arial" w:cs="Arial"/>
          <w:sz w:val="22"/>
          <w:szCs w:val="22"/>
          <w:lang w:val="en-GB"/>
        </w:rPr>
      </w:pPr>
      <w:r>
        <w:rPr>
          <w:rFonts w:ascii="Arial" w:hAnsi="Arial" w:cs="Arial"/>
          <w:sz w:val="22"/>
          <w:szCs w:val="22"/>
          <w:lang w:val="en-GB"/>
        </w:rPr>
        <w:t xml:space="preserve">A preventive composition application may be made prior to the point in which the debtor has been over 30 days delinquent </w:t>
      </w:r>
    </w:p>
    <w:p w14:paraId="1E90CAA5" w14:textId="77777777" w:rsidR="00314C8D" w:rsidRDefault="00314C8D"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7EB07D9C" w:rsidR="00B52047" w:rsidRDefault="00B54067" w:rsidP="00C76745">
      <w:pPr>
        <w:jc w:val="both"/>
        <w:rPr>
          <w:rFonts w:ascii="Arial" w:hAnsi="Arial" w:cs="Arial"/>
          <w:sz w:val="22"/>
          <w:szCs w:val="22"/>
          <w:lang w:val="en-GB"/>
        </w:rPr>
      </w:pPr>
      <w:r w:rsidRPr="00B54067">
        <w:rPr>
          <w:rFonts w:ascii="Arial" w:hAnsi="Arial" w:cs="Arial"/>
          <w:sz w:val="22"/>
          <w:szCs w:val="22"/>
          <w:lang w:val="en-GB"/>
        </w:rPr>
        <w:t xml:space="preserve">The creditor can initiate </w:t>
      </w:r>
      <w:r>
        <w:rPr>
          <w:rFonts w:ascii="Arial" w:hAnsi="Arial" w:cs="Arial"/>
          <w:sz w:val="22"/>
          <w:szCs w:val="22"/>
          <w:lang w:val="en-GB"/>
        </w:rPr>
        <w:t>B</w:t>
      </w:r>
      <w:r w:rsidRPr="00B54067">
        <w:rPr>
          <w:rFonts w:ascii="Arial" w:hAnsi="Arial" w:cs="Arial"/>
          <w:sz w:val="22"/>
          <w:szCs w:val="22"/>
          <w:lang w:val="en-GB"/>
        </w:rPr>
        <w:t>ankruptcy</w:t>
      </w:r>
      <w:r>
        <w:rPr>
          <w:rFonts w:ascii="Arial" w:hAnsi="Arial" w:cs="Arial"/>
          <w:sz w:val="22"/>
          <w:szCs w:val="22"/>
          <w:lang w:val="en-GB"/>
        </w:rPr>
        <w:t xml:space="preserve"> (restructuring or liquidation)</w:t>
      </w:r>
      <w:r w:rsidR="00FD044F">
        <w:rPr>
          <w:rFonts w:ascii="Arial" w:hAnsi="Arial" w:cs="Arial"/>
          <w:sz w:val="22"/>
          <w:szCs w:val="22"/>
          <w:lang w:val="en-GB"/>
        </w:rPr>
        <w:t xml:space="preserve"> (subject to Federal Decree Law 21 of 2020 in connection with relief afforded to debtors due to COVID-19)</w:t>
      </w:r>
      <w:r w:rsidRPr="00B54067">
        <w:rPr>
          <w:rFonts w:ascii="Arial" w:hAnsi="Arial" w:cs="Arial"/>
          <w:sz w:val="22"/>
          <w:szCs w:val="22"/>
          <w:lang w:val="en-GB"/>
        </w:rPr>
        <w:t xml:space="preserve">, whereas preventive composition is the preserve of the debtor alone. This can take place where the creditor (or group of creditors) is owed more than AED100,000 and have given notice requiring the debtor to make good on the debt and the debtor has failed to comply with this notice within 30 business days. </w:t>
      </w:r>
    </w:p>
    <w:p w14:paraId="5ED1DCEF" w14:textId="34159CE2" w:rsidR="00B54067" w:rsidRDefault="00B54067" w:rsidP="00C76745">
      <w:pPr>
        <w:jc w:val="both"/>
        <w:rPr>
          <w:rFonts w:ascii="Arial" w:hAnsi="Arial" w:cs="Arial"/>
          <w:sz w:val="22"/>
          <w:szCs w:val="22"/>
          <w:lang w:val="en-GB"/>
        </w:rPr>
      </w:pPr>
    </w:p>
    <w:p w14:paraId="3C305EB2" w14:textId="340BE429" w:rsidR="00B54067" w:rsidRPr="00B54067" w:rsidRDefault="00B54067" w:rsidP="00C76745">
      <w:pPr>
        <w:jc w:val="both"/>
        <w:rPr>
          <w:rFonts w:ascii="Arial" w:hAnsi="Arial" w:cs="Arial"/>
          <w:sz w:val="22"/>
          <w:szCs w:val="22"/>
          <w:lang w:val="en-GB"/>
        </w:rPr>
      </w:pPr>
      <w:r>
        <w:rPr>
          <w:rFonts w:ascii="Arial" w:hAnsi="Arial" w:cs="Arial"/>
          <w:sz w:val="22"/>
          <w:szCs w:val="22"/>
          <w:lang w:val="en-GB"/>
        </w:rPr>
        <w:t xml:space="preserve">In a preventive composition the creditor's role in the commencement of this process is largely passive. </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6F478008" w14:textId="31F89B64" w:rsidR="005F37CA" w:rsidRPr="00D75927" w:rsidRDefault="005F37CA" w:rsidP="00C76745">
      <w:pPr>
        <w:jc w:val="both"/>
        <w:rPr>
          <w:rFonts w:ascii="Arial" w:hAnsi="Arial" w:cs="Arial"/>
          <w:sz w:val="22"/>
          <w:szCs w:val="22"/>
          <w:lang w:val="en-GB"/>
        </w:rPr>
      </w:pPr>
      <w:r w:rsidRPr="00D75927">
        <w:rPr>
          <w:rFonts w:ascii="Arial" w:hAnsi="Arial" w:cs="Arial"/>
          <w:sz w:val="22"/>
          <w:szCs w:val="22"/>
        </w:rPr>
        <w:lastRenderedPageBreak/>
        <w:t xml:space="preserve">The Bankruptcy Law is a relatively recent development. Prior to 2016 in the UAE mainland </w:t>
      </w:r>
      <w:r w:rsidR="00496138" w:rsidRPr="00D75927">
        <w:rPr>
          <w:rFonts w:ascii="Arial" w:hAnsi="Arial" w:cs="Arial"/>
          <w:sz w:val="22"/>
          <w:szCs w:val="22"/>
        </w:rPr>
        <w:t xml:space="preserve">the </w:t>
      </w:r>
      <w:r w:rsidRPr="00D75927">
        <w:rPr>
          <w:rFonts w:ascii="Arial" w:hAnsi="Arial" w:cs="Arial"/>
          <w:sz w:val="22"/>
          <w:szCs w:val="22"/>
        </w:rPr>
        <w:t>bankruptcy law and insolvency processes were embryonic. There was legislation pertaining to some elements of bankruptcy (Law No.18 of 1993) which related to commercial transactions governing a bankruptcy by traders and some basis procedures for insolvency of those engaged in business. This process, which was court based, was seldom utilise</w:t>
      </w:r>
      <w:r w:rsidRPr="00D75927">
        <w:rPr>
          <w:rFonts w:ascii="Arial" w:hAnsi="Arial" w:cs="Arial"/>
          <w:sz w:val="22"/>
          <w:szCs w:val="22"/>
          <w:lang w:val="en-GB"/>
        </w:rPr>
        <w:t xml:space="preserve">d. </w:t>
      </w:r>
    </w:p>
    <w:p w14:paraId="33E4E58B" w14:textId="77777777" w:rsidR="005F37CA" w:rsidRPr="00D75927" w:rsidRDefault="005F37CA" w:rsidP="00C76745">
      <w:pPr>
        <w:jc w:val="both"/>
        <w:rPr>
          <w:rFonts w:ascii="Arial" w:hAnsi="Arial" w:cs="Arial"/>
          <w:sz w:val="22"/>
          <w:szCs w:val="22"/>
          <w:lang w:val="en-GB"/>
        </w:rPr>
      </w:pPr>
    </w:p>
    <w:p w14:paraId="0CA09841" w14:textId="31F31BD0" w:rsidR="001A45DB" w:rsidRPr="00D75927" w:rsidRDefault="005F37CA" w:rsidP="00C76745">
      <w:pPr>
        <w:jc w:val="both"/>
        <w:rPr>
          <w:rFonts w:ascii="Arial" w:hAnsi="Arial" w:cs="Arial"/>
          <w:sz w:val="22"/>
          <w:szCs w:val="22"/>
        </w:rPr>
      </w:pPr>
      <w:r w:rsidRPr="00D75927">
        <w:rPr>
          <w:rFonts w:ascii="Arial" w:hAnsi="Arial" w:cs="Arial"/>
          <w:sz w:val="22"/>
          <w:szCs w:val="22"/>
          <w:lang w:val="en-GB"/>
        </w:rPr>
        <w:t>The lack of an insolvency infrastructure in the UAE was raised when Dubai World, an investment arm of the Dubai Government faced the prospect of defaulting on its obligations in 2009. This would have constituted one of if not the largest government default since 2001. Naturally, this created a considerable degree of international attention and concern.</w:t>
      </w:r>
      <w:r w:rsidR="002F1671" w:rsidRPr="00D75927">
        <w:rPr>
          <w:rFonts w:ascii="Arial" w:hAnsi="Arial" w:cs="Arial"/>
          <w:sz w:val="22"/>
          <w:szCs w:val="22"/>
          <w:lang w:val="en-GB"/>
        </w:rPr>
        <w:t xml:space="preserve"> The case of Dubai World served as a cautionary tale and although Dubai World was able to address its issues with its creditors, the prospect of such a potentially catastrophic failure created the springboard in which to develop and establish a functioning insolvency infrastructure commensurate</w:t>
      </w:r>
      <w:r w:rsidRPr="00D75927">
        <w:rPr>
          <w:rFonts w:ascii="Arial" w:hAnsi="Arial" w:cs="Arial"/>
          <w:sz w:val="22"/>
          <w:szCs w:val="22"/>
          <w:lang w:val="en-GB"/>
        </w:rPr>
        <w:t xml:space="preserve"> </w:t>
      </w:r>
      <w:r w:rsidR="002F1671" w:rsidRPr="00D75927">
        <w:rPr>
          <w:rFonts w:ascii="Arial" w:hAnsi="Arial" w:cs="Arial"/>
          <w:sz w:val="22"/>
          <w:szCs w:val="22"/>
          <w:lang w:val="en-GB"/>
        </w:rPr>
        <w:t>with</w:t>
      </w:r>
      <w:r w:rsidR="002F1671" w:rsidRPr="00D75927">
        <w:rPr>
          <w:rFonts w:ascii="Arial" w:hAnsi="Arial" w:cs="Arial"/>
          <w:sz w:val="22"/>
          <w:szCs w:val="22"/>
        </w:rPr>
        <w:t xml:space="preserve"> modern commerce.</w:t>
      </w:r>
    </w:p>
    <w:p w14:paraId="567EBAA0" w14:textId="56CA7194" w:rsidR="002F1671" w:rsidRPr="00D75927" w:rsidRDefault="002F1671" w:rsidP="00C76745">
      <w:pPr>
        <w:jc w:val="both"/>
        <w:rPr>
          <w:rFonts w:ascii="Arial" w:hAnsi="Arial" w:cs="Arial"/>
          <w:sz w:val="22"/>
          <w:szCs w:val="22"/>
        </w:rPr>
      </w:pPr>
    </w:p>
    <w:p w14:paraId="2F74125C" w14:textId="6274BC2F" w:rsidR="002F1671" w:rsidRPr="00D75927" w:rsidRDefault="002F1671" w:rsidP="00C76745">
      <w:pPr>
        <w:jc w:val="both"/>
        <w:rPr>
          <w:rFonts w:ascii="Arial" w:hAnsi="Arial" w:cs="Arial"/>
          <w:sz w:val="22"/>
          <w:szCs w:val="22"/>
        </w:rPr>
      </w:pPr>
      <w:r w:rsidRPr="00D75927">
        <w:rPr>
          <w:rFonts w:ascii="Arial" w:hAnsi="Arial" w:cs="Arial"/>
          <w:sz w:val="22"/>
          <w:szCs w:val="22"/>
        </w:rPr>
        <w:t xml:space="preserve">In 2016 the position changed fundamentally with the enactment of Federal Decree Law (No.9) of 2016 (as subsequently amended in 2019 and 2020) (the Bankruptcy Law). The Bankruptcy Law repealed the previous laws (Law No.18 of 1993) and consolidated the insolvency regime </w:t>
      </w:r>
      <w:r w:rsidR="005A3E8E" w:rsidRPr="00D75927">
        <w:rPr>
          <w:rFonts w:ascii="Arial" w:hAnsi="Arial" w:cs="Arial"/>
          <w:sz w:val="22"/>
          <w:szCs w:val="22"/>
        </w:rPr>
        <w:t xml:space="preserve">for commercial insolvencies in the UAE. It did not deal with consumer matters which were addressed in the Federal Degree Law (No. 19) of 2019 in relation to personal bankruptcy. </w:t>
      </w:r>
    </w:p>
    <w:p w14:paraId="336438C8" w14:textId="26E3251A" w:rsidR="00496138" w:rsidRPr="00D75927" w:rsidRDefault="00496138" w:rsidP="00C76745">
      <w:pPr>
        <w:jc w:val="both"/>
        <w:rPr>
          <w:rFonts w:ascii="Arial" w:hAnsi="Arial" w:cs="Arial"/>
          <w:sz w:val="22"/>
          <w:szCs w:val="22"/>
        </w:rPr>
      </w:pPr>
    </w:p>
    <w:p w14:paraId="7313251E" w14:textId="58F9C6D7" w:rsidR="00496138" w:rsidRPr="00D75927" w:rsidRDefault="00496138" w:rsidP="00C76745">
      <w:pPr>
        <w:jc w:val="both"/>
        <w:rPr>
          <w:rFonts w:ascii="Arial" w:hAnsi="Arial" w:cs="Arial"/>
          <w:sz w:val="22"/>
          <w:szCs w:val="22"/>
        </w:rPr>
      </w:pPr>
      <w:r w:rsidRPr="00D75927">
        <w:rPr>
          <w:rFonts w:ascii="Arial" w:hAnsi="Arial" w:cs="Arial"/>
          <w:sz w:val="22"/>
          <w:szCs w:val="22"/>
        </w:rPr>
        <w:t xml:space="preserve">The Bankruptcy Law is applicable to </w:t>
      </w:r>
      <w:r w:rsidR="00F6552D" w:rsidRPr="00D75927">
        <w:rPr>
          <w:rFonts w:ascii="Arial" w:hAnsi="Arial" w:cs="Arial"/>
          <w:sz w:val="22"/>
          <w:szCs w:val="22"/>
        </w:rPr>
        <w:t>companies governed under the Commercial Companies Law, any company who has by law or voluntarily submitted to the provisions of the Bankruptcy Law, free zone companies and establishments not governed by other insolvency procedures (in essence all free zone companies and establishments except those in financial free zones), any person engaged in commercial activities in a personal capacity (</w:t>
      </w:r>
      <w:r w:rsidR="00F6552D" w:rsidRPr="00D75927">
        <w:rPr>
          <w:rFonts w:ascii="Arial" w:hAnsi="Arial" w:cs="Arial"/>
          <w:i/>
          <w:iCs/>
          <w:sz w:val="22"/>
          <w:szCs w:val="22"/>
        </w:rPr>
        <w:t>i.e</w:t>
      </w:r>
      <w:r w:rsidR="00F6552D" w:rsidRPr="00D75927">
        <w:rPr>
          <w:rFonts w:ascii="Arial" w:hAnsi="Arial" w:cs="Arial"/>
          <w:sz w:val="22"/>
          <w:szCs w:val="22"/>
        </w:rPr>
        <w:t>. a trader) and licensed civil companies of a professional character (</w:t>
      </w:r>
      <w:r w:rsidR="00F6552D" w:rsidRPr="00B44D86">
        <w:rPr>
          <w:rFonts w:ascii="Arial" w:hAnsi="Arial" w:cs="Arial"/>
          <w:i/>
          <w:iCs/>
          <w:sz w:val="22"/>
          <w:szCs w:val="22"/>
        </w:rPr>
        <w:t>e.g.</w:t>
      </w:r>
      <w:r w:rsidR="00F6552D" w:rsidRPr="00D75927">
        <w:rPr>
          <w:rFonts w:ascii="Arial" w:hAnsi="Arial" w:cs="Arial"/>
          <w:sz w:val="22"/>
          <w:szCs w:val="22"/>
        </w:rPr>
        <w:t xml:space="preserve"> professional partnerships). </w:t>
      </w:r>
    </w:p>
    <w:p w14:paraId="014E098A" w14:textId="29D0A809" w:rsidR="00F6552D" w:rsidRPr="00D75927" w:rsidRDefault="00F6552D" w:rsidP="00C76745">
      <w:pPr>
        <w:jc w:val="both"/>
        <w:rPr>
          <w:rFonts w:ascii="Arial" w:hAnsi="Arial" w:cs="Arial"/>
          <w:sz w:val="22"/>
          <w:szCs w:val="22"/>
        </w:rPr>
      </w:pPr>
    </w:p>
    <w:p w14:paraId="44CB1DE3" w14:textId="262C2402" w:rsidR="00F6552D" w:rsidRPr="00D75927" w:rsidRDefault="00F6552D" w:rsidP="00C76745">
      <w:pPr>
        <w:jc w:val="both"/>
        <w:rPr>
          <w:rFonts w:ascii="Arial" w:hAnsi="Arial" w:cs="Arial"/>
          <w:sz w:val="22"/>
          <w:szCs w:val="22"/>
        </w:rPr>
      </w:pPr>
      <w:r w:rsidRPr="00D75927">
        <w:rPr>
          <w:rFonts w:ascii="Arial" w:hAnsi="Arial" w:cs="Arial"/>
          <w:sz w:val="22"/>
          <w:szCs w:val="22"/>
        </w:rPr>
        <w:t xml:space="preserve">The law itself has been well received </w:t>
      </w:r>
      <w:r w:rsidR="00D75927" w:rsidRPr="00D75927">
        <w:rPr>
          <w:rFonts w:ascii="Arial" w:hAnsi="Arial" w:cs="Arial"/>
          <w:sz w:val="22"/>
          <w:szCs w:val="22"/>
        </w:rPr>
        <w:t xml:space="preserve">and welcomed </w:t>
      </w:r>
      <w:r w:rsidRPr="00D75927">
        <w:rPr>
          <w:rFonts w:ascii="Arial" w:hAnsi="Arial" w:cs="Arial"/>
          <w:sz w:val="22"/>
          <w:szCs w:val="22"/>
        </w:rPr>
        <w:t>in that it has given a degree of legitimacy and further confidence to trading in the region</w:t>
      </w:r>
      <w:r w:rsidR="00D75927" w:rsidRPr="00D75927">
        <w:rPr>
          <w:rFonts w:ascii="Arial" w:hAnsi="Arial" w:cs="Arial"/>
          <w:sz w:val="22"/>
          <w:szCs w:val="22"/>
        </w:rPr>
        <w:t xml:space="preserve"> by putting in place a more robust insolvency infrastructure (by comparison to what came before it). It has been warmly welcomed by the business community, however there have, as yet, only been a handful of occasions where insolvency processed have been conducted pursuant to the Bankruptcy Law to the extent is remains difficult to empirically assess the impact these changes have made and the extent of their application to business practices in the UAE. </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AE7E49">
        <w:rPr>
          <w:rFonts w:ascii="Arial" w:hAnsi="Arial" w:cs="Arial"/>
          <w:sz w:val="22"/>
          <w:szCs w:val="22"/>
          <w:lang w:val="en-GB"/>
        </w:rPr>
        <w:t>If a debtor company seeks to enter bankruptcy, describe the ways in which the Court is required to be actively engaged in the Restructuring in Bankruptcy Process</w:t>
      </w:r>
      <w:r w:rsidRPr="00CA448F">
        <w:rPr>
          <w:rFonts w:ascii="Arial" w:hAnsi="Arial" w:cs="Arial"/>
          <w:sz w:val="22"/>
          <w:szCs w:val="22"/>
          <w:lang w:val="en-GB"/>
        </w:rPr>
        <w:t xml:space="preserve">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381F3372" w:rsidR="001A45DB" w:rsidRPr="00AE7E49" w:rsidRDefault="00B44D86" w:rsidP="00C76745">
      <w:pPr>
        <w:jc w:val="both"/>
        <w:rPr>
          <w:rFonts w:ascii="Arial" w:hAnsi="Arial" w:cs="Arial"/>
          <w:sz w:val="22"/>
          <w:szCs w:val="22"/>
          <w:lang w:val="en-GB"/>
        </w:rPr>
      </w:pPr>
      <w:r w:rsidRPr="00AE7E49">
        <w:rPr>
          <w:rFonts w:ascii="Arial" w:hAnsi="Arial" w:cs="Arial"/>
          <w:sz w:val="22"/>
          <w:szCs w:val="22"/>
          <w:lang w:val="en-GB"/>
        </w:rPr>
        <w:t>The court's role in the restructuring process is comparatively large</w:t>
      </w:r>
      <w:r w:rsidR="00AE7E49">
        <w:rPr>
          <w:rFonts w:ascii="Arial" w:hAnsi="Arial" w:cs="Arial"/>
          <w:sz w:val="22"/>
          <w:szCs w:val="22"/>
          <w:lang w:val="en-GB"/>
        </w:rPr>
        <w:t xml:space="preserve"> relative to other jurisdictions</w:t>
      </w:r>
      <w:r w:rsidRPr="00AE7E49">
        <w:rPr>
          <w:rFonts w:ascii="Arial" w:hAnsi="Arial" w:cs="Arial"/>
          <w:sz w:val="22"/>
          <w:szCs w:val="22"/>
          <w:lang w:val="en-GB"/>
        </w:rPr>
        <w:t xml:space="preserve">. </w:t>
      </w:r>
    </w:p>
    <w:p w14:paraId="631943CC" w14:textId="5B4AC904" w:rsidR="00FD044F" w:rsidRPr="00AE7E49" w:rsidRDefault="00FD044F" w:rsidP="00C76745">
      <w:pPr>
        <w:jc w:val="both"/>
        <w:rPr>
          <w:rFonts w:ascii="Arial" w:hAnsi="Arial" w:cs="Arial"/>
          <w:sz w:val="22"/>
          <w:szCs w:val="22"/>
          <w:lang w:val="en-GB"/>
        </w:rPr>
      </w:pPr>
    </w:p>
    <w:p w14:paraId="5F0E8B79" w14:textId="0557E00E" w:rsidR="00FD044F" w:rsidRPr="00AE7E49" w:rsidRDefault="00FD044F" w:rsidP="00C76745">
      <w:pPr>
        <w:jc w:val="both"/>
        <w:rPr>
          <w:rFonts w:ascii="Arial" w:hAnsi="Arial" w:cs="Arial"/>
          <w:sz w:val="22"/>
          <w:szCs w:val="22"/>
          <w:lang w:val="en-GB"/>
        </w:rPr>
      </w:pPr>
      <w:r w:rsidRPr="00AE7E49">
        <w:rPr>
          <w:rFonts w:ascii="Arial" w:hAnsi="Arial" w:cs="Arial"/>
          <w:sz w:val="22"/>
          <w:szCs w:val="22"/>
          <w:lang w:val="en-GB"/>
        </w:rPr>
        <w:t xml:space="preserve">When the application is made to the court for the commencement of the bankruptcy procedure the court is required under art.77 to appoint an expert from a panel of experts to assess the financial position of the debtor – the court is at liberty to reject any application should the specified information not be forthcoming. The court then is </w:t>
      </w:r>
      <w:r w:rsidR="00B70471" w:rsidRPr="00AE7E49">
        <w:rPr>
          <w:rFonts w:ascii="Arial" w:hAnsi="Arial" w:cs="Arial"/>
          <w:sz w:val="22"/>
          <w:szCs w:val="22"/>
          <w:lang w:val="en-GB"/>
        </w:rPr>
        <w:t>required</w:t>
      </w:r>
      <w:r w:rsidRPr="00AE7E49">
        <w:rPr>
          <w:rFonts w:ascii="Arial" w:hAnsi="Arial" w:cs="Arial"/>
          <w:sz w:val="22"/>
          <w:szCs w:val="22"/>
          <w:lang w:val="en-GB"/>
        </w:rPr>
        <w:t xml:space="preserve"> further information to be provided if it deems necessary or to join other parties to the proceedings. The court is also at liberty to grant interim order in connection with the debtor's property under art 81. The court then </w:t>
      </w:r>
      <w:r w:rsidR="00B70471" w:rsidRPr="00AE7E49">
        <w:rPr>
          <w:rFonts w:ascii="Arial" w:hAnsi="Arial" w:cs="Arial"/>
          <w:sz w:val="22"/>
          <w:szCs w:val="22"/>
          <w:lang w:val="en-GB"/>
        </w:rPr>
        <w:t>must</w:t>
      </w:r>
      <w:r w:rsidRPr="00AE7E49">
        <w:rPr>
          <w:rFonts w:ascii="Arial" w:hAnsi="Arial" w:cs="Arial"/>
          <w:sz w:val="22"/>
          <w:szCs w:val="22"/>
          <w:lang w:val="en-GB"/>
        </w:rPr>
        <w:t xml:space="preserve"> determine the application to commence the bankruptcy procedure and must do so </w:t>
      </w:r>
      <w:r w:rsidRPr="00AE7E49">
        <w:rPr>
          <w:rFonts w:ascii="Arial" w:hAnsi="Arial" w:cs="Arial"/>
          <w:sz w:val="22"/>
          <w:szCs w:val="22"/>
          <w:lang w:val="en-GB"/>
        </w:rPr>
        <w:lastRenderedPageBreak/>
        <w:t>within 5 days of the application or of the expert's report (as applicable). Where the court has satisfied itself that the necessary conditions are met it will grant an order which commences the bankruptcy process</w:t>
      </w:r>
      <w:r w:rsidR="00B70471" w:rsidRPr="00AE7E49">
        <w:rPr>
          <w:rFonts w:ascii="Arial" w:hAnsi="Arial" w:cs="Arial"/>
          <w:sz w:val="22"/>
          <w:szCs w:val="22"/>
          <w:lang w:val="en-GB"/>
        </w:rPr>
        <w:t>.</w:t>
      </w:r>
    </w:p>
    <w:p w14:paraId="131C6C50" w14:textId="447404F7" w:rsidR="00B70471" w:rsidRPr="00AE7E49" w:rsidRDefault="00B70471" w:rsidP="00C76745">
      <w:pPr>
        <w:jc w:val="both"/>
        <w:rPr>
          <w:rFonts w:ascii="Arial" w:hAnsi="Arial" w:cs="Arial"/>
          <w:sz w:val="22"/>
          <w:szCs w:val="22"/>
          <w:lang w:val="en-GB"/>
        </w:rPr>
      </w:pPr>
    </w:p>
    <w:p w14:paraId="466C85CB" w14:textId="77777777" w:rsidR="008D0ADD" w:rsidRPr="00AE7E49" w:rsidRDefault="00B70471" w:rsidP="00C76745">
      <w:pPr>
        <w:jc w:val="both"/>
        <w:rPr>
          <w:rFonts w:ascii="Arial" w:hAnsi="Arial" w:cs="Arial"/>
          <w:sz w:val="22"/>
          <w:szCs w:val="22"/>
          <w:lang w:val="en-GB"/>
        </w:rPr>
      </w:pPr>
      <w:r w:rsidRPr="00AE7E49">
        <w:rPr>
          <w:rFonts w:ascii="Arial" w:hAnsi="Arial" w:cs="Arial"/>
          <w:sz w:val="22"/>
          <w:szCs w:val="22"/>
          <w:lang w:val="en-GB"/>
        </w:rPr>
        <w:t>The court is thereafter required to appoint a trustee, either as nominated by the debtor or a person enrolled in the table of experts appointed by the Financial Restructuring Committee</w:t>
      </w:r>
      <w:r w:rsidR="008D0ADD" w:rsidRPr="00AE7E49">
        <w:rPr>
          <w:rFonts w:ascii="Arial" w:hAnsi="Arial" w:cs="Arial"/>
          <w:sz w:val="22"/>
          <w:szCs w:val="22"/>
          <w:lang w:val="en-GB"/>
        </w:rPr>
        <w:t xml:space="preserve"> (Art 82)</w:t>
      </w:r>
      <w:r w:rsidRPr="00AE7E49">
        <w:rPr>
          <w:rFonts w:ascii="Arial" w:hAnsi="Arial" w:cs="Arial"/>
          <w:sz w:val="22"/>
          <w:szCs w:val="22"/>
          <w:lang w:val="en-GB"/>
        </w:rPr>
        <w:t>.</w:t>
      </w:r>
    </w:p>
    <w:p w14:paraId="0A1D0E91" w14:textId="77777777" w:rsidR="008D0ADD" w:rsidRPr="00AE7E49" w:rsidRDefault="008D0ADD" w:rsidP="00C76745">
      <w:pPr>
        <w:jc w:val="both"/>
        <w:rPr>
          <w:rFonts w:ascii="Arial" w:hAnsi="Arial" w:cs="Arial"/>
          <w:sz w:val="22"/>
          <w:szCs w:val="22"/>
          <w:lang w:val="en-GB"/>
        </w:rPr>
      </w:pPr>
    </w:p>
    <w:p w14:paraId="2296EACA" w14:textId="77777777" w:rsidR="008D0ADD" w:rsidRPr="00AE7E49" w:rsidRDefault="008D0ADD" w:rsidP="00C76745">
      <w:pPr>
        <w:jc w:val="both"/>
        <w:rPr>
          <w:rFonts w:ascii="Arial" w:hAnsi="Arial" w:cs="Arial"/>
          <w:sz w:val="22"/>
          <w:szCs w:val="22"/>
          <w:lang w:val="en-GB"/>
        </w:rPr>
      </w:pPr>
      <w:r w:rsidRPr="00AE7E49">
        <w:rPr>
          <w:rFonts w:ascii="Arial" w:hAnsi="Arial" w:cs="Arial"/>
          <w:sz w:val="22"/>
          <w:szCs w:val="22"/>
          <w:lang w:val="en-GB"/>
        </w:rPr>
        <w:t xml:space="preserve">Under Art. 87 the court has discretion to appoint one or more supervisors to the process to act as representatives of the creditor(s). </w:t>
      </w:r>
    </w:p>
    <w:p w14:paraId="06D35954" w14:textId="77777777" w:rsidR="008D0ADD" w:rsidRPr="00AE7E49" w:rsidRDefault="008D0ADD" w:rsidP="00C76745">
      <w:pPr>
        <w:jc w:val="both"/>
        <w:rPr>
          <w:rFonts w:ascii="Arial" w:hAnsi="Arial" w:cs="Arial"/>
          <w:sz w:val="22"/>
          <w:szCs w:val="22"/>
          <w:lang w:val="en-GB"/>
        </w:rPr>
      </w:pPr>
    </w:p>
    <w:p w14:paraId="72EE0416" w14:textId="77777777" w:rsidR="008D0ADD" w:rsidRPr="00AE7E49" w:rsidRDefault="008D0ADD" w:rsidP="00C76745">
      <w:pPr>
        <w:jc w:val="both"/>
        <w:rPr>
          <w:rFonts w:ascii="Arial" w:hAnsi="Arial" w:cs="Arial"/>
          <w:sz w:val="22"/>
          <w:szCs w:val="22"/>
          <w:lang w:val="en-GB"/>
        </w:rPr>
      </w:pPr>
      <w:r w:rsidRPr="00AE7E49">
        <w:rPr>
          <w:rFonts w:ascii="Arial" w:hAnsi="Arial" w:cs="Arial"/>
          <w:sz w:val="22"/>
          <w:szCs w:val="22"/>
          <w:lang w:val="en-GB"/>
        </w:rPr>
        <w:t xml:space="preserve">Once the court has made the appointment of a trustee it is required to pursuant to Art. 88 to provide the trustee with all the information it holds about the debtor. </w:t>
      </w:r>
    </w:p>
    <w:p w14:paraId="4ACCEA8D" w14:textId="77777777" w:rsidR="008D0ADD" w:rsidRPr="00AE7E49" w:rsidRDefault="008D0ADD" w:rsidP="00C76745">
      <w:pPr>
        <w:jc w:val="both"/>
        <w:rPr>
          <w:rFonts w:ascii="Arial" w:hAnsi="Arial" w:cs="Arial"/>
          <w:sz w:val="22"/>
          <w:szCs w:val="22"/>
          <w:lang w:val="en-GB"/>
        </w:rPr>
      </w:pPr>
    </w:p>
    <w:p w14:paraId="26E2C279" w14:textId="77777777" w:rsidR="008D0ADD" w:rsidRPr="00AE7E49" w:rsidRDefault="008D0ADD" w:rsidP="00C76745">
      <w:pPr>
        <w:jc w:val="both"/>
        <w:rPr>
          <w:rFonts w:ascii="Arial" w:hAnsi="Arial" w:cs="Arial"/>
          <w:sz w:val="22"/>
          <w:szCs w:val="22"/>
          <w:lang w:val="en-GB"/>
        </w:rPr>
      </w:pPr>
      <w:r w:rsidRPr="00AE7E49">
        <w:rPr>
          <w:rFonts w:ascii="Arial" w:hAnsi="Arial" w:cs="Arial"/>
          <w:sz w:val="22"/>
          <w:szCs w:val="22"/>
          <w:lang w:val="en-GB"/>
        </w:rPr>
        <w:t xml:space="preserve">The court must then determine the list of creditors under Art. 94 having had the trustee submit the list prior, subject to any appeals creditors may lodge (in such cases the court may admin claims on an interim basis). </w:t>
      </w:r>
    </w:p>
    <w:p w14:paraId="3B638245" w14:textId="77777777" w:rsidR="008D0ADD" w:rsidRPr="00AE7E49" w:rsidRDefault="008D0ADD" w:rsidP="00C76745">
      <w:pPr>
        <w:jc w:val="both"/>
        <w:rPr>
          <w:rFonts w:ascii="Arial" w:hAnsi="Arial" w:cs="Arial"/>
          <w:sz w:val="22"/>
          <w:szCs w:val="22"/>
          <w:lang w:val="en-GB"/>
        </w:rPr>
      </w:pPr>
    </w:p>
    <w:p w14:paraId="31EF51A5" w14:textId="3F7790D1" w:rsidR="00B70471" w:rsidRPr="00AE7E49" w:rsidRDefault="008D0ADD" w:rsidP="00C76745">
      <w:pPr>
        <w:jc w:val="both"/>
        <w:rPr>
          <w:rFonts w:ascii="Arial" w:hAnsi="Arial" w:cs="Arial"/>
          <w:sz w:val="22"/>
          <w:szCs w:val="22"/>
          <w:lang w:val="en-GB"/>
        </w:rPr>
      </w:pPr>
      <w:r w:rsidRPr="00AE7E49">
        <w:rPr>
          <w:rFonts w:ascii="Arial" w:hAnsi="Arial" w:cs="Arial"/>
          <w:sz w:val="22"/>
          <w:szCs w:val="22"/>
          <w:lang w:val="en-GB"/>
        </w:rPr>
        <w:t>Under Art. 97 the court is obliged to review the trustees report (provided for under Art.96) and confirm the report takes account of all creditor claims. The court thereafter directs the trustee to convene a meeting of the creditors and to prepare a restructuring scheme (where liquidation is not a more appropriate avenue).</w:t>
      </w:r>
      <w:r w:rsidR="00B70471" w:rsidRPr="00AE7E49">
        <w:rPr>
          <w:rFonts w:ascii="Arial" w:hAnsi="Arial" w:cs="Arial"/>
          <w:sz w:val="22"/>
          <w:szCs w:val="22"/>
          <w:lang w:val="en-GB"/>
        </w:rPr>
        <w:t xml:space="preserve"> </w:t>
      </w:r>
    </w:p>
    <w:p w14:paraId="68FB7458" w14:textId="11AB4CAE" w:rsidR="008D0ADD" w:rsidRPr="00AE7E49" w:rsidRDefault="008D0ADD" w:rsidP="00C76745">
      <w:pPr>
        <w:jc w:val="both"/>
        <w:rPr>
          <w:rFonts w:ascii="Arial" w:hAnsi="Arial" w:cs="Arial"/>
          <w:sz w:val="22"/>
          <w:szCs w:val="22"/>
          <w:lang w:val="en-GB"/>
        </w:rPr>
      </w:pPr>
    </w:p>
    <w:p w14:paraId="73A97A96" w14:textId="3AF09CB8" w:rsidR="008D0ADD" w:rsidRPr="00AE7E49" w:rsidRDefault="008D0ADD" w:rsidP="00C76745">
      <w:pPr>
        <w:jc w:val="both"/>
        <w:rPr>
          <w:rFonts w:ascii="Arial" w:hAnsi="Arial" w:cs="Arial"/>
          <w:sz w:val="22"/>
          <w:szCs w:val="22"/>
          <w:lang w:val="en-GB"/>
        </w:rPr>
      </w:pPr>
      <w:r w:rsidRPr="00AE7E49">
        <w:rPr>
          <w:rFonts w:ascii="Arial" w:hAnsi="Arial" w:cs="Arial"/>
          <w:sz w:val="22"/>
          <w:szCs w:val="22"/>
          <w:lang w:val="en-GB"/>
        </w:rPr>
        <w:t>The Court then required to review the proposed scheme prepared by the trustee within 10 days of the trustee submitting it to the court. The court is then at liberty under Art 103 to request that the trustee vary the scheme if in the court's view it does not properly reflect all parties interest and to resubmit the proposal</w:t>
      </w:r>
      <w:r w:rsidR="0064483D" w:rsidRPr="00AE7E49">
        <w:rPr>
          <w:rFonts w:ascii="Arial" w:hAnsi="Arial" w:cs="Arial"/>
          <w:sz w:val="22"/>
          <w:szCs w:val="22"/>
          <w:lang w:val="en-GB"/>
        </w:rPr>
        <w:t xml:space="preserve">. </w:t>
      </w:r>
    </w:p>
    <w:p w14:paraId="3BB90461" w14:textId="43E9C64B" w:rsidR="0064483D" w:rsidRPr="00AE7E49" w:rsidRDefault="0064483D" w:rsidP="00C76745">
      <w:pPr>
        <w:jc w:val="both"/>
        <w:rPr>
          <w:rFonts w:ascii="Arial" w:hAnsi="Arial" w:cs="Arial"/>
          <w:sz w:val="22"/>
          <w:szCs w:val="22"/>
          <w:lang w:val="en-GB"/>
        </w:rPr>
      </w:pPr>
    </w:p>
    <w:p w14:paraId="7A6908E7" w14:textId="6CCAA823" w:rsidR="0064483D" w:rsidRPr="00AE7E49" w:rsidRDefault="0064483D" w:rsidP="00C76745">
      <w:pPr>
        <w:jc w:val="both"/>
        <w:rPr>
          <w:rFonts w:ascii="Arial" w:hAnsi="Arial" w:cs="Arial"/>
          <w:sz w:val="22"/>
          <w:szCs w:val="22"/>
          <w:lang w:val="en-GB"/>
        </w:rPr>
      </w:pPr>
      <w:r w:rsidRPr="00AE7E49">
        <w:rPr>
          <w:rFonts w:ascii="Arial" w:hAnsi="Arial" w:cs="Arial"/>
          <w:sz w:val="22"/>
          <w:szCs w:val="22"/>
          <w:lang w:val="en-GB"/>
        </w:rPr>
        <w:t xml:space="preserve">After review of the proposal the court must then request the trustee issue an invitation to creditors to meet to review the proposed scheme. Where the creditors approve the scheme the trustee puts the scheme before the court for approval. The court's determination on this is final under art 108. Where the court rejects a scheme it must be amended and </w:t>
      </w:r>
      <w:proofErr w:type="spellStart"/>
      <w:r w:rsidRPr="00AE7E49">
        <w:rPr>
          <w:rFonts w:ascii="Arial" w:hAnsi="Arial" w:cs="Arial"/>
          <w:sz w:val="22"/>
          <w:szCs w:val="22"/>
          <w:lang w:val="en-GB"/>
        </w:rPr>
        <w:t>retuned</w:t>
      </w:r>
      <w:proofErr w:type="spellEnd"/>
      <w:r w:rsidRPr="00AE7E49">
        <w:rPr>
          <w:rFonts w:ascii="Arial" w:hAnsi="Arial" w:cs="Arial"/>
          <w:sz w:val="22"/>
          <w:szCs w:val="22"/>
          <w:lang w:val="en-GB"/>
        </w:rPr>
        <w:t xml:space="preserve"> to the court for approval or a decision to initiate the declaration of the debtor's bankruptcy and the liquidation of the debtor's assets pursuant to art 109. </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6F8A52B2" w14:textId="47C5B3FB" w:rsidR="007524A3" w:rsidRPr="00AE7E49" w:rsidRDefault="00D75927" w:rsidP="00C76745">
      <w:pPr>
        <w:jc w:val="both"/>
        <w:rPr>
          <w:rFonts w:ascii="Arial" w:hAnsi="Arial" w:cs="Arial"/>
          <w:sz w:val="22"/>
          <w:szCs w:val="22"/>
          <w:shd w:val="clear" w:color="auto" w:fill="FFFFFF"/>
        </w:rPr>
      </w:pPr>
      <w:r w:rsidRPr="00AE7E49">
        <w:rPr>
          <w:rFonts w:ascii="Arial" w:hAnsi="Arial" w:cs="Arial"/>
          <w:sz w:val="22"/>
          <w:szCs w:val="22"/>
          <w:shd w:val="clear" w:color="auto" w:fill="FFFFFF"/>
        </w:rPr>
        <w:t xml:space="preserve">Given the comparatively fledgling insolvency regime the UAE operates, it is perhaps understandable, if not desirable, for the court to have a greater level of security and involvement over the process. The legislation itself and procedures therein are highly prescribed and therefore will necessitate a greater degree of court involvement, by comparison with the FFZ's which afford greater flexibility generally. </w:t>
      </w:r>
      <w:r w:rsidR="00B44D86" w:rsidRPr="00AE7E49">
        <w:rPr>
          <w:rFonts w:ascii="Arial" w:hAnsi="Arial" w:cs="Arial"/>
          <w:sz w:val="22"/>
          <w:szCs w:val="22"/>
          <w:shd w:val="clear" w:color="auto" w:fill="FFFFFF"/>
        </w:rPr>
        <w:t xml:space="preserve">While it would be preferable for the courts to exercise a predominantly supervisory jurisdiction over proceedings, the active involvement of the courts under the Bankruptcy Law required a further degree of judicial participation given the mandated procedural role the courts play under this law. The legislation and the mechanisms in place requiring court intervention to assist with </w:t>
      </w:r>
      <w:r w:rsidR="00B44D86" w:rsidRPr="00AE7E49">
        <w:rPr>
          <w:rFonts w:ascii="Arial" w:hAnsi="Arial" w:cs="Arial"/>
          <w:i/>
          <w:iCs/>
          <w:sz w:val="22"/>
          <w:szCs w:val="22"/>
          <w:shd w:val="clear" w:color="auto" w:fill="FFFFFF"/>
        </w:rPr>
        <w:t xml:space="preserve">e.g. </w:t>
      </w:r>
      <w:r w:rsidR="00B44D86" w:rsidRPr="00AE7E49">
        <w:rPr>
          <w:rFonts w:ascii="Arial" w:hAnsi="Arial" w:cs="Arial"/>
          <w:sz w:val="22"/>
          <w:szCs w:val="22"/>
          <w:shd w:val="clear" w:color="auto" w:fill="FFFFFF"/>
        </w:rPr>
        <w:t xml:space="preserve">registering a charge or enforcing a security mean that court involvement is necessarily high. Although this </w:t>
      </w:r>
      <w:r w:rsidR="00B44D86" w:rsidRPr="00AE7E49">
        <w:rPr>
          <w:rFonts w:ascii="Arial" w:hAnsi="Arial" w:cs="Arial"/>
          <w:sz w:val="22"/>
          <w:szCs w:val="22"/>
          <w:shd w:val="clear" w:color="auto" w:fill="FFFFFF"/>
        </w:rPr>
        <w:lastRenderedPageBreak/>
        <w:t xml:space="preserve">is appropriate in order to give statutory effect to the provisions of the Bankruptcy Law, it does appear to be a potentially inefficient use of judicial resource and increases the costs and inefficiency of the process as opposed to the adoption of common law practices which require far less pro-active participate from the bench. </w:t>
      </w: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262077">
        <w:rPr>
          <w:rFonts w:ascii="Arial" w:hAnsi="Arial" w:cs="Arial"/>
          <w:sz w:val="22"/>
          <w:szCs w:val="22"/>
          <w:lang w:val="en-GB"/>
        </w:rPr>
        <w:t>10</w:t>
      </w:r>
      <w:r w:rsidRPr="00262077">
        <w:rPr>
          <w:rFonts w:ascii="Arial" w:hAnsi="Arial" w:cs="Arial"/>
          <w:sz w:val="22"/>
          <w:szCs w:val="22"/>
          <w:lang w:val="en-GB"/>
        </w:rPr>
        <w:t xml:space="preserve"> specific steps </w:t>
      </w:r>
      <w:r w:rsidR="009D3106" w:rsidRPr="00262077">
        <w:rPr>
          <w:rFonts w:ascii="Arial" w:hAnsi="Arial" w:cs="Arial"/>
          <w:sz w:val="22"/>
          <w:szCs w:val="22"/>
          <w:lang w:val="en-GB"/>
        </w:rPr>
        <w:t>that</w:t>
      </w:r>
      <w:r w:rsidRPr="00262077">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w:t>
      </w:r>
      <w:r w:rsidRPr="00CA448F">
        <w:rPr>
          <w:rFonts w:ascii="Arial" w:hAnsi="Arial" w:cs="Arial"/>
          <w:sz w:val="22"/>
          <w:szCs w:val="22"/>
          <w:lang w:val="en-GB"/>
        </w:rPr>
        <w:t xml:space="preserve">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Assume that: </w:t>
      </w:r>
      <w:r w:rsidRPr="00D755B1">
        <w:rPr>
          <w:rFonts w:ascii="Arial" w:hAnsi="Arial" w:cs="Arial"/>
          <w:sz w:val="22"/>
          <w:szCs w:val="22"/>
          <w:lang w:val="en-GB"/>
        </w:rPr>
        <w:t>an expert’s report</w:t>
      </w:r>
      <w:r w:rsidRPr="00CA448F">
        <w:rPr>
          <w:rFonts w:ascii="Arial" w:hAnsi="Arial" w:cs="Arial"/>
          <w:sz w:val="22"/>
          <w:szCs w:val="22"/>
          <w:lang w:val="en-GB"/>
        </w:rPr>
        <w:t xml:space="preserve">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3F123ED" w14:textId="64FC2EC9" w:rsidR="00C862BA" w:rsidRPr="00D04423" w:rsidRDefault="00141861"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Under Art. </w:t>
      </w:r>
      <w:r w:rsidR="00C862BA" w:rsidRPr="00D04423">
        <w:rPr>
          <w:rFonts w:ascii="Arial" w:hAnsi="Arial" w:cs="Arial"/>
          <w:sz w:val="22"/>
          <w:szCs w:val="22"/>
          <w:lang w:val="en-GB"/>
        </w:rPr>
        <w:t>9</w:t>
      </w:r>
      <w:r w:rsidRPr="00D04423">
        <w:rPr>
          <w:rFonts w:ascii="Arial" w:hAnsi="Arial" w:cs="Arial"/>
          <w:sz w:val="22"/>
          <w:szCs w:val="22"/>
          <w:lang w:val="en-GB"/>
        </w:rPr>
        <w:t xml:space="preserve">, the debtor </w:t>
      </w:r>
      <w:r w:rsidR="00C862BA" w:rsidRPr="00D04423">
        <w:rPr>
          <w:rFonts w:ascii="Arial" w:hAnsi="Arial" w:cs="Arial"/>
          <w:sz w:val="22"/>
          <w:szCs w:val="22"/>
          <w:lang w:val="en-GB"/>
        </w:rPr>
        <w:t xml:space="preserve">makes an application to the court setting out its position, proposal for a preventive composition, the details for the proposed appointee to act as trustee over the preventive composition. </w:t>
      </w:r>
    </w:p>
    <w:p w14:paraId="399BC03E" w14:textId="77777777" w:rsidR="00C862BA" w:rsidRPr="00D04423" w:rsidRDefault="00C862BA" w:rsidP="00C862BA">
      <w:pPr>
        <w:pStyle w:val="ListParagraph"/>
        <w:jc w:val="both"/>
        <w:rPr>
          <w:rFonts w:ascii="Arial" w:hAnsi="Arial" w:cs="Arial"/>
          <w:sz w:val="22"/>
          <w:szCs w:val="22"/>
          <w:lang w:val="en-GB"/>
        </w:rPr>
      </w:pPr>
    </w:p>
    <w:p w14:paraId="70809E37" w14:textId="2B6C8F6A" w:rsidR="00C862BA" w:rsidRPr="00D04423" w:rsidRDefault="00C862BA"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The court then appoints an expert to prepare a report on the financial position of the debtor. This must be provided within 20 business days from the date the expert is instructed (Art 13). </w:t>
      </w:r>
    </w:p>
    <w:p w14:paraId="11429427" w14:textId="77777777" w:rsidR="00C862BA" w:rsidRPr="00D04423" w:rsidRDefault="00C862BA" w:rsidP="00C862BA">
      <w:pPr>
        <w:pStyle w:val="ListParagraph"/>
        <w:rPr>
          <w:rFonts w:ascii="Arial" w:hAnsi="Arial" w:cs="Arial"/>
          <w:sz w:val="22"/>
          <w:szCs w:val="22"/>
          <w:lang w:val="en-GB"/>
        </w:rPr>
      </w:pPr>
    </w:p>
    <w:p w14:paraId="6CDA2848" w14:textId="0C122DE4" w:rsidR="00BD1061" w:rsidRPr="00D04423" w:rsidRDefault="00C862BA"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 Within 5 business days of the application or the date of the experts report if the preventive composition process </w:t>
      </w:r>
      <w:r w:rsidR="00531EEF" w:rsidRPr="00D04423">
        <w:rPr>
          <w:rFonts w:ascii="Arial" w:hAnsi="Arial" w:cs="Arial"/>
          <w:sz w:val="22"/>
          <w:szCs w:val="22"/>
          <w:lang w:val="en-GB"/>
        </w:rPr>
        <w:t xml:space="preserve">can commence. </w:t>
      </w:r>
    </w:p>
    <w:p w14:paraId="6AAB04D2" w14:textId="77777777" w:rsidR="00531EEF" w:rsidRPr="00D04423" w:rsidRDefault="00531EEF" w:rsidP="00531EEF">
      <w:pPr>
        <w:pStyle w:val="ListParagraph"/>
        <w:rPr>
          <w:rFonts w:ascii="Arial" w:hAnsi="Arial" w:cs="Arial"/>
          <w:sz w:val="22"/>
          <w:szCs w:val="22"/>
          <w:lang w:val="en-GB"/>
        </w:rPr>
      </w:pPr>
    </w:p>
    <w:p w14:paraId="30774551" w14:textId="7628D254" w:rsidR="00531EEF" w:rsidRPr="00D04423" w:rsidRDefault="00531EEF"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If the application is approved, the court then requires to appoint a trustee under Art 17. Any creditor objection to the trustee's appointment must be made by application to the court within 5 business days of the publication of the appointment. The court will determine the application within 5 business days. </w:t>
      </w:r>
      <w:r w:rsidR="00D755B1" w:rsidRPr="00D04423">
        <w:rPr>
          <w:rFonts w:ascii="Arial" w:hAnsi="Arial" w:cs="Arial"/>
          <w:sz w:val="22"/>
          <w:szCs w:val="22"/>
          <w:lang w:val="en-GB"/>
        </w:rPr>
        <w:t xml:space="preserve">In terms of timeline the preventive composition continues to run in the background while the application objecting to the appointment of the trustee is being determined. </w:t>
      </w:r>
    </w:p>
    <w:p w14:paraId="583BDB09" w14:textId="77777777" w:rsidR="00531EEF" w:rsidRPr="00D04423" w:rsidRDefault="00531EEF" w:rsidP="00531EEF">
      <w:pPr>
        <w:pStyle w:val="ListParagraph"/>
        <w:rPr>
          <w:rFonts w:ascii="Arial" w:hAnsi="Arial" w:cs="Arial"/>
          <w:sz w:val="22"/>
          <w:szCs w:val="22"/>
          <w:lang w:val="en-GB"/>
        </w:rPr>
      </w:pPr>
    </w:p>
    <w:p w14:paraId="03831EA9" w14:textId="49D21C94" w:rsidR="00531EEF" w:rsidRPr="00D04423" w:rsidRDefault="00D755B1"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The trustee is then required under Art.24 to take inventory of the debtor's assets and provide a report on the same to the court. A report is also required to be sent to the debtor's creditors. </w:t>
      </w:r>
    </w:p>
    <w:p w14:paraId="20132F6F" w14:textId="77777777" w:rsidR="00D755B1" w:rsidRPr="00D04423" w:rsidRDefault="00D755B1" w:rsidP="00D755B1">
      <w:pPr>
        <w:pStyle w:val="ListParagraph"/>
        <w:rPr>
          <w:rFonts w:ascii="Arial" w:hAnsi="Arial" w:cs="Arial"/>
          <w:sz w:val="22"/>
          <w:szCs w:val="22"/>
          <w:lang w:val="en-GB"/>
        </w:rPr>
      </w:pPr>
    </w:p>
    <w:p w14:paraId="1C9F231F" w14:textId="7F680200" w:rsidR="00D755B1" w:rsidRPr="00D04423" w:rsidRDefault="00F029E0"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lastRenderedPageBreak/>
        <w:t xml:space="preserve">Within 5 business days of the trustees appointment the trustee is required to publish a  summary of the court's decision to commence the preventive composition in two widely-read newspapers, one in English and one in Arabic inviting creditors to file claims within 20 business days from the date of publication. </w:t>
      </w:r>
    </w:p>
    <w:p w14:paraId="299E54EB" w14:textId="77777777" w:rsidR="00F029E0" w:rsidRPr="00D04423" w:rsidRDefault="00F029E0" w:rsidP="00F029E0">
      <w:pPr>
        <w:pStyle w:val="ListParagraph"/>
        <w:rPr>
          <w:rFonts w:ascii="Arial" w:hAnsi="Arial" w:cs="Arial"/>
          <w:sz w:val="22"/>
          <w:szCs w:val="22"/>
          <w:lang w:val="en-GB"/>
        </w:rPr>
      </w:pPr>
    </w:p>
    <w:p w14:paraId="5231E220" w14:textId="796B1430" w:rsidR="00D5127A" w:rsidRPr="00D04423" w:rsidRDefault="00F029E0" w:rsidP="00D04423">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Once the period for lodging claims has lapsed the trustee is to prepare a list of claimants and details of their claims and lodge the same with the court within 10 business days and to advertise the same. </w:t>
      </w:r>
      <w:r w:rsidR="00D5127A" w:rsidRPr="00D04423">
        <w:rPr>
          <w:rFonts w:ascii="Arial" w:hAnsi="Arial" w:cs="Arial"/>
          <w:sz w:val="22"/>
          <w:szCs w:val="22"/>
          <w:lang w:val="en-GB"/>
        </w:rPr>
        <w:t xml:space="preserve">The court then has 10 business days from the lodging of the list to determine whether this is accepted. </w:t>
      </w:r>
    </w:p>
    <w:p w14:paraId="2536D5DA" w14:textId="77777777" w:rsidR="00D5127A" w:rsidRPr="00D04423" w:rsidRDefault="00D5127A" w:rsidP="00D5127A">
      <w:pPr>
        <w:pStyle w:val="ListParagraph"/>
        <w:rPr>
          <w:rFonts w:ascii="Arial" w:hAnsi="Arial" w:cs="Arial"/>
          <w:sz w:val="22"/>
          <w:szCs w:val="22"/>
          <w:lang w:val="en-GB"/>
        </w:rPr>
      </w:pPr>
    </w:p>
    <w:p w14:paraId="54A05056" w14:textId="7B62AC5E" w:rsidR="00D5127A" w:rsidRPr="00D04423" w:rsidRDefault="00D5127A"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The Preventive Composition scheme must be submitted to the court within 45 business days of the publication of the decision initiative the preventive composition procedure</w:t>
      </w:r>
      <w:r w:rsidR="00A340FF" w:rsidRPr="00D04423">
        <w:rPr>
          <w:rFonts w:ascii="Arial" w:hAnsi="Arial" w:cs="Arial"/>
          <w:sz w:val="22"/>
          <w:szCs w:val="22"/>
          <w:lang w:val="en-GB"/>
        </w:rPr>
        <w:t xml:space="preserve"> – this can be extended by up to 20 days at the quired of the debtor or trustee. </w:t>
      </w:r>
    </w:p>
    <w:p w14:paraId="06AD383E" w14:textId="77777777" w:rsidR="00A340FF" w:rsidRPr="00D04423" w:rsidRDefault="00A340FF" w:rsidP="00A340FF">
      <w:pPr>
        <w:pStyle w:val="ListParagraph"/>
        <w:rPr>
          <w:rFonts w:ascii="Arial" w:hAnsi="Arial" w:cs="Arial"/>
          <w:sz w:val="22"/>
          <w:szCs w:val="22"/>
          <w:lang w:val="en-GB"/>
        </w:rPr>
      </w:pPr>
    </w:p>
    <w:p w14:paraId="137B926E" w14:textId="2EE11285" w:rsidR="00A340FF" w:rsidRPr="00D04423" w:rsidRDefault="00A340FF"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Within 10 business days the court is required to review the scheme and confirm that it takes account of the various </w:t>
      </w:r>
      <w:r w:rsidR="00D04423" w:rsidRPr="00D04423">
        <w:rPr>
          <w:rFonts w:ascii="Arial" w:hAnsi="Arial" w:cs="Arial"/>
          <w:sz w:val="22"/>
          <w:szCs w:val="22"/>
          <w:lang w:val="en-GB"/>
        </w:rPr>
        <w:t>creditors'</w:t>
      </w:r>
      <w:r w:rsidRPr="00D04423">
        <w:rPr>
          <w:rFonts w:ascii="Arial" w:hAnsi="Arial" w:cs="Arial"/>
          <w:sz w:val="22"/>
          <w:szCs w:val="22"/>
          <w:lang w:val="en-GB"/>
        </w:rPr>
        <w:t xml:space="preserve"> parties' interest. The creditor meeting </w:t>
      </w:r>
      <w:r w:rsidR="00D04423" w:rsidRPr="00D04423">
        <w:rPr>
          <w:rFonts w:ascii="Arial" w:hAnsi="Arial" w:cs="Arial"/>
          <w:sz w:val="22"/>
          <w:szCs w:val="22"/>
          <w:lang w:val="en-GB"/>
        </w:rPr>
        <w:t xml:space="preserve">directed by the court is to take place within 15 business days of the direction. </w:t>
      </w:r>
    </w:p>
    <w:p w14:paraId="491E6CCB" w14:textId="77777777" w:rsidR="00D04423" w:rsidRPr="00D04423" w:rsidRDefault="00D04423" w:rsidP="00D04423">
      <w:pPr>
        <w:pStyle w:val="ListParagraph"/>
        <w:rPr>
          <w:rFonts w:ascii="Arial" w:hAnsi="Arial" w:cs="Arial"/>
          <w:sz w:val="22"/>
          <w:szCs w:val="22"/>
          <w:lang w:val="en-GB"/>
        </w:rPr>
      </w:pPr>
    </w:p>
    <w:p w14:paraId="3F2D54E3" w14:textId="5C0720A0" w:rsidR="00D04423" w:rsidRPr="00D04423" w:rsidRDefault="00D04423" w:rsidP="00141861">
      <w:pPr>
        <w:pStyle w:val="ListParagraph"/>
        <w:numPr>
          <w:ilvl w:val="0"/>
          <w:numId w:val="37"/>
        </w:numPr>
        <w:jc w:val="both"/>
        <w:rPr>
          <w:rFonts w:ascii="Arial" w:hAnsi="Arial" w:cs="Arial"/>
          <w:sz w:val="22"/>
          <w:szCs w:val="22"/>
          <w:lang w:val="en-GB"/>
        </w:rPr>
      </w:pPr>
      <w:r w:rsidRPr="00D04423">
        <w:rPr>
          <w:rFonts w:ascii="Arial" w:hAnsi="Arial" w:cs="Arial"/>
          <w:sz w:val="22"/>
          <w:szCs w:val="22"/>
          <w:lang w:val="en-GB"/>
        </w:rPr>
        <w:t xml:space="preserve">Upon creditor approval the trustee then puts the scheme back before the court for their approval, within 3 business days. </w:t>
      </w:r>
    </w:p>
    <w:p w14:paraId="09AB0EEA" w14:textId="0267D757" w:rsidR="00AE7E49" w:rsidRDefault="00AE7E49" w:rsidP="00C76745">
      <w:pPr>
        <w:jc w:val="both"/>
        <w:rPr>
          <w:rFonts w:ascii="Arial" w:hAnsi="Arial" w:cs="Arial"/>
          <w:color w:val="808080" w:themeColor="background1" w:themeShade="80"/>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4DBB2753" w14:textId="0ADC5F6D" w:rsidR="009D3106" w:rsidRDefault="0026207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preventive composition is rejected by the creditors the court is required to make an order of the bankruptcy of the debtor and the liquidation of the BNE's assets pursuant to Art. 124.</w:t>
      </w:r>
    </w:p>
    <w:p w14:paraId="4345A1CD" w14:textId="1013AAC7" w:rsidR="00262077" w:rsidRDefault="00262077" w:rsidP="00C76745">
      <w:pPr>
        <w:jc w:val="both"/>
        <w:rPr>
          <w:rFonts w:ascii="Arial" w:hAnsi="Arial" w:cs="Arial"/>
          <w:color w:val="808080" w:themeColor="background1" w:themeShade="80"/>
          <w:sz w:val="22"/>
          <w:szCs w:val="22"/>
          <w:lang w:val="en-GB"/>
        </w:rPr>
      </w:pPr>
    </w:p>
    <w:p w14:paraId="5D8B4838" w14:textId="04692942" w:rsidR="00262077" w:rsidRDefault="00EC31C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 scheme fails and pursuant to the instigation of bankruptcy procedures following that failure the trustee appointed in connection with the Preventive Composition also terminates unless the trustee is also appointed as the bankruptcy trustee. </w:t>
      </w:r>
      <w:r w:rsidR="00C915A5">
        <w:rPr>
          <w:rFonts w:ascii="Arial" w:hAnsi="Arial" w:cs="Arial"/>
          <w:color w:val="808080" w:themeColor="background1" w:themeShade="80"/>
          <w:sz w:val="22"/>
          <w:szCs w:val="22"/>
          <w:lang w:val="en-GB"/>
        </w:rPr>
        <w:t xml:space="preserve">The appointment of the trustee is to be a person nominated by the debtor or from an enrolled member of the table of experts appointed by the Financial Restructuring Committee. The trustee can be a natural person or legal person (and up to three can be appointed jointly at any given time). </w:t>
      </w:r>
      <w:r w:rsidR="008F5EA9">
        <w:rPr>
          <w:rFonts w:ascii="Arial" w:hAnsi="Arial" w:cs="Arial"/>
          <w:color w:val="808080" w:themeColor="background1" w:themeShade="80"/>
          <w:sz w:val="22"/>
          <w:szCs w:val="22"/>
          <w:lang w:val="en-GB"/>
        </w:rPr>
        <w:t xml:space="preserve">The trustee cannot be a creditor so the shareholder holding the security, or any other creditor are not eligible, nor can the trustee be a party who has a prescribed commercial relationship with BNE over the previous two years. </w:t>
      </w:r>
    </w:p>
    <w:p w14:paraId="51608166" w14:textId="7E50F746" w:rsidR="008F5EA9" w:rsidRDefault="008F5EA9" w:rsidP="00C76745">
      <w:pPr>
        <w:jc w:val="both"/>
        <w:rPr>
          <w:rFonts w:ascii="Arial" w:hAnsi="Arial" w:cs="Arial"/>
          <w:color w:val="808080" w:themeColor="background1" w:themeShade="80"/>
          <w:sz w:val="22"/>
          <w:szCs w:val="22"/>
          <w:lang w:val="en-GB"/>
        </w:rPr>
      </w:pPr>
    </w:p>
    <w:p w14:paraId="1D55D1EF" w14:textId="289246EA" w:rsidR="008F5EA9" w:rsidRDefault="008F5EA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the bankruptcy order, the trustee is required to liquidate the debtor's assets via public auction, again with the necessary court supervision</w:t>
      </w:r>
      <w:r w:rsidR="002459BD">
        <w:rPr>
          <w:rFonts w:ascii="Arial" w:hAnsi="Arial" w:cs="Arial"/>
          <w:color w:val="808080" w:themeColor="background1" w:themeShade="80"/>
          <w:sz w:val="22"/>
          <w:szCs w:val="22"/>
          <w:lang w:val="en-GB"/>
        </w:rPr>
        <w:t xml:space="preserve"> and the trustee may request the sale is conducted over a longer period (up</w:t>
      </w:r>
      <w:r w:rsidR="00744A44">
        <w:rPr>
          <w:rFonts w:ascii="Arial" w:hAnsi="Arial" w:cs="Arial"/>
          <w:color w:val="808080" w:themeColor="background1" w:themeShade="80"/>
          <w:sz w:val="22"/>
          <w:szCs w:val="22"/>
          <w:lang w:val="en-GB"/>
        </w:rPr>
        <w:t xml:space="preserve"> </w:t>
      </w:r>
      <w:r w:rsidR="002459BD">
        <w:rPr>
          <w:rFonts w:ascii="Arial" w:hAnsi="Arial" w:cs="Arial"/>
          <w:color w:val="808080" w:themeColor="background1" w:themeShade="80"/>
          <w:sz w:val="22"/>
          <w:szCs w:val="22"/>
          <w:lang w:val="en-GB"/>
        </w:rPr>
        <w:t>to 6 months) where it would be in the public or creditor interest to do so – for example where a higher price can be obtained for an asset by delaying the sale. The shareholder holding security over the site will be paid in priority to all other claims</w:t>
      </w:r>
    </w:p>
    <w:p w14:paraId="064B571E" w14:textId="77777777" w:rsidR="008F5EA9" w:rsidRDefault="008F5EA9" w:rsidP="00C76745">
      <w:pPr>
        <w:jc w:val="both"/>
        <w:rPr>
          <w:rFonts w:ascii="Arial" w:hAnsi="Arial" w:cs="Arial"/>
          <w:color w:val="808080" w:themeColor="background1" w:themeShade="80"/>
          <w:sz w:val="22"/>
          <w:szCs w:val="22"/>
          <w:lang w:val="en-GB"/>
        </w:rPr>
      </w:pPr>
    </w:p>
    <w:p w14:paraId="032B34BD" w14:textId="7B89B6C3" w:rsidR="008F5EA9" w:rsidRDefault="008F5EA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connection with the staff wages that are unpaid these are paid in priority (up to three months) after court costs and trustee costs – excluding </w:t>
      </w:r>
      <w:r w:rsidR="002459BD">
        <w:rPr>
          <w:rFonts w:ascii="Arial" w:hAnsi="Arial" w:cs="Arial"/>
          <w:color w:val="808080" w:themeColor="background1" w:themeShade="80"/>
          <w:sz w:val="22"/>
          <w:szCs w:val="22"/>
          <w:lang w:val="en-GB"/>
        </w:rPr>
        <w:t xml:space="preserve">any other </w:t>
      </w:r>
      <w:r>
        <w:rPr>
          <w:rFonts w:ascii="Arial" w:hAnsi="Arial" w:cs="Arial"/>
          <w:color w:val="808080" w:themeColor="background1" w:themeShade="80"/>
          <w:sz w:val="22"/>
          <w:szCs w:val="22"/>
          <w:lang w:val="en-GB"/>
        </w:rPr>
        <w:t xml:space="preserve">secured creditors. </w:t>
      </w:r>
    </w:p>
    <w:p w14:paraId="6D35444F" w14:textId="2F8A7313" w:rsidR="002459BD" w:rsidRDefault="002459BD" w:rsidP="00C76745">
      <w:pPr>
        <w:jc w:val="both"/>
        <w:rPr>
          <w:rFonts w:ascii="Arial" w:hAnsi="Arial" w:cs="Arial"/>
          <w:color w:val="808080" w:themeColor="background1" w:themeShade="80"/>
          <w:sz w:val="22"/>
          <w:szCs w:val="22"/>
          <w:lang w:val="en-GB"/>
        </w:rPr>
      </w:pPr>
    </w:p>
    <w:p w14:paraId="6D6D7ACA" w14:textId="2377F4AD" w:rsidR="002459BD" w:rsidRDefault="002459B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BNE's assets are liquidated the court will grant an order concluding the liquidation</w:t>
      </w:r>
      <w:r w:rsidR="000E0A4D">
        <w:rPr>
          <w:rFonts w:ascii="Arial" w:hAnsi="Arial" w:cs="Arial"/>
          <w:color w:val="808080" w:themeColor="background1" w:themeShade="80"/>
          <w:sz w:val="22"/>
          <w:szCs w:val="22"/>
          <w:lang w:val="en-GB"/>
        </w:rPr>
        <w:t>.</w:t>
      </w:r>
    </w:p>
    <w:p w14:paraId="4CCA8315" w14:textId="77777777" w:rsidR="00262077" w:rsidRDefault="00262077" w:rsidP="00C76745">
      <w:pPr>
        <w:jc w:val="both"/>
        <w:rPr>
          <w:rFonts w:ascii="Arial" w:hAnsi="Arial" w:cs="Arial"/>
          <w:color w:val="808080" w:themeColor="background1" w:themeShade="80"/>
          <w:sz w:val="22"/>
          <w:szCs w:val="22"/>
          <w:lang w:val="en-GB"/>
        </w:rPr>
      </w:pPr>
    </w:p>
    <w:p w14:paraId="7C9491DB" w14:textId="77777777" w:rsidR="00262077" w:rsidRPr="00CA448F" w:rsidRDefault="00262077"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4462B235" w14:textId="4BF258A1" w:rsidR="009B0723" w:rsidRDefault="009B0723" w:rsidP="00C76745">
      <w:pPr>
        <w:autoSpaceDE w:val="0"/>
        <w:autoSpaceDN w:val="0"/>
        <w:adjustRightInd w:val="0"/>
        <w:jc w:val="both"/>
        <w:rPr>
          <w:rFonts w:ascii="Arial" w:hAnsi="Arial" w:cs="Arial"/>
          <w:color w:val="808080" w:themeColor="background1" w:themeShade="80"/>
          <w:sz w:val="22"/>
          <w:szCs w:val="22"/>
          <w:lang w:val="en-GB"/>
        </w:rPr>
      </w:pPr>
    </w:p>
    <w:p w14:paraId="2B3EF2C7" w14:textId="1ABF7876" w:rsidR="000E0A4D" w:rsidRDefault="000E0A4D" w:rsidP="00C76745">
      <w:pPr>
        <w:autoSpaceDE w:val="0"/>
        <w:autoSpaceDN w:val="0"/>
        <w:adjustRightInd w:val="0"/>
        <w:jc w:val="both"/>
        <w:rPr>
          <w:rFonts w:ascii="Arial" w:hAnsi="Arial" w:cs="Arial"/>
          <w:color w:val="808080" w:themeColor="background1" w:themeShade="80"/>
          <w:sz w:val="22"/>
          <w:szCs w:val="22"/>
          <w:lang w:val="en-GB"/>
        </w:rPr>
      </w:pPr>
    </w:p>
    <w:p w14:paraId="3E7CFD7E" w14:textId="573B9C97" w:rsidR="000E0A4D" w:rsidRPr="00787DCE" w:rsidRDefault="000E0A4D"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The DIFC law differs to the mainland law in that the DIFC Insolvency Law provides for winding up (Part 6). The DIFC registered company (BNE Limited) is subject to the provisions of the DIFC Law. Under this law the creditors can apply </w:t>
      </w:r>
      <w:r w:rsidR="008F255A" w:rsidRPr="00787DCE">
        <w:rPr>
          <w:rFonts w:ascii="Arial" w:hAnsi="Arial" w:cs="Arial"/>
          <w:sz w:val="22"/>
          <w:szCs w:val="22"/>
          <w:lang w:val="en-GB"/>
        </w:rPr>
        <w:t>for a</w:t>
      </w:r>
      <w:r w:rsidRPr="00787DCE">
        <w:rPr>
          <w:rFonts w:ascii="Arial" w:hAnsi="Arial" w:cs="Arial"/>
          <w:sz w:val="22"/>
          <w:szCs w:val="22"/>
          <w:lang w:val="en-GB"/>
        </w:rPr>
        <w:t xml:space="preserve"> winding up – here the court will order the winding up of the company where the court finds it just and equitable to do so or it </w:t>
      </w:r>
      <w:r w:rsidR="00EF31D2" w:rsidRPr="00787DCE">
        <w:rPr>
          <w:rFonts w:ascii="Arial" w:hAnsi="Arial" w:cs="Arial"/>
          <w:sz w:val="22"/>
          <w:szCs w:val="22"/>
          <w:lang w:val="en-GB"/>
        </w:rPr>
        <w:t xml:space="preserve">a CVA moratorium has ended without approval of an arrangement. </w:t>
      </w:r>
    </w:p>
    <w:p w14:paraId="3C4BCF66" w14:textId="2B9105AA" w:rsidR="00EF31D2" w:rsidRPr="00787DCE" w:rsidRDefault="00EF31D2" w:rsidP="00C76745">
      <w:pPr>
        <w:autoSpaceDE w:val="0"/>
        <w:autoSpaceDN w:val="0"/>
        <w:adjustRightInd w:val="0"/>
        <w:jc w:val="both"/>
        <w:rPr>
          <w:rFonts w:ascii="Arial" w:hAnsi="Arial" w:cs="Arial"/>
          <w:sz w:val="22"/>
          <w:szCs w:val="22"/>
          <w:lang w:val="en-GB"/>
        </w:rPr>
      </w:pPr>
    </w:p>
    <w:p w14:paraId="75931289" w14:textId="01994028" w:rsidR="00EF31D2" w:rsidRPr="00787DCE" w:rsidRDefault="00EF31D2"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In the above scenario the matter will likely be a </w:t>
      </w:r>
      <w:r w:rsidR="008F255A" w:rsidRPr="00787DCE">
        <w:rPr>
          <w:rFonts w:ascii="Arial" w:hAnsi="Arial" w:cs="Arial"/>
          <w:sz w:val="22"/>
          <w:szCs w:val="22"/>
          <w:lang w:val="en-GB"/>
        </w:rPr>
        <w:t>creditor</w:t>
      </w:r>
      <w:r w:rsidRPr="00787DCE">
        <w:rPr>
          <w:rFonts w:ascii="Arial" w:hAnsi="Arial" w:cs="Arial"/>
          <w:sz w:val="22"/>
          <w:szCs w:val="22"/>
          <w:lang w:val="en-GB"/>
        </w:rPr>
        <w:t xml:space="preserve"> winding up </w:t>
      </w:r>
      <w:r w:rsidR="008F255A" w:rsidRPr="00787DCE">
        <w:rPr>
          <w:rFonts w:ascii="Arial" w:hAnsi="Arial" w:cs="Arial"/>
          <w:sz w:val="22"/>
          <w:szCs w:val="22"/>
          <w:lang w:val="en-GB"/>
        </w:rPr>
        <w:t>that BNE Limited's creditors can instigate. Here the creditors can appoint a liquidation committee at the meeting of creditors to exercise the functions given to them pursuant to Art. 69 of the DIFC Insolvency Law.</w:t>
      </w:r>
    </w:p>
    <w:p w14:paraId="6F3EFF57" w14:textId="2988232D" w:rsidR="008F255A" w:rsidRPr="00787DCE" w:rsidRDefault="008F255A" w:rsidP="00C76745">
      <w:pPr>
        <w:autoSpaceDE w:val="0"/>
        <w:autoSpaceDN w:val="0"/>
        <w:adjustRightInd w:val="0"/>
        <w:jc w:val="both"/>
        <w:rPr>
          <w:rFonts w:ascii="Arial" w:hAnsi="Arial" w:cs="Arial"/>
          <w:sz w:val="22"/>
          <w:szCs w:val="22"/>
          <w:lang w:val="en-GB"/>
        </w:rPr>
      </w:pPr>
    </w:p>
    <w:p w14:paraId="66BA3D6D" w14:textId="2A85BB66" w:rsidR="008F255A" w:rsidRPr="00787DCE" w:rsidRDefault="008F255A"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Where BNE Limited is wound up an IP would be appointed pursuant to Part 10 of the law. The liquidator will tend to the affairs of BNE Limited and realise and distribute the assets of BNE Limited once these have been gathered. </w:t>
      </w:r>
    </w:p>
    <w:p w14:paraId="6773017B" w14:textId="5D00CFD8" w:rsidR="008F255A" w:rsidRPr="00787DCE" w:rsidRDefault="008F255A" w:rsidP="00C76745">
      <w:pPr>
        <w:autoSpaceDE w:val="0"/>
        <w:autoSpaceDN w:val="0"/>
        <w:adjustRightInd w:val="0"/>
        <w:jc w:val="both"/>
        <w:rPr>
          <w:rFonts w:ascii="Arial" w:hAnsi="Arial" w:cs="Arial"/>
          <w:sz w:val="22"/>
          <w:szCs w:val="22"/>
          <w:lang w:val="en-GB"/>
        </w:rPr>
      </w:pPr>
    </w:p>
    <w:p w14:paraId="03328370" w14:textId="66A84F05" w:rsidR="008F255A" w:rsidRPr="00787DCE" w:rsidRDefault="008F255A"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The liquidator would be responsible for creditor claims, </w:t>
      </w:r>
      <w:r w:rsidR="00DC11D1" w:rsidRPr="00787DCE">
        <w:rPr>
          <w:rFonts w:ascii="Arial" w:hAnsi="Arial" w:cs="Arial"/>
          <w:sz w:val="22"/>
          <w:szCs w:val="22"/>
          <w:lang w:val="en-GB"/>
        </w:rPr>
        <w:t xml:space="preserve">to prove and thereafter rank these claims. The creditors will require to submit claims for the amount sought to the liquidator under ref. 6.16. </w:t>
      </w:r>
      <w:r w:rsidR="00853C62" w:rsidRPr="00787DCE">
        <w:rPr>
          <w:rFonts w:ascii="Arial" w:hAnsi="Arial" w:cs="Arial"/>
          <w:sz w:val="22"/>
          <w:szCs w:val="22"/>
          <w:lang w:val="en-GB"/>
        </w:rPr>
        <w:t>0 this will take the form of a 'proof of debt' (also applicable to a creditor's winding up or members winding up). Where a debt cannot be determined, under Reg.6.25 the liquidator must estimate the value of the claim, including accounting for any set off between a company and a creditor</w:t>
      </w:r>
      <w:r w:rsidR="002A7A54" w:rsidRPr="00787DCE">
        <w:rPr>
          <w:rFonts w:ascii="Arial" w:hAnsi="Arial" w:cs="Arial"/>
          <w:sz w:val="22"/>
          <w:szCs w:val="22"/>
          <w:lang w:val="en-GB"/>
        </w:rPr>
        <w:t xml:space="preserve"> and can include any interest accrued by the creditors prior to the winding up commencing. The liquidator is also required to account for a creditor who can prove a future debt, as provided for under Reg. 6.2</w:t>
      </w:r>
      <w:r w:rsidR="00787DCE" w:rsidRPr="00787DCE">
        <w:rPr>
          <w:rFonts w:ascii="Arial" w:hAnsi="Arial" w:cs="Arial"/>
          <w:sz w:val="22"/>
          <w:szCs w:val="22"/>
          <w:lang w:val="en-GB"/>
        </w:rPr>
        <w:t xml:space="preserve">9. </w:t>
      </w:r>
    </w:p>
    <w:p w14:paraId="61EC59C4" w14:textId="5609B56D" w:rsidR="00787DCE" w:rsidRPr="00787DCE" w:rsidRDefault="00787DCE" w:rsidP="00C76745">
      <w:pPr>
        <w:autoSpaceDE w:val="0"/>
        <w:autoSpaceDN w:val="0"/>
        <w:adjustRightInd w:val="0"/>
        <w:jc w:val="both"/>
        <w:rPr>
          <w:rFonts w:ascii="Arial" w:hAnsi="Arial" w:cs="Arial"/>
          <w:sz w:val="22"/>
          <w:szCs w:val="22"/>
          <w:lang w:val="en-GB"/>
        </w:rPr>
      </w:pPr>
    </w:p>
    <w:p w14:paraId="4D82092A" w14:textId="46CB6A31" w:rsidR="00787DCE" w:rsidRPr="00787DCE" w:rsidRDefault="00787DCE"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Once the proofs of debt have been received and collated, the liquidator may thereafter require further information as necessary to determine and assess the claim. It is then for the liquidator to accept or reject (in whole or in part) any proofs for the purpose of determining what payments, if any, are to be made to each creditor.  If one of BNE Limited's creditors was unhappy with the determination, it has the right to appeal the decision within 21 days of receiving notice of the same. </w:t>
      </w:r>
    </w:p>
    <w:p w14:paraId="04B5B4D8" w14:textId="2480697F" w:rsidR="00787DCE" w:rsidRPr="00787DCE" w:rsidRDefault="00787DCE" w:rsidP="00C76745">
      <w:pPr>
        <w:autoSpaceDE w:val="0"/>
        <w:autoSpaceDN w:val="0"/>
        <w:adjustRightInd w:val="0"/>
        <w:jc w:val="both"/>
        <w:rPr>
          <w:rFonts w:ascii="Arial" w:hAnsi="Arial" w:cs="Arial"/>
          <w:sz w:val="22"/>
          <w:szCs w:val="22"/>
          <w:lang w:val="en-GB"/>
        </w:rPr>
      </w:pPr>
    </w:p>
    <w:p w14:paraId="6D5BE255" w14:textId="603826C0" w:rsidR="00787DCE" w:rsidRPr="00787DCE" w:rsidRDefault="00787DCE" w:rsidP="00C76745">
      <w:pPr>
        <w:autoSpaceDE w:val="0"/>
        <w:autoSpaceDN w:val="0"/>
        <w:adjustRightInd w:val="0"/>
        <w:jc w:val="both"/>
        <w:rPr>
          <w:rFonts w:ascii="Arial" w:hAnsi="Arial" w:cs="Arial"/>
          <w:sz w:val="22"/>
          <w:szCs w:val="22"/>
          <w:lang w:val="en-GB"/>
        </w:rPr>
      </w:pPr>
      <w:r w:rsidRPr="00787DCE">
        <w:rPr>
          <w:rFonts w:ascii="Arial" w:hAnsi="Arial" w:cs="Arial"/>
          <w:sz w:val="22"/>
          <w:szCs w:val="22"/>
          <w:lang w:val="en-GB"/>
        </w:rPr>
        <w:t xml:space="preserve">Any contracts that are partially performed, such as with the shareholder in the example highlighted in Q.4.2, are determined via the general law of liability and are not provided for via specific provisions in the DIFC Insolvency Law. </w:t>
      </w: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035BA70" w:rsidR="00241FA3" w:rsidRPr="009B4976" w:rsidRDefault="00B54067" w:rsidP="009B4976">
    <w:pPr>
      <w:pStyle w:val="Footer"/>
      <w:ind w:right="360"/>
      <w:rPr>
        <w:rFonts w:ascii="Arial" w:hAnsi="Arial" w:cs="Arial"/>
        <w:sz w:val="18"/>
        <w:szCs w:val="18"/>
        <w:lang w:val="en-GB"/>
      </w:rPr>
    </w:pPr>
    <w:r>
      <w:rPr>
        <w:rFonts w:ascii="Arial" w:hAnsi="Arial" w:cs="Arial"/>
        <w:sz w:val="18"/>
        <w:szCs w:val="18"/>
        <w:lang w:val="en-GB"/>
      </w:rPr>
      <w:t>202122-621</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7047A5"/>
    <w:multiLevelType w:val="hybridMultilevel"/>
    <w:tmpl w:val="05840192"/>
    <w:lvl w:ilvl="0" w:tplc="AF3AE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20740959">
    <w:abstractNumId w:val="27"/>
  </w:num>
  <w:num w:numId="2" w16cid:durableId="17417088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0880137">
    <w:abstractNumId w:val="32"/>
  </w:num>
  <w:num w:numId="4" w16cid:durableId="1257517586">
    <w:abstractNumId w:val="33"/>
  </w:num>
  <w:num w:numId="5" w16cid:durableId="268396304">
    <w:abstractNumId w:val="35"/>
  </w:num>
  <w:num w:numId="6" w16cid:durableId="1447969065">
    <w:abstractNumId w:val="8"/>
  </w:num>
  <w:num w:numId="7" w16cid:durableId="913007334">
    <w:abstractNumId w:val="34"/>
  </w:num>
  <w:num w:numId="8" w16cid:durableId="173039664">
    <w:abstractNumId w:val="6"/>
  </w:num>
  <w:num w:numId="9" w16cid:durableId="913080132">
    <w:abstractNumId w:val="7"/>
  </w:num>
  <w:num w:numId="10" w16cid:durableId="1305693659">
    <w:abstractNumId w:val="4"/>
  </w:num>
  <w:num w:numId="11" w16cid:durableId="1995334038">
    <w:abstractNumId w:val="18"/>
  </w:num>
  <w:num w:numId="12" w16cid:durableId="260846203">
    <w:abstractNumId w:val="14"/>
  </w:num>
  <w:num w:numId="13" w16cid:durableId="1721124281">
    <w:abstractNumId w:val="26"/>
  </w:num>
  <w:num w:numId="14" w16cid:durableId="1212768066">
    <w:abstractNumId w:val="20"/>
  </w:num>
  <w:num w:numId="15" w16cid:durableId="449207970">
    <w:abstractNumId w:val="31"/>
  </w:num>
  <w:num w:numId="16" w16cid:durableId="1248803718">
    <w:abstractNumId w:val="0"/>
  </w:num>
  <w:num w:numId="17" w16cid:durableId="897739120">
    <w:abstractNumId w:val="10"/>
  </w:num>
  <w:num w:numId="18" w16cid:durableId="1720282326">
    <w:abstractNumId w:val="17"/>
  </w:num>
  <w:num w:numId="19" w16cid:durableId="603341654">
    <w:abstractNumId w:val="22"/>
  </w:num>
  <w:num w:numId="20" w16cid:durableId="167840937">
    <w:abstractNumId w:val="21"/>
  </w:num>
  <w:num w:numId="21" w16cid:durableId="1581523190">
    <w:abstractNumId w:val="5"/>
  </w:num>
  <w:num w:numId="22" w16cid:durableId="1803578370">
    <w:abstractNumId w:val="25"/>
  </w:num>
  <w:num w:numId="23" w16cid:durableId="79177373">
    <w:abstractNumId w:val="3"/>
  </w:num>
  <w:num w:numId="24" w16cid:durableId="1302153632">
    <w:abstractNumId w:val="24"/>
  </w:num>
  <w:num w:numId="25" w16cid:durableId="598099513">
    <w:abstractNumId w:val="13"/>
  </w:num>
  <w:num w:numId="26" w16cid:durableId="492642146">
    <w:abstractNumId w:val="30"/>
  </w:num>
  <w:num w:numId="27" w16cid:durableId="1940789989">
    <w:abstractNumId w:val="11"/>
  </w:num>
  <w:num w:numId="28" w16cid:durableId="1379860662">
    <w:abstractNumId w:val="1"/>
  </w:num>
  <w:num w:numId="29" w16cid:durableId="277105504">
    <w:abstractNumId w:val="9"/>
  </w:num>
  <w:num w:numId="30" w16cid:durableId="1081870918">
    <w:abstractNumId w:val="23"/>
  </w:num>
  <w:num w:numId="31" w16cid:durableId="415594026">
    <w:abstractNumId w:val="19"/>
  </w:num>
  <w:num w:numId="32" w16cid:durableId="1351638389">
    <w:abstractNumId w:val="16"/>
  </w:num>
  <w:num w:numId="33" w16cid:durableId="2021934045">
    <w:abstractNumId w:val="2"/>
  </w:num>
  <w:num w:numId="34" w16cid:durableId="1375421282">
    <w:abstractNumId w:val="28"/>
  </w:num>
  <w:num w:numId="35" w16cid:durableId="1172648545">
    <w:abstractNumId w:val="29"/>
  </w:num>
  <w:num w:numId="36" w16cid:durableId="563375555">
    <w:abstractNumId w:val="12"/>
  </w:num>
  <w:num w:numId="37" w16cid:durableId="71508708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E0A4D"/>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1861"/>
    <w:rsid w:val="0014622C"/>
    <w:rsid w:val="00152348"/>
    <w:rsid w:val="0015456D"/>
    <w:rsid w:val="00155FA2"/>
    <w:rsid w:val="00156303"/>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9BD"/>
    <w:rsid w:val="00245EFB"/>
    <w:rsid w:val="0025386E"/>
    <w:rsid w:val="00262077"/>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A7A54"/>
    <w:rsid w:val="002B1C45"/>
    <w:rsid w:val="002C13C8"/>
    <w:rsid w:val="002C1EC5"/>
    <w:rsid w:val="002C2FDA"/>
    <w:rsid w:val="002C3547"/>
    <w:rsid w:val="002D0021"/>
    <w:rsid w:val="002D299D"/>
    <w:rsid w:val="002D3473"/>
    <w:rsid w:val="002F1671"/>
    <w:rsid w:val="002F1956"/>
    <w:rsid w:val="002F3440"/>
    <w:rsid w:val="002F75A3"/>
    <w:rsid w:val="00303C2F"/>
    <w:rsid w:val="00305E53"/>
    <w:rsid w:val="00307D85"/>
    <w:rsid w:val="003144EF"/>
    <w:rsid w:val="00314C8D"/>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2CBF"/>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527E"/>
    <w:rsid w:val="00477C72"/>
    <w:rsid w:val="00481D6B"/>
    <w:rsid w:val="00484B29"/>
    <w:rsid w:val="00491675"/>
    <w:rsid w:val="00493855"/>
    <w:rsid w:val="00495E79"/>
    <w:rsid w:val="0049613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1EEF"/>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3E8E"/>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37CA"/>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4483D"/>
    <w:rsid w:val="00651151"/>
    <w:rsid w:val="00653841"/>
    <w:rsid w:val="00654C2F"/>
    <w:rsid w:val="00657087"/>
    <w:rsid w:val="006639DB"/>
    <w:rsid w:val="006645D6"/>
    <w:rsid w:val="006661EF"/>
    <w:rsid w:val="00677AEB"/>
    <w:rsid w:val="00680EF2"/>
    <w:rsid w:val="00687A1D"/>
    <w:rsid w:val="00697EA1"/>
    <w:rsid w:val="006A0BFC"/>
    <w:rsid w:val="006A2646"/>
    <w:rsid w:val="006A6530"/>
    <w:rsid w:val="006B435A"/>
    <w:rsid w:val="006B4C64"/>
    <w:rsid w:val="006B503E"/>
    <w:rsid w:val="006C146A"/>
    <w:rsid w:val="006C4F6F"/>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44A44"/>
    <w:rsid w:val="007524A3"/>
    <w:rsid w:val="007566B8"/>
    <w:rsid w:val="007603F5"/>
    <w:rsid w:val="00764DB0"/>
    <w:rsid w:val="0076764D"/>
    <w:rsid w:val="007721EB"/>
    <w:rsid w:val="0077431E"/>
    <w:rsid w:val="0077498C"/>
    <w:rsid w:val="007809BC"/>
    <w:rsid w:val="00784128"/>
    <w:rsid w:val="00787BCC"/>
    <w:rsid w:val="00787DCE"/>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53C62"/>
    <w:rsid w:val="00867701"/>
    <w:rsid w:val="008723F3"/>
    <w:rsid w:val="00876F56"/>
    <w:rsid w:val="00881DE6"/>
    <w:rsid w:val="008837A6"/>
    <w:rsid w:val="0089145D"/>
    <w:rsid w:val="008A4DF2"/>
    <w:rsid w:val="008A6CFE"/>
    <w:rsid w:val="008B403D"/>
    <w:rsid w:val="008B5333"/>
    <w:rsid w:val="008B6223"/>
    <w:rsid w:val="008C2BD9"/>
    <w:rsid w:val="008C66E0"/>
    <w:rsid w:val="008D0ADD"/>
    <w:rsid w:val="008D1432"/>
    <w:rsid w:val="008E3339"/>
    <w:rsid w:val="008F20FC"/>
    <w:rsid w:val="008F255A"/>
    <w:rsid w:val="008F5EA9"/>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0FF"/>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013"/>
    <w:rsid w:val="00AD4BE8"/>
    <w:rsid w:val="00AD6545"/>
    <w:rsid w:val="00AE1A12"/>
    <w:rsid w:val="00AE7E49"/>
    <w:rsid w:val="00AF228E"/>
    <w:rsid w:val="00AF771B"/>
    <w:rsid w:val="00B007F7"/>
    <w:rsid w:val="00B016A8"/>
    <w:rsid w:val="00B14819"/>
    <w:rsid w:val="00B15E2F"/>
    <w:rsid w:val="00B17AA9"/>
    <w:rsid w:val="00B22A28"/>
    <w:rsid w:val="00B22E51"/>
    <w:rsid w:val="00B2589E"/>
    <w:rsid w:val="00B44713"/>
    <w:rsid w:val="00B44D86"/>
    <w:rsid w:val="00B46C4B"/>
    <w:rsid w:val="00B51B95"/>
    <w:rsid w:val="00B52047"/>
    <w:rsid w:val="00B54067"/>
    <w:rsid w:val="00B56103"/>
    <w:rsid w:val="00B64929"/>
    <w:rsid w:val="00B70471"/>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62BA"/>
    <w:rsid w:val="00C8712A"/>
    <w:rsid w:val="00C902C8"/>
    <w:rsid w:val="00C915A5"/>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4423"/>
    <w:rsid w:val="00D06723"/>
    <w:rsid w:val="00D148DC"/>
    <w:rsid w:val="00D17FDC"/>
    <w:rsid w:val="00D21D8C"/>
    <w:rsid w:val="00D41FDB"/>
    <w:rsid w:val="00D5127A"/>
    <w:rsid w:val="00D53719"/>
    <w:rsid w:val="00D63EFD"/>
    <w:rsid w:val="00D71148"/>
    <w:rsid w:val="00D755B1"/>
    <w:rsid w:val="00D75927"/>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11D1"/>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31C2"/>
    <w:rsid w:val="00EC441F"/>
    <w:rsid w:val="00EC4755"/>
    <w:rsid w:val="00ED0BC4"/>
    <w:rsid w:val="00ED447D"/>
    <w:rsid w:val="00EE0B41"/>
    <w:rsid w:val="00EE1E8B"/>
    <w:rsid w:val="00EE4971"/>
    <w:rsid w:val="00EE6CB0"/>
    <w:rsid w:val="00EF090E"/>
    <w:rsid w:val="00EF31D2"/>
    <w:rsid w:val="00EF5572"/>
    <w:rsid w:val="00F029E0"/>
    <w:rsid w:val="00F033DA"/>
    <w:rsid w:val="00F13691"/>
    <w:rsid w:val="00F13FB1"/>
    <w:rsid w:val="00F27CD8"/>
    <w:rsid w:val="00F30351"/>
    <w:rsid w:val="00F3323E"/>
    <w:rsid w:val="00F341F4"/>
    <w:rsid w:val="00F34F9D"/>
    <w:rsid w:val="00F35CCE"/>
    <w:rsid w:val="00F5524B"/>
    <w:rsid w:val="00F5620F"/>
    <w:rsid w:val="00F60538"/>
    <w:rsid w:val="00F61DD2"/>
    <w:rsid w:val="00F628A0"/>
    <w:rsid w:val="00F6552D"/>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044F"/>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Steven Balmer</cp:lastModifiedBy>
  <cp:revision>8</cp:revision>
  <cp:lastPrinted>2019-08-27T05:42:00Z</cp:lastPrinted>
  <dcterms:created xsi:type="dcterms:W3CDTF">2022-05-11T12:20:00Z</dcterms:created>
  <dcterms:modified xsi:type="dcterms:W3CDTF">2022-07-29T19:57:00Z</dcterms:modified>
</cp:coreProperties>
</file>