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a3"/>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a3"/>
        <w:ind w:left="426"/>
        <w:jc w:val="both"/>
        <w:rPr>
          <w:rFonts w:ascii="Arial" w:hAnsi="Arial" w:cs="Arial"/>
          <w:sz w:val="22"/>
          <w:szCs w:val="22"/>
          <w:lang w:val="en-GB"/>
        </w:rPr>
      </w:pPr>
    </w:p>
    <w:p w14:paraId="284B9BBE" w14:textId="18A26DD1" w:rsidR="005B79F4" w:rsidRPr="00D21F62" w:rsidRDefault="00D21F62" w:rsidP="003C4BCB">
      <w:pPr>
        <w:pStyle w:val="a3"/>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a3"/>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F17F49" w:rsidRDefault="00D21F62" w:rsidP="003C4BCB">
      <w:pPr>
        <w:pStyle w:val="a3"/>
        <w:numPr>
          <w:ilvl w:val="0"/>
          <w:numId w:val="2"/>
        </w:numPr>
        <w:ind w:left="426"/>
        <w:jc w:val="both"/>
        <w:rPr>
          <w:rFonts w:ascii="Arial" w:hAnsi="Arial" w:cs="Arial"/>
          <w:sz w:val="22"/>
          <w:szCs w:val="22"/>
          <w:highlight w:val="yellow"/>
          <w:lang w:val="en-GB"/>
        </w:rPr>
      </w:pPr>
      <w:r w:rsidRPr="00F17F49">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F17F49">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1139B7" w:rsidRDefault="006D217A" w:rsidP="006D217A">
      <w:pPr>
        <w:pStyle w:val="a3"/>
        <w:numPr>
          <w:ilvl w:val="0"/>
          <w:numId w:val="3"/>
        </w:numPr>
        <w:ind w:left="426"/>
        <w:jc w:val="both"/>
        <w:rPr>
          <w:rFonts w:ascii="Arial" w:hAnsi="Arial" w:cs="Arial"/>
          <w:iCs/>
          <w:sz w:val="22"/>
          <w:szCs w:val="22"/>
          <w:highlight w:val="yellow"/>
          <w:lang w:val="en-GB"/>
        </w:rPr>
      </w:pPr>
      <w:r w:rsidRPr="001139B7">
        <w:rPr>
          <w:rFonts w:ascii="Arial" w:hAnsi="Arial" w:cs="Arial"/>
          <w:iCs/>
          <w:sz w:val="22"/>
          <w:szCs w:val="22"/>
          <w:highlight w:val="yellow"/>
          <w:lang w:val="en-GB"/>
        </w:rPr>
        <w:t>False</w:t>
      </w:r>
      <w:r w:rsidR="00D21F62" w:rsidRPr="001139B7">
        <w:rPr>
          <w:rFonts w:ascii="Arial" w:hAnsi="Arial" w:cs="Arial"/>
          <w:iCs/>
          <w:sz w:val="22"/>
          <w:szCs w:val="22"/>
          <w:highlight w:val="yellow"/>
          <w:lang w:val="en-GB"/>
        </w:rPr>
        <w:t>.</w:t>
      </w:r>
      <w:r w:rsidRPr="001139B7">
        <w:rPr>
          <w:rFonts w:ascii="Arial" w:hAnsi="Arial" w:cs="Arial"/>
          <w:iCs/>
          <w:sz w:val="22"/>
          <w:szCs w:val="22"/>
          <w:highlight w:val="yellow"/>
          <w:lang w:val="en-GB"/>
        </w:rPr>
        <w:t xml:space="preserve"> </w:t>
      </w:r>
      <w:r w:rsidR="00D21F62" w:rsidRPr="001139B7">
        <w:rPr>
          <w:rFonts w:ascii="Arial" w:hAnsi="Arial" w:cs="Arial"/>
          <w:sz w:val="22"/>
          <w:szCs w:val="22"/>
          <w:highlight w:val="yellow"/>
          <w:lang w:val="en-GB"/>
        </w:rPr>
        <w:t>T</w:t>
      </w:r>
      <w:r w:rsidRPr="001139B7">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a3"/>
        <w:ind w:left="426"/>
        <w:jc w:val="both"/>
        <w:rPr>
          <w:rFonts w:ascii="Arial" w:hAnsi="Arial" w:cs="Arial"/>
          <w:iCs/>
          <w:sz w:val="22"/>
          <w:szCs w:val="22"/>
          <w:lang w:val="en-GB"/>
        </w:rPr>
      </w:pPr>
    </w:p>
    <w:p w14:paraId="41F30847" w14:textId="15ADA3FC"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a3"/>
        <w:ind w:left="426"/>
        <w:jc w:val="both"/>
        <w:rPr>
          <w:rFonts w:ascii="Arial" w:hAnsi="Arial" w:cs="Arial"/>
          <w:iCs/>
          <w:sz w:val="22"/>
          <w:szCs w:val="22"/>
          <w:lang w:val="en-GB"/>
        </w:rPr>
      </w:pPr>
    </w:p>
    <w:p w14:paraId="74C0E9B6" w14:textId="67EBDC94" w:rsidR="005B79F4" w:rsidRPr="005D2CD6" w:rsidRDefault="006D217A" w:rsidP="00D21F62">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a3"/>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7500DB" w:rsidRDefault="00D21F62" w:rsidP="003C4BCB">
      <w:pPr>
        <w:pStyle w:val="a3"/>
        <w:numPr>
          <w:ilvl w:val="0"/>
          <w:numId w:val="4"/>
        </w:numPr>
        <w:ind w:left="426"/>
        <w:jc w:val="both"/>
        <w:rPr>
          <w:rFonts w:ascii="Arial" w:hAnsi="Arial" w:cs="Arial"/>
          <w:sz w:val="22"/>
          <w:szCs w:val="22"/>
          <w:highlight w:val="yellow"/>
          <w:lang w:val="en-GB"/>
        </w:rPr>
      </w:pPr>
      <w:r w:rsidRPr="007500DB">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7500DB" w:rsidRDefault="00D21F62" w:rsidP="003C4BCB">
      <w:pPr>
        <w:pStyle w:val="a3"/>
        <w:numPr>
          <w:ilvl w:val="0"/>
          <w:numId w:val="4"/>
        </w:numPr>
        <w:ind w:left="426"/>
        <w:jc w:val="both"/>
        <w:rPr>
          <w:rFonts w:ascii="Arial" w:hAnsi="Arial" w:cs="Arial"/>
          <w:sz w:val="22"/>
          <w:szCs w:val="22"/>
          <w:lang w:val="en-GB"/>
        </w:rPr>
      </w:pPr>
      <w:r w:rsidRPr="007500DB">
        <w:rPr>
          <w:rFonts w:ascii="Arial" w:hAnsi="Arial" w:cs="Arial"/>
          <w:sz w:val="22"/>
          <w:szCs w:val="22"/>
          <w:lang w:val="en-GB"/>
        </w:rPr>
        <w:t>False. The EIR 2000 was considered a complete success to support cross-border insolvency cases and</w:t>
      </w:r>
      <w:r w:rsidR="00366415" w:rsidRPr="007500DB">
        <w:rPr>
          <w:rFonts w:ascii="Arial" w:hAnsi="Arial" w:cs="Arial"/>
          <w:sz w:val="22"/>
          <w:szCs w:val="22"/>
          <w:lang w:val="en-GB"/>
        </w:rPr>
        <w:t>,</w:t>
      </w:r>
      <w:r w:rsidRPr="007500DB">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a3"/>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Although the EIR Recast includes relevant and useful innovations, it has stuck with the framework of the </w:t>
      </w:r>
      <w:r w:rsidR="006F0106" w:rsidRPr="005D2CD6">
        <w:rPr>
          <w:rFonts w:ascii="Arial" w:hAnsi="Arial" w:cs="Arial"/>
          <w:sz w:val="22"/>
          <w:szCs w:val="22"/>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4B6A4B" w:rsidRDefault="00874240" w:rsidP="003C4BCB">
      <w:pPr>
        <w:pStyle w:val="a3"/>
        <w:numPr>
          <w:ilvl w:val="0"/>
          <w:numId w:val="5"/>
        </w:numPr>
        <w:ind w:left="426"/>
        <w:jc w:val="both"/>
        <w:rPr>
          <w:rFonts w:ascii="Arial" w:hAnsi="Arial" w:cs="Arial"/>
          <w:sz w:val="22"/>
          <w:szCs w:val="22"/>
          <w:highlight w:val="yellow"/>
          <w:lang w:val="en-GB"/>
        </w:rPr>
      </w:pPr>
      <w:r w:rsidRPr="004B6A4B">
        <w:rPr>
          <w:rFonts w:ascii="Arial" w:hAnsi="Arial" w:cs="Arial"/>
          <w:sz w:val="22"/>
          <w:szCs w:val="22"/>
          <w:highlight w:val="yellow"/>
          <w:lang w:val="en-GB"/>
        </w:rPr>
        <w:t xml:space="preserve">It is incorrect to say that the EIR Recast </w:t>
      </w:r>
      <w:r w:rsidR="006F0106" w:rsidRPr="004B6A4B">
        <w:rPr>
          <w:rFonts w:ascii="Arial" w:hAnsi="Arial" w:cs="Arial"/>
          <w:sz w:val="22"/>
          <w:szCs w:val="22"/>
          <w:highlight w:val="yellow"/>
          <w:lang w:val="en-GB"/>
        </w:rPr>
        <w:t xml:space="preserve">has not overhauled the </w:t>
      </w:r>
      <w:r w:rsidR="006F0106" w:rsidRPr="004B6A4B">
        <w:rPr>
          <w:rFonts w:ascii="Arial" w:hAnsi="Arial" w:cs="Arial"/>
          <w:i/>
          <w:iCs/>
          <w:sz w:val="22"/>
          <w:szCs w:val="22"/>
          <w:highlight w:val="yellow"/>
          <w:lang w:val="en-GB"/>
        </w:rPr>
        <w:t>status quo</w:t>
      </w:r>
      <w:r w:rsidR="006F0106" w:rsidRPr="004B6A4B">
        <w:rPr>
          <w:rFonts w:ascii="Arial" w:hAnsi="Arial" w:cs="Arial"/>
          <w:sz w:val="22"/>
          <w:szCs w:val="22"/>
          <w:highlight w:val="yellow"/>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1363CC" w:rsidRDefault="008E7371" w:rsidP="003C4BCB">
      <w:pPr>
        <w:pStyle w:val="a3"/>
        <w:numPr>
          <w:ilvl w:val="0"/>
          <w:numId w:val="6"/>
        </w:numPr>
        <w:ind w:left="426"/>
        <w:jc w:val="both"/>
        <w:rPr>
          <w:rFonts w:ascii="Arial" w:hAnsi="Arial" w:cs="Arial"/>
          <w:sz w:val="22"/>
          <w:szCs w:val="22"/>
          <w:highlight w:val="yellow"/>
          <w:lang w:val="en-GB"/>
        </w:rPr>
      </w:pPr>
      <w:r w:rsidRPr="001363CC">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1363CC"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A20289" w:rsidRDefault="00113E29" w:rsidP="00D509A5">
      <w:pPr>
        <w:pStyle w:val="a3"/>
        <w:numPr>
          <w:ilvl w:val="0"/>
          <w:numId w:val="7"/>
        </w:numPr>
        <w:ind w:left="426"/>
        <w:jc w:val="both"/>
        <w:rPr>
          <w:rFonts w:ascii="Arial" w:hAnsi="Arial" w:cs="Arial"/>
          <w:sz w:val="22"/>
          <w:szCs w:val="22"/>
          <w:highlight w:val="yellow"/>
          <w:lang w:val="en-GB"/>
        </w:rPr>
      </w:pPr>
      <w:r w:rsidRPr="00A20289">
        <w:rPr>
          <w:rFonts w:ascii="Arial" w:hAnsi="Arial" w:cs="Arial"/>
          <w:sz w:val="22"/>
          <w:szCs w:val="22"/>
          <w:highlight w:val="yellow"/>
          <w:lang w:val="en-GB"/>
        </w:rPr>
        <w:t xml:space="preserve">The </w:t>
      </w:r>
      <w:r w:rsidR="008E7371" w:rsidRPr="00A20289">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a3"/>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a3"/>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a3"/>
        <w:ind w:left="426"/>
        <w:jc w:val="both"/>
        <w:rPr>
          <w:rFonts w:ascii="Arial" w:hAnsi="Arial" w:cs="Arial"/>
          <w:sz w:val="22"/>
          <w:szCs w:val="22"/>
          <w:lang w:val="en-GB"/>
        </w:rPr>
      </w:pPr>
    </w:p>
    <w:p w14:paraId="7793DAFC" w14:textId="67E69AED" w:rsidR="00F814B4" w:rsidRPr="00303F66" w:rsidRDefault="0034705B" w:rsidP="003C4BCB">
      <w:pPr>
        <w:pStyle w:val="a3"/>
        <w:numPr>
          <w:ilvl w:val="0"/>
          <w:numId w:val="8"/>
        </w:numPr>
        <w:ind w:left="426"/>
        <w:jc w:val="both"/>
        <w:rPr>
          <w:rFonts w:ascii="Arial" w:hAnsi="Arial" w:cs="Arial"/>
          <w:sz w:val="22"/>
          <w:szCs w:val="22"/>
          <w:highlight w:val="yellow"/>
          <w:lang w:val="en-GB"/>
        </w:rPr>
      </w:pPr>
      <w:r w:rsidRPr="00303F66">
        <w:rPr>
          <w:rFonts w:ascii="Arial" w:hAnsi="Arial" w:cs="Arial"/>
          <w:sz w:val="22"/>
          <w:szCs w:val="22"/>
          <w:highlight w:val="yellow"/>
          <w:lang w:val="en-GB"/>
        </w:rPr>
        <w:t>“</w:t>
      </w:r>
      <w:r w:rsidR="00F814B4" w:rsidRPr="00303F66">
        <w:rPr>
          <w:rFonts w:ascii="Arial" w:hAnsi="Arial" w:cs="Arial"/>
          <w:sz w:val="22"/>
          <w:szCs w:val="22"/>
          <w:highlight w:val="yellow"/>
          <w:lang w:val="en-GB"/>
        </w:rPr>
        <w:t>Synthetic proceedings</w:t>
      </w:r>
      <w:r w:rsidRPr="00303F66">
        <w:rPr>
          <w:rFonts w:ascii="Arial" w:hAnsi="Arial" w:cs="Arial"/>
          <w:sz w:val="22"/>
          <w:szCs w:val="22"/>
          <w:highlight w:val="yellow"/>
          <w:lang w:val="en-GB"/>
        </w:rPr>
        <w:t>”</w:t>
      </w:r>
      <w:r w:rsidR="00F814B4" w:rsidRPr="00303F66">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a9"/>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a3"/>
        <w:ind w:left="426"/>
        <w:jc w:val="both"/>
        <w:rPr>
          <w:rFonts w:ascii="Arial" w:hAnsi="Arial" w:cs="Arial"/>
          <w:sz w:val="22"/>
          <w:szCs w:val="22"/>
          <w:lang w:val="en-GB"/>
        </w:rPr>
      </w:pPr>
    </w:p>
    <w:p w14:paraId="2C0C9375" w14:textId="74A9BBD3"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a3"/>
        <w:ind w:left="426"/>
        <w:jc w:val="both"/>
        <w:rPr>
          <w:rFonts w:ascii="Arial" w:hAnsi="Arial" w:cs="Arial"/>
          <w:sz w:val="22"/>
          <w:szCs w:val="22"/>
          <w:lang w:val="en-GB"/>
        </w:rPr>
      </w:pPr>
    </w:p>
    <w:p w14:paraId="7CF1BB8B" w14:textId="77777777" w:rsidR="00F814B4" w:rsidRPr="006D3DB1" w:rsidRDefault="00F814B4" w:rsidP="00F814B4">
      <w:pPr>
        <w:pStyle w:val="a3"/>
        <w:numPr>
          <w:ilvl w:val="0"/>
          <w:numId w:val="10"/>
        </w:numPr>
        <w:ind w:left="426"/>
        <w:jc w:val="both"/>
        <w:rPr>
          <w:rFonts w:ascii="Arial" w:hAnsi="Arial" w:cs="Arial"/>
          <w:sz w:val="22"/>
          <w:szCs w:val="22"/>
          <w:highlight w:val="yellow"/>
          <w:lang w:val="en-GB"/>
        </w:rPr>
      </w:pPr>
      <w:r w:rsidRPr="006D3DB1">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9364F7" w:rsidRDefault="00967219" w:rsidP="003C4BCB">
      <w:pPr>
        <w:pStyle w:val="a3"/>
        <w:numPr>
          <w:ilvl w:val="0"/>
          <w:numId w:val="9"/>
        </w:numPr>
        <w:ind w:left="426"/>
        <w:jc w:val="both"/>
        <w:rPr>
          <w:rFonts w:ascii="Arial" w:hAnsi="Arial" w:cs="Arial"/>
          <w:sz w:val="22"/>
          <w:szCs w:val="22"/>
          <w:lang w:val="en-GB"/>
        </w:rPr>
      </w:pPr>
      <w:r w:rsidRPr="009364F7">
        <w:rPr>
          <w:rFonts w:ascii="Arial" w:hAnsi="Arial" w:cs="Arial"/>
          <w:sz w:val="22"/>
          <w:szCs w:val="22"/>
          <w:lang w:val="en-GB"/>
        </w:rPr>
        <w:t xml:space="preserve">The </w:t>
      </w:r>
      <w:r w:rsidR="00375D11" w:rsidRPr="009364F7">
        <w:rPr>
          <w:rFonts w:ascii="Arial" w:hAnsi="Arial" w:cs="Arial"/>
          <w:sz w:val="22"/>
          <w:szCs w:val="22"/>
          <w:lang w:val="en-GB"/>
        </w:rPr>
        <w:t xml:space="preserve">insolvency practitioner will always succeed in his claim if he can clearly prove that under the </w:t>
      </w:r>
      <w:r w:rsidR="00375D11" w:rsidRPr="009364F7">
        <w:rPr>
          <w:rFonts w:ascii="Arial" w:hAnsi="Arial" w:cs="Arial"/>
          <w:i/>
          <w:sz w:val="22"/>
          <w:szCs w:val="22"/>
          <w:lang w:val="en-GB"/>
        </w:rPr>
        <w:t>lex concursus</w:t>
      </w:r>
      <w:r w:rsidR="00375D11" w:rsidRPr="009364F7">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9364F7" w:rsidRDefault="00375D11" w:rsidP="00375D11">
      <w:pPr>
        <w:pStyle w:val="a3"/>
        <w:numPr>
          <w:ilvl w:val="0"/>
          <w:numId w:val="9"/>
        </w:numPr>
        <w:ind w:left="426"/>
        <w:jc w:val="both"/>
        <w:rPr>
          <w:rFonts w:ascii="Arial" w:hAnsi="Arial" w:cs="Arial"/>
          <w:sz w:val="22"/>
          <w:szCs w:val="22"/>
          <w:highlight w:val="yellow"/>
          <w:lang w:val="en-GB"/>
        </w:rPr>
      </w:pPr>
      <w:r w:rsidRPr="009364F7">
        <w:rPr>
          <w:rFonts w:ascii="Arial" w:hAnsi="Arial" w:cs="Arial"/>
          <w:sz w:val="22"/>
          <w:szCs w:val="22"/>
          <w:highlight w:val="yellow"/>
          <w:lang w:val="en-GB"/>
        </w:rPr>
        <w:t xml:space="preserve">The contested transactions cannot be avoided if Lacroix SARL can prove that the </w:t>
      </w:r>
      <w:r w:rsidRPr="009364F7">
        <w:rPr>
          <w:rFonts w:ascii="Arial" w:hAnsi="Arial" w:cs="Arial"/>
          <w:i/>
          <w:sz w:val="22"/>
          <w:szCs w:val="22"/>
          <w:highlight w:val="yellow"/>
          <w:lang w:val="en-GB"/>
        </w:rPr>
        <w:t xml:space="preserve">lex </w:t>
      </w:r>
      <w:proofErr w:type="spellStart"/>
      <w:r w:rsidRPr="009364F7">
        <w:rPr>
          <w:rFonts w:ascii="Arial" w:hAnsi="Arial" w:cs="Arial"/>
          <w:i/>
          <w:sz w:val="22"/>
          <w:szCs w:val="22"/>
          <w:highlight w:val="yellow"/>
          <w:lang w:val="en-GB"/>
        </w:rPr>
        <w:t>causae</w:t>
      </w:r>
      <w:proofErr w:type="spellEnd"/>
      <w:r w:rsidRPr="009364F7">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a3"/>
        <w:ind w:left="426"/>
        <w:jc w:val="both"/>
        <w:rPr>
          <w:rFonts w:ascii="Arial" w:hAnsi="Arial" w:cs="Arial"/>
          <w:sz w:val="22"/>
          <w:szCs w:val="22"/>
          <w:lang w:val="en-GB"/>
        </w:rPr>
      </w:pPr>
    </w:p>
    <w:p w14:paraId="1A7B7775" w14:textId="4A1D42B1" w:rsidR="00375D11" w:rsidRPr="005D2CD6" w:rsidRDefault="00113E29" w:rsidP="00375D11">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a3"/>
        <w:ind w:left="426"/>
        <w:jc w:val="both"/>
        <w:rPr>
          <w:rFonts w:ascii="Arial" w:hAnsi="Arial" w:cs="Arial"/>
          <w:sz w:val="22"/>
          <w:szCs w:val="22"/>
          <w:lang w:val="en-GB"/>
        </w:rPr>
      </w:pPr>
    </w:p>
    <w:p w14:paraId="3BB4C572" w14:textId="0D9E3986" w:rsidR="00375D11" w:rsidRPr="005D2CD6" w:rsidRDefault="00375D11" w:rsidP="00375D11">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AC5D87" w:rsidRDefault="00FC48D8" w:rsidP="003C4BCB">
      <w:pPr>
        <w:pStyle w:val="a3"/>
        <w:numPr>
          <w:ilvl w:val="0"/>
          <w:numId w:val="11"/>
        </w:numPr>
        <w:ind w:left="426"/>
        <w:jc w:val="both"/>
        <w:rPr>
          <w:rFonts w:ascii="Arial" w:hAnsi="Arial" w:cs="Arial"/>
          <w:sz w:val="22"/>
          <w:szCs w:val="22"/>
          <w:highlight w:val="yellow"/>
          <w:lang w:val="en-GB"/>
        </w:rPr>
      </w:pPr>
      <w:r w:rsidRPr="00AC5D87">
        <w:rPr>
          <w:rFonts w:ascii="Arial" w:hAnsi="Arial" w:cs="Arial"/>
          <w:sz w:val="22"/>
          <w:szCs w:val="22"/>
          <w:highlight w:val="yellow"/>
          <w:lang w:val="en-GB"/>
        </w:rPr>
        <w:t xml:space="preserve">Within </w:t>
      </w:r>
      <w:r w:rsidR="006F2B12" w:rsidRPr="00AC5D87">
        <w:rPr>
          <w:rFonts w:ascii="Arial" w:hAnsi="Arial" w:cs="Arial"/>
          <w:sz w:val="22"/>
          <w:szCs w:val="22"/>
          <w:highlight w:val="yellow"/>
          <w:lang w:val="en-GB"/>
        </w:rPr>
        <w:t>one month</w:t>
      </w:r>
      <w:r w:rsidRPr="00AC5D87">
        <w:rPr>
          <w:rFonts w:ascii="Arial" w:hAnsi="Arial" w:cs="Arial"/>
          <w:sz w:val="22"/>
          <w:szCs w:val="22"/>
          <w:highlight w:val="yellow"/>
          <w:lang w:val="en-GB"/>
        </w:rPr>
        <w:t xml:space="preserve">, as stipulated in the applicable </w:t>
      </w:r>
      <w:r w:rsidRPr="00AC5D87">
        <w:rPr>
          <w:rFonts w:ascii="Arial" w:hAnsi="Arial" w:cs="Arial"/>
          <w:i/>
          <w:sz w:val="22"/>
          <w:szCs w:val="22"/>
          <w:highlight w:val="yellow"/>
          <w:lang w:val="en-GB"/>
        </w:rPr>
        <w:t xml:space="preserve">lex concursus </w:t>
      </w:r>
      <w:proofErr w:type="spellStart"/>
      <w:r w:rsidRPr="00AC5D87">
        <w:rPr>
          <w:rFonts w:ascii="Arial" w:hAnsi="Arial" w:cs="Arial"/>
          <w:i/>
          <w:sz w:val="22"/>
          <w:szCs w:val="22"/>
          <w:highlight w:val="yellow"/>
          <w:lang w:val="en-GB"/>
        </w:rPr>
        <w:t>secundarii</w:t>
      </w:r>
      <w:proofErr w:type="spellEnd"/>
      <w:r w:rsidRPr="00AC5D87">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 xml:space="preserve">This article introduces a legal regime for the avoidance of secondary insolvency proceedings, based on the </w:t>
      </w:r>
      <w:bookmarkStart w:id="0" w:name="_Hlk110175824"/>
      <w:r w:rsidR="0049649C" w:rsidRPr="005D2CD6">
        <w:rPr>
          <w:rFonts w:ascii="Arial" w:hAnsi="Arial" w:cs="Arial"/>
          <w:sz w:val="22"/>
          <w:szCs w:val="22"/>
          <w:lang w:val="en-GB"/>
        </w:rPr>
        <w:t>unilateral promise given by the main insolvency practitioner to local creditors that they will receive treatment ‘as if’ secondary proceedings had in fact been open</w:t>
      </w:r>
      <w:bookmarkEnd w:id="0"/>
      <w:r w:rsidR="0049649C" w:rsidRPr="005D2CD6">
        <w:rPr>
          <w:rFonts w:ascii="Arial" w:hAnsi="Arial" w:cs="Arial"/>
          <w:sz w:val="22"/>
          <w:szCs w:val="22"/>
          <w:lang w:val="en-GB"/>
        </w:rPr>
        <w:t>.’</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6D82C1DC" w:rsidR="00636C15" w:rsidRDefault="00C64F40"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w:t>
      </w:r>
      <w:bookmarkStart w:id="1" w:name="_Hlk110211253"/>
      <w:r>
        <w:rPr>
          <w:rFonts w:ascii="Arial" w:hAnsi="Arial" w:cs="Arial"/>
          <w:color w:val="7B7B7B" w:themeColor="accent3" w:themeShade="BF"/>
          <w:sz w:val="22"/>
          <w:szCs w:val="22"/>
        </w:rPr>
        <w:t xml:space="preserve">Synthetic </w:t>
      </w:r>
      <w:r w:rsidR="001F3023">
        <w:rPr>
          <w:rFonts w:ascii="Arial" w:hAnsi="Arial" w:cs="Arial"/>
          <w:color w:val="7B7B7B" w:themeColor="accent3" w:themeShade="BF"/>
          <w:sz w:val="22"/>
          <w:szCs w:val="22"/>
        </w:rPr>
        <w:t xml:space="preserve">secondary </w:t>
      </w:r>
      <w:r>
        <w:rPr>
          <w:rFonts w:ascii="Arial" w:hAnsi="Arial" w:cs="Arial"/>
          <w:color w:val="7B7B7B" w:themeColor="accent3" w:themeShade="BF"/>
          <w:sz w:val="22"/>
          <w:szCs w:val="22"/>
        </w:rPr>
        <w:t>proceedings</w:t>
      </w:r>
      <w:bookmarkEnd w:id="1"/>
      <w:r w:rsidR="0042495C">
        <w:rPr>
          <w:rFonts w:ascii="Arial" w:hAnsi="Arial" w:cs="Arial"/>
          <w:color w:val="7B7B7B" w:themeColor="accent3" w:themeShade="BF"/>
          <w:sz w:val="22"/>
          <w:szCs w:val="22"/>
        </w:rPr>
        <w:t xml:space="preserve"> (</w:t>
      </w:r>
      <w:bookmarkStart w:id="2" w:name="_Hlk110211301"/>
      <w:r w:rsidR="0042495C">
        <w:rPr>
          <w:rFonts w:ascii="Arial" w:hAnsi="Arial" w:cs="Arial"/>
          <w:color w:val="7B7B7B" w:themeColor="accent3" w:themeShade="BF"/>
          <w:sz w:val="22"/>
          <w:szCs w:val="22"/>
        </w:rPr>
        <w:t>EIR Recast Article 36(1)</w:t>
      </w:r>
      <w:bookmarkEnd w:id="2"/>
      <w:r w:rsidR="005C6814">
        <w:rPr>
          <w:rFonts w:ascii="Arial" w:hAnsi="Arial" w:cs="Arial"/>
          <w:color w:val="7B7B7B" w:themeColor="accent3" w:themeShade="BF"/>
          <w:sz w:val="22"/>
          <w:szCs w:val="22"/>
        </w:rPr>
        <w:t>)</w:t>
      </w:r>
    </w:p>
    <w:p w14:paraId="714EC9B1" w14:textId="635D751C" w:rsidR="008B3C81" w:rsidRPr="008B3C81" w:rsidRDefault="008B3C81" w:rsidP="00636C15">
      <w:pPr>
        <w:ind w:left="720" w:hanging="720"/>
        <w:jc w:val="both"/>
        <w:rPr>
          <w:rFonts w:ascii="Arial" w:eastAsiaTheme="minorEastAsia" w:hAnsi="Arial" w:cs="Arial"/>
          <w:sz w:val="22"/>
          <w:szCs w:val="22"/>
          <w:lang w:eastAsia="zh-TW"/>
        </w:rPr>
      </w:pPr>
      <w:r>
        <w:rPr>
          <w:rFonts w:ascii="Arial" w:eastAsiaTheme="minorEastAsia" w:hAnsi="Arial" w:cs="Arial" w:hint="eastAsia"/>
          <w:color w:val="7B7B7B" w:themeColor="accent3" w:themeShade="BF"/>
          <w:sz w:val="22"/>
          <w:szCs w:val="22"/>
          <w:lang w:eastAsia="zh-TW"/>
        </w:rPr>
        <w:t>S</w:t>
      </w:r>
      <w:r>
        <w:rPr>
          <w:rFonts w:ascii="Arial" w:eastAsiaTheme="minorEastAsia" w:hAnsi="Arial" w:cs="Arial"/>
          <w:color w:val="7B7B7B" w:themeColor="accent3" w:themeShade="BF"/>
          <w:sz w:val="22"/>
          <w:szCs w:val="22"/>
          <w:lang w:eastAsia="zh-TW"/>
        </w:rPr>
        <w:t xml:space="preserve">tatement 2: </w:t>
      </w:r>
      <w:r w:rsidR="005C6814">
        <w:rPr>
          <w:rFonts w:ascii="Arial" w:eastAsiaTheme="minorEastAsia" w:hAnsi="Arial" w:cs="Arial"/>
          <w:color w:val="7B7B7B" w:themeColor="accent3" w:themeShade="BF"/>
          <w:sz w:val="22"/>
          <w:szCs w:val="22"/>
          <w:lang w:eastAsia="zh-TW"/>
        </w:rPr>
        <w:t>Cooperation and communication between courts (EIR Recast Article 57)</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0C8279E0" w14:textId="77777777" w:rsidR="00B146BE" w:rsidRDefault="00B146BE"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3(1) provides that t</w:t>
      </w:r>
      <w:r w:rsidRPr="00B146BE">
        <w:rPr>
          <w:rFonts w:ascii="Arial" w:hAnsi="Arial" w:cs="Arial"/>
          <w:color w:val="7B7B7B" w:themeColor="accent3" w:themeShade="BF"/>
          <w:sz w:val="22"/>
          <w:szCs w:val="22"/>
          <w:lang w:val="en-GB"/>
        </w:rPr>
        <w:t>he courts of the Member State within the territory of which the centre</w:t>
      </w:r>
    </w:p>
    <w:p w14:paraId="022A0363" w14:textId="77777777" w:rsidR="00D06FB2" w:rsidRDefault="00B146BE" w:rsidP="00636C15">
      <w:pPr>
        <w:ind w:left="720" w:hanging="720"/>
        <w:jc w:val="both"/>
        <w:rPr>
          <w:rFonts w:ascii="Arial" w:hAnsi="Arial" w:cs="Arial"/>
          <w:color w:val="7B7B7B" w:themeColor="accent3" w:themeShade="BF"/>
          <w:sz w:val="22"/>
          <w:szCs w:val="22"/>
          <w:lang w:val="en-GB"/>
        </w:rPr>
      </w:pPr>
      <w:r w:rsidRPr="00B146BE">
        <w:rPr>
          <w:rFonts w:ascii="Arial" w:hAnsi="Arial" w:cs="Arial"/>
          <w:color w:val="7B7B7B" w:themeColor="accent3" w:themeShade="BF"/>
          <w:sz w:val="22"/>
          <w:szCs w:val="22"/>
          <w:lang w:val="en-GB"/>
        </w:rPr>
        <w:t>of the debtor's main interests</w:t>
      </w:r>
      <w:r w:rsidR="00D06FB2">
        <w:rPr>
          <w:rFonts w:ascii="Arial" w:hAnsi="Arial" w:cs="Arial"/>
          <w:color w:val="7B7B7B" w:themeColor="accent3" w:themeShade="BF"/>
          <w:sz w:val="22"/>
          <w:szCs w:val="22"/>
          <w:lang w:val="en-GB"/>
        </w:rPr>
        <w:t xml:space="preserve"> (“the COMI”)</w:t>
      </w:r>
      <w:r w:rsidRPr="00B146BE">
        <w:rPr>
          <w:rFonts w:ascii="Arial" w:hAnsi="Arial" w:cs="Arial"/>
          <w:color w:val="7B7B7B" w:themeColor="accent3" w:themeShade="BF"/>
          <w:sz w:val="22"/>
          <w:szCs w:val="22"/>
          <w:lang w:val="en-GB"/>
        </w:rPr>
        <w:t xml:space="preserve"> is situated shall have jurisdiction to open insolvency</w:t>
      </w:r>
    </w:p>
    <w:p w14:paraId="701EE3C4" w14:textId="5EFE7064" w:rsidR="00D06FB2" w:rsidRDefault="00B146BE" w:rsidP="00636C15">
      <w:pPr>
        <w:ind w:left="720" w:hanging="720"/>
        <w:jc w:val="both"/>
        <w:rPr>
          <w:rFonts w:ascii="Arial" w:hAnsi="Arial" w:cs="Arial"/>
          <w:color w:val="7B7B7B" w:themeColor="accent3" w:themeShade="BF"/>
          <w:sz w:val="22"/>
          <w:szCs w:val="22"/>
          <w:lang w:val="en-GB"/>
        </w:rPr>
      </w:pPr>
      <w:r w:rsidRPr="00B146BE">
        <w:rPr>
          <w:rFonts w:ascii="Arial" w:hAnsi="Arial" w:cs="Arial"/>
          <w:color w:val="7B7B7B" w:themeColor="accent3" w:themeShade="BF"/>
          <w:sz w:val="22"/>
          <w:szCs w:val="22"/>
          <w:lang w:val="en-GB"/>
        </w:rPr>
        <w:t>proceedings</w:t>
      </w:r>
      <w:r w:rsidR="00D06FB2">
        <w:rPr>
          <w:rFonts w:ascii="Arial" w:hAnsi="Arial" w:cs="Arial"/>
          <w:color w:val="7B7B7B" w:themeColor="accent3" w:themeShade="BF"/>
          <w:sz w:val="22"/>
          <w:szCs w:val="22"/>
          <w:lang w:val="en-GB"/>
        </w:rPr>
        <w:t xml:space="preserve"> </w:t>
      </w:r>
      <w:r w:rsidRPr="00B146BE">
        <w:rPr>
          <w:rFonts w:ascii="Arial" w:hAnsi="Arial" w:cs="Arial"/>
          <w:color w:val="7B7B7B" w:themeColor="accent3" w:themeShade="BF"/>
          <w:sz w:val="22"/>
          <w:szCs w:val="22"/>
          <w:lang w:val="en-GB"/>
        </w:rPr>
        <w:t xml:space="preserve">(‘main insolvency proceedings’). The </w:t>
      </w:r>
      <w:r w:rsidR="00D06FB2">
        <w:rPr>
          <w:rFonts w:ascii="Arial" w:hAnsi="Arial" w:cs="Arial"/>
          <w:color w:val="7B7B7B" w:themeColor="accent3" w:themeShade="BF"/>
          <w:sz w:val="22"/>
          <w:szCs w:val="22"/>
          <w:lang w:val="en-GB"/>
        </w:rPr>
        <w:t>COMI</w:t>
      </w:r>
      <w:r w:rsidRPr="00B146BE">
        <w:rPr>
          <w:rFonts w:ascii="Arial" w:hAnsi="Arial" w:cs="Arial"/>
          <w:color w:val="7B7B7B" w:themeColor="accent3" w:themeShade="BF"/>
          <w:sz w:val="22"/>
          <w:szCs w:val="22"/>
          <w:lang w:val="en-GB"/>
        </w:rPr>
        <w:t xml:space="preserve"> shall be the place</w:t>
      </w:r>
      <w:r>
        <w:rPr>
          <w:rFonts w:ascii="Arial" w:hAnsi="Arial" w:cs="Arial"/>
          <w:color w:val="7B7B7B" w:themeColor="accent3" w:themeShade="BF"/>
          <w:sz w:val="22"/>
          <w:szCs w:val="22"/>
          <w:lang w:val="en-GB"/>
        </w:rPr>
        <w:t xml:space="preserve"> </w:t>
      </w:r>
      <w:r w:rsidRPr="00B146BE">
        <w:rPr>
          <w:rFonts w:ascii="Arial" w:hAnsi="Arial" w:cs="Arial"/>
          <w:color w:val="7B7B7B" w:themeColor="accent3" w:themeShade="BF"/>
          <w:sz w:val="22"/>
          <w:szCs w:val="22"/>
          <w:lang w:val="en-GB"/>
        </w:rPr>
        <w:t>where the</w:t>
      </w:r>
      <w:r w:rsidR="00D06FB2">
        <w:rPr>
          <w:rFonts w:ascii="Arial" w:hAnsi="Arial" w:cs="Arial"/>
          <w:color w:val="7B7B7B" w:themeColor="accent3" w:themeShade="BF"/>
          <w:sz w:val="22"/>
          <w:szCs w:val="22"/>
          <w:lang w:val="en-GB"/>
        </w:rPr>
        <w:t xml:space="preserve"> debtor</w:t>
      </w:r>
    </w:p>
    <w:p w14:paraId="3CFCAAEC" w14:textId="77777777" w:rsidR="004E35F6" w:rsidRDefault="00D06FB2"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performs</w:t>
      </w:r>
      <w:r w:rsidR="00B146BE" w:rsidRPr="00B146BE">
        <w:rPr>
          <w:rFonts w:ascii="Arial" w:hAnsi="Arial" w:cs="Arial"/>
          <w:color w:val="7B7B7B" w:themeColor="accent3" w:themeShade="BF"/>
          <w:sz w:val="22"/>
          <w:szCs w:val="22"/>
          <w:lang w:val="en-GB"/>
        </w:rPr>
        <w:t xml:space="preserve"> the administration of its interests </w:t>
      </w:r>
      <w:r>
        <w:rPr>
          <w:rFonts w:ascii="Arial" w:hAnsi="Arial" w:cs="Arial"/>
          <w:color w:val="7B7B7B" w:themeColor="accent3" w:themeShade="BF"/>
          <w:sz w:val="22"/>
          <w:szCs w:val="22"/>
          <w:lang w:val="en-GB"/>
        </w:rPr>
        <w:t>regularly</w:t>
      </w:r>
      <w:r w:rsidR="00B146BE" w:rsidRPr="00B146BE">
        <w:rPr>
          <w:rFonts w:ascii="Arial" w:hAnsi="Arial" w:cs="Arial"/>
          <w:color w:val="7B7B7B" w:themeColor="accent3" w:themeShade="BF"/>
          <w:sz w:val="22"/>
          <w:szCs w:val="22"/>
          <w:lang w:val="en-GB"/>
        </w:rPr>
        <w:t>,</w:t>
      </w:r>
      <w:r w:rsidR="00B146BE" w:rsidRPr="00B146BE">
        <w:rPr>
          <w:rFonts w:ascii="Arial" w:hAnsi="Arial" w:cs="Arial"/>
          <w:color w:val="7B7B7B" w:themeColor="accent3" w:themeShade="BF"/>
          <w:sz w:val="22"/>
          <w:szCs w:val="22"/>
          <w:lang w:val="en-GB"/>
        </w:rPr>
        <w:t xml:space="preserve"> and </w:t>
      </w:r>
      <w:r w:rsidR="004E35F6">
        <w:rPr>
          <w:rFonts w:ascii="Arial" w:hAnsi="Arial" w:cs="Arial"/>
          <w:color w:val="7B7B7B" w:themeColor="accent3" w:themeShade="BF"/>
          <w:sz w:val="22"/>
          <w:szCs w:val="22"/>
          <w:lang w:val="en-GB"/>
        </w:rPr>
        <w:t>such place</w:t>
      </w:r>
      <w:r w:rsidR="00B146BE" w:rsidRPr="00B146BE">
        <w:rPr>
          <w:rFonts w:ascii="Arial" w:hAnsi="Arial" w:cs="Arial"/>
          <w:color w:val="7B7B7B" w:themeColor="accent3" w:themeShade="BF"/>
          <w:sz w:val="22"/>
          <w:szCs w:val="22"/>
          <w:lang w:val="en-GB"/>
        </w:rPr>
        <w:t xml:space="preserve"> is</w:t>
      </w:r>
      <w:r w:rsidR="004E35F6">
        <w:rPr>
          <w:rFonts w:ascii="Arial" w:hAnsi="Arial" w:cs="Arial"/>
          <w:color w:val="7B7B7B" w:themeColor="accent3" w:themeShade="BF"/>
          <w:sz w:val="22"/>
          <w:szCs w:val="22"/>
          <w:lang w:val="en-GB"/>
        </w:rPr>
        <w:t xml:space="preserve"> also</w:t>
      </w:r>
      <w:r>
        <w:rPr>
          <w:rFonts w:ascii="Arial" w:hAnsi="Arial" w:cs="Arial"/>
          <w:color w:val="7B7B7B" w:themeColor="accent3" w:themeShade="BF"/>
          <w:sz w:val="22"/>
          <w:szCs w:val="22"/>
          <w:lang w:val="en-GB"/>
        </w:rPr>
        <w:t xml:space="preserve"> </w:t>
      </w:r>
      <w:r w:rsidR="00B146BE" w:rsidRPr="00B146BE">
        <w:rPr>
          <w:rFonts w:ascii="Arial" w:hAnsi="Arial" w:cs="Arial"/>
          <w:color w:val="7B7B7B" w:themeColor="accent3" w:themeShade="BF"/>
          <w:sz w:val="22"/>
          <w:szCs w:val="22"/>
          <w:lang w:val="en-GB"/>
        </w:rPr>
        <w:t>ascertainable</w:t>
      </w:r>
      <w:r w:rsidR="00B146BE">
        <w:rPr>
          <w:rFonts w:ascii="Arial" w:hAnsi="Arial" w:cs="Arial"/>
          <w:color w:val="7B7B7B" w:themeColor="accent3" w:themeShade="BF"/>
          <w:sz w:val="22"/>
          <w:szCs w:val="22"/>
          <w:lang w:val="en-GB"/>
        </w:rPr>
        <w:t xml:space="preserve"> b</w:t>
      </w:r>
      <w:r w:rsidR="00B146BE" w:rsidRPr="00B146BE">
        <w:rPr>
          <w:rFonts w:ascii="Arial" w:hAnsi="Arial" w:cs="Arial"/>
          <w:color w:val="7B7B7B" w:themeColor="accent3" w:themeShade="BF"/>
          <w:sz w:val="22"/>
          <w:szCs w:val="22"/>
          <w:lang w:val="en-GB"/>
        </w:rPr>
        <w:t>y</w:t>
      </w:r>
    </w:p>
    <w:p w14:paraId="16675D5F" w14:textId="4435E44B" w:rsidR="00636C15" w:rsidRDefault="00B146BE" w:rsidP="00636C15">
      <w:pPr>
        <w:ind w:left="720" w:hanging="720"/>
        <w:jc w:val="both"/>
        <w:rPr>
          <w:rFonts w:ascii="Arial" w:hAnsi="Arial" w:cs="Arial"/>
          <w:color w:val="7B7B7B" w:themeColor="accent3" w:themeShade="BF"/>
          <w:sz w:val="22"/>
          <w:szCs w:val="22"/>
          <w:lang w:val="en-GB"/>
        </w:rPr>
      </w:pPr>
      <w:r w:rsidRPr="00B146BE">
        <w:rPr>
          <w:rFonts w:ascii="Arial" w:hAnsi="Arial" w:cs="Arial"/>
          <w:color w:val="7B7B7B" w:themeColor="accent3" w:themeShade="BF"/>
          <w:sz w:val="22"/>
          <w:szCs w:val="22"/>
          <w:lang w:val="en-GB"/>
        </w:rPr>
        <w:t>third parties.</w:t>
      </w:r>
    </w:p>
    <w:p w14:paraId="634AE086" w14:textId="77777777" w:rsidR="00B146BE" w:rsidRDefault="00B146BE" w:rsidP="00636C15">
      <w:pPr>
        <w:ind w:left="720" w:hanging="720"/>
        <w:jc w:val="both"/>
        <w:rPr>
          <w:rFonts w:ascii="Arial" w:eastAsiaTheme="minorEastAsia" w:hAnsi="Arial" w:cs="Arial"/>
          <w:color w:val="7B7B7B" w:themeColor="accent3" w:themeShade="BF"/>
          <w:sz w:val="22"/>
          <w:szCs w:val="22"/>
          <w:lang w:val="en-GB" w:eastAsia="zh-TW"/>
        </w:rPr>
      </w:pPr>
    </w:p>
    <w:p w14:paraId="2C3BAE17" w14:textId="77777777" w:rsidR="002A0011" w:rsidRDefault="00B146BE" w:rsidP="00636C15">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A</w:t>
      </w:r>
      <w:r>
        <w:rPr>
          <w:rFonts w:ascii="Arial" w:eastAsiaTheme="minorEastAsia" w:hAnsi="Arial" w:cs="Arial"/>
          <w:color w:val="7B7B7B" w:themeColor="accent3" w:themeShade="BF"/>
          <w:sz w:val="22"/>
          <w:szCs w:val="22"/>
          <w:lang w:val="en-GB" w:eastAsia="zh-TW"/>
        </w:rPr>
        <w:t xml:space="preserve">rticle 3(2) provides that </w:t>
      </w:r>
      <w:r w:rsidR="002A0011" w:rsidRPr="002A0011">
        <w:rPr>
          <w:rFonts w:ascii="Arial" w:eastAsiaTheme="minorEastAsia" w:hAnsi="Arial" w:cs="Arial"/>
          <w:color w:val="7B7B7B" w:themeColor="accent3" w:themeShade="BF"/>
          <w:sz w:val="22"/>
          <w:szCs w:val="22"/>
          <w:lang w:val="en-GB" w:eastAsia="zh-TW"/>
        </w:rPr>
        <w:t>the courts of another Member State shall have jurisdiction to open</w:t>
      </w:r>
    </w:p>
    <w:p w14:paraId="7EF0F657" w14:textId="77777777" w:rsidR="00D06FB2" w:rsidRDefault="002A0011" w:rsidP="00636C15">
      <w:pPr>
        <w:ind w:left="720" w:hanging="720"/>
        <w:jc w:val="both"/>
        <w:rPr>
          <w:rFonts w:ascii="Arial" w:eastAsiaTheme="minorEastAsia" w:hAnsi="Arial" w:cs="Arial"/>
          <w:color w:val="7B7B7B" w:themeColor="accent3" w:themeShade="BF"/>
          <w:sz w:val="22"/>
          <w:szCs w:val="22"/>
          <w:lang w:val="en-GB" w:eastAsia="zh-TW"/>
        </w:rPr>
      </w:pPr>
      <w:r w:rsidRPr="002A0011">
        <w:rPr>
          <w:rFonts w:ascii="Arial" w:eastAsiaTheme="minorEastAsia" w:hAnsi="Arial" w:cs="Arial"/>
          <w:color w:val="7B7B7B" w:themeColor="accent3" w:themeShade="BF"/>
          <w:sz w:val="22"/>
          <w:szCs w:val="22"/>
          <w:lang w:val="en-GB" w:eastAsia="zh-TW"/>
        </w:rPr>
        <w:t xml:space="preserve">insolvency proceedings only if </w:t>
      </w:r>
      <w:r w:rsidR="00D06FB2">
        <w:rPr>
          <w:rFonts w:ascii="Arial" w:eastAsiaTheme="minorEastAsia" w:hAnsi="Arial" w:cs="Arial"/>
          <w:color w:val="7B7B7B" w:themeColor="accent3" w:themeShade="BF"/>
          <w:sz w:val="22"/>
          <w:szCs w:val="22"/>
          <w:lang w:val="en-GB" w:eastAsia="zh-TW"/>
        </w:rPr>
        <w:t>the debtor has</w:t>
      </w:r>
      <w:r w:rsidRPr="002A0011">
        <w:rPr>
          <w:rFonts w:ascii="Arial" w:eastAsiaTheme="minorEastAsia" w:hAnsi="Arial" w:cs="Arial"/>
          <w:color w:val="7B7B7B" w:themeColor="accent3" w:themeShade="BF"/>
          <w:sz w:val="22"/>
          <w:szCs w:val="22"/>
          <w:lang w:val="en-GB" w:eastAsia="zh-TW"/>
        </w:rPr>
        <w:t xml:space="preserve"> an establishment within the</w:t>
      </w:r>
      <w:r w:rsidR="00D06FB2">
        <w:rPr>
          <w:rFonts w:ascii="Arial" w:eastAsiaTheme="minorEastAsia" w:hAnsi="Arial" w:cs="Arial"/>
          <w:color w:val="7B7B7B" w:themeColor="accent3" w:themeShade="BF"/>
          <w:sz w:val="22"/>
          <w:szCs w:val="22"/>
          <w:lang w:val="en-GB" w:eastAsia="zh-TW"/>
        </w:rPr>
        <w:t xml:space="preserve"> </w:t>
      </w:r>
      <w:r w:rsidRPr="002A0011">
        <w:rPr>
          <w:rFonts w:ascii="Arial" w:eastAsiaTheme="minorEastAsia" w:hAnsi="Arial" w:cs="Arial"/>
          <w:color w:val="7B7B7B" w:themeColor="accent3" w:themeShade="BF"/>
          <w:sz w:val="22"/>
          <w:szCs w:val="22"/>
          <w:lang w:val="en-GB" w:eastAsia="zh-TW"/>
        </w:rPr>
        <w:t>territory of that other</w:t>
      </w:r>
    </w:p>
    <w:p w14:paraId="7FC22BE5" w14:textId="0922D874" w:rsidR="00E5201C" w:rsidRDefault="002A0011" w:rsidP="00636C15">
      <w:pPr>
        <w:ind w:left="720" w:hanging="720"/>
        <w:jc w:val="both"/>
        <w:rPr>
          <w:rFonts w:ascii="Arial" w:eastAsiaTheme="minorEastAsia" w:hAnsi="Arial" w:cs="Arial"/>
          <w:color w:val="7B7B7B" w:themeColor="accent3" w:themeShade="BF"/>
          <w:sz w:val="22"/>
          <w:szCs w:val="22"/>
          <w:lang w:val="en-GB" w:eastAsia="zh-TW"/>
        </w:rPr>
      </w:pPr>
      <w:r w:rsidRPr="002A0011">
        <w:rPr>
          <w:rFonts w:ascii="Arial" w:eastAsiaTheme="minorEastAsia" w:hAnsi="Arial" w:cs="Arial"/>
          <w:color w:val="7B7B7B" w:themeColor="accent3" w:themeShade="BF"/>
          <w:sz w:val="22"/>
          <w:szCs w:val="22"/>
          <w:lang w:val="en-GB" w:eastAsia="zh-TW"/>
        </w:rPr>
        <w:t xml:space="preserve">Member State. The effects of those proceedings shall be </w:t>
      </w:r>
      <w:r w:rsidR="00E5201C">
        <w:rPr>
          <w:rFonts w:ascii="Arial" w:eastAsiaTheme="minorEastAsia" w:hAnsi="Arial" w:cs="Arial"/>
          <w:color w:val="7B7B7B" w:themeColor="accent3" w:themeShade="BF"/>
          <w:sz w:val="22"/>
          <w:szCs w:val="22"/>
          <w:lang w:val="en-GB" w:eastAsia="zh-TW"/>
        </w:rPr>
        <w:t>limit</w:t>
      </w:r>
      <w:r w:rsidRPr="002A0011">
        <w:rPr>
          <w:rFonts w:ascii="Arial" w:eastAsiaTheme="minorEastAsia" w:hAnsi="Arial" w:cs="Arial"/>
          <w:color w:val="7B7B7B" w:themeColor="accent3" w:themeShade="BF"/>
          <w:sz w:val="22"/>
          <w:szCs w:val="22"/>
          <w:lang w:val="en-GB" w:eastAsia="zh-TW"/>
        </w:rPr>
        <w:t>ed to the</w:t>
      </w:r>
      <w:r w:rsidR="00E5201C">
        <w:rPr>
          <w:rFonts w:ascii="Arial" w:eastAsiaTheme="minorEastAsia" w:hAnsi="Arial" w:cs="Arial"/>
          <w:color w:val="7B7B7B" w:themeColor="accent3" w:themeShade="BF"/>
          <w:sz w:val="22"/>
          <w:szCs w:val="22"/>
          <w:lang w:val="en-GB" w:eastAsia="zh-TW"/>
        </w:rPr>
        <w:t xml:space="preserve"> </w:t>
      </w:r>
      <w:r w:rsidRPr="002A0011">
        <w:rPr>
          <w:rFonts w:ascii="Arial" w:eastAsiaTheme="minorEastAsia" w:hAnsi="Arial" w:cs="Arial"/>
          <w:color w:val="7B7B7B" w:themeColor="accent3" w:themeShade="BF"/>
          <w:sz w:val="22"/>
          <w:szCs w:val="22"/>
          <w:lang w:val="en-GB" w:eastAsia="zh-TW"/>
        </w:rPr>
        <w:t>assets of the debtor</w:t>
      </w:r>
    </w:p>
    <w:p w14:paraId="623DA7F6" w14:textId="77777777" w:rsidR="00095776" w:rsidRDefault="002A0011" w:rsidP="00636C15">
      <w:pPr>
        <w:ind w:left="720" w:hanging="720"/>
        <w:jc w:val="both"/>
        <w:rPr>
          <w:rFonts w:ascii="Arial" w:eastAsiaTheme="minorEastAsia" w:hAnsi="Arial" w:cs="Arial"/>
          <w:color w:val="7B7B7B" w:themeColor="accent3" w:themeShade="BF"/>
          <w:sz w:val="22"/>
          <w:szCs w:val="22"/>
          <w:lang w:val="en-GB" w:eastAsia="zh-TW"/>
        </w:rPr>
      </w:pPr>
      <w:r w:rsidRPr="002A0011">
        <w:rPr>
          <w:rFonts w:ascii="Arial" w:eastAsiaTheme="minorEastAsia" w:hAnsi="Arial" w:cs="Arial"/>
          <w:color w:val="7B7B7B" w:themeColor="accent3" w:themeShade="BF"/>
          <w:sz w:val="22"/>
          <w:szCs w:val="22"/>
          <w:lang w:val="en-GB" w:eastAsia="zh-TW"/>
        </w:rPr>
        <w:t xml:space="preserve">situated in the territory of the </w:t>
      </w:r>
      <w:r w:rsidR="00E5201C">
        <w:rPr>
          <w:rFonts w:ascii="Arial" w:eastAsiaTheme="minorEastAsia" w:hAnsi="Arial" w:cs="Arial"/>
          <w:color w:val="7B7B7B" w:themeColor="accent3" w:themeShade="BF"/>
          <w:sz w:val="22"/>
          <w:szCs w:val="22"/>
          <w:lang w:val="en-GB" w:eastAsia="zh-TW"/>
        </w:rPr>
        <w:t>said</w:t>
      </w:r>
      <w:r w:rsidRPr="002A0011">
        <w:rPr>
          <w:rFonts w:ascii="Arial" w:eastAsiaTheme="minorEastAsia" w:hAnsi="Arial" w:cs="Arial"/>
          <w:color w:val="7B7B7B" w:themeColor="accent3" w:themeShade="BF"/>
          <w:sz w:val="22"/>
          <w:szCs w:val="22"/>
          <w:lang w:val="en-GB" w:eastAsia="zh-TW"/>
        </w:rPr>
        <w:t xml:space="preserve"> Member State.</w:t>
      </w:r>
      <w:r w:rsidR="00095776">
        <w:rPr>
          <w:rFonts w:ascii="Arial" w:eastAsiaTheme="minorEastAsia" w:hAnsi="Arial" w:cs="Arial"/>
          <w:color w:val="7B7B7B" w:themeColor="accent3" w:themeShade="BF"/>
          <w:sz w:val="22"/>
          <w:szCs w:val="22"/>
          <w:lang w:val="en-GB" w:eastAsia="zh-TW"/>
        </w:rPr>
        <w:t xml:space="preserve"> </w:t>
      </w:r>
    </w:p>
    <w:p w14:paraId="2114CDFC" w14:textId="77777777" w:rsidR="00095776" w:rsidRDefault="00095776" w:rsidP="00636C15">
      <w:pPr>
        <w:ind w:left="720" w:hanging="720"/>
        <w:jc w:val="both"/>
        <w:rPr>
          <w:rFonts w:ascii="Arial" w:eastAsiaTheme="minorEastAsia" w:hAnsi="Arial" w:cs="Arial"/>
          <w:color w:val="7B7B7B" w:themeColor="accent3" w:themeShade="BF"/>
          <w:sz w:val="22"/>
          <w:szCs w:val="22"/>
          <w:lang w:val="en-GB" w:eastAsia="zh-TW"/>
        </w:rPr>
      </w:pPr>
    </w:p>
    <w:p w14:paraId="2259D9A2" w14:textId="77777777" w:rsidR="00DF7507" w:rsidRDefault="00095776" w:rsidP="00636C15">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Article 19(2) provides that </w:t>
      </w:r>
      <w:r w:rsidR="00050F19">
        <w:rPr>
          <w:rFonts w:ascii="Arial" w:eastAsiaTheme="minorEastAsia" w:hAnsi="Arial" w:cs="Arial"/>
          <w:color w:val="7B7B7B" w:themeColor="accent3" w:themeShade="BF"/>
          <w:sz w:val="22"/>
          <w:szCs w:val="22"/>
          <w:lang w:val="en-GB" w:eastAsia="zh-TW"/>
        </w:rPr>
        <w:t>r</w:t>
      </w:r>
      <w:r w:rsidR="00050F19" w:rsidRPr="00050F19">
        <w:rPr>
          <w:rFonts w:ascii="Arial" w:eastAsiaTheme="minorEastAsia" w:hAnsi="Arial" w:cs="Arial"/>
          <w:color w:val="7B7B7B" w:themeColor="accent3" w:themeShade="BF"/>
          <w:sz w:val="22"/>
          <w:szCs w:val="22"/>
          <w:lang w:val="en-GB" w:eastAsia="zh-TW"/>
        </w:rPr>
        <w:t>ecognition of the</w:t>
      </w:r>
      <w:r w:rsidR="00050F19">
        <w:rPr>
          <w:rFonts w:ascii="Arial" w:eastAsiaTheme="minorEastAsia" w:hAnsi="Arial" w:cs="Arial"/>
          <w:color w:val="7B7B7B" w:themeColor="accent3" w:themeShade="BF"/>
          <w:sz w:val="22"/>
          <w:szCs w:val="22"/>
          <w:lang w:val="en-GB" w:eastAsia="zh-TW"/>
        </w:rPr>
        <w:t xml:space="preserve"> main insolvency</w:t>
      </w:r>
      <w:r w:rsidR="00050F19" w:rsidRPr="00050F19">
        <w:rPr>
          <w:rFonts w:ascii="Arial" w:eastAsiaTheme="minorEastAsia" w:hAnsi="Arial" w:cs="Arial"/>
          <w:color w:val="7B7B7B" w:themeColor="accent3" w:themeShade="BF"/>
          <w:sz w:val="22"/>
          <w:szCs w:val="22"/>
          <w:lang w:val="en-GB" w:eastAsia="zh-TW"/>
        </w:rPr>
        <w:t xml:space="preserve"> proceedings</w:t>
      </w:r>
      <w:r w:rsidR="00050F19">
        <w:rPr>
          <w:rFonts w:ascii="Arial" w:eastAsiaTheme="minorEastAsia" w:hAnsi="Arial" w:cs="Arial"/>
          <w:color w:val="7B7B7B" w:themeColor="accent3" w:themeShade="BF"/>
          <w:sz w:val="22"/>
          <w:szCs w:val="22"/>
          <w:lang w:val="en-GB" w:eastAsia="zh-TW"/>
        </w:rPr>
        <w:t xml:space="preserve"> by the courts in </w:t>
      </w:r>
      <w:r w:rsidR="00DF7507">
        <w:rPr>
          <w:rFonts w:ascii="Arial" w:eastAsiaTheme="minorEastAsia" w:hAnsi="Arial" w:cs="Arial"/>
          <w:color w:val="7B7B7B" w:themeColor="accent3" w:themeShade="BF"/>
          <w:sz w:val="22"/>
          <w:szCs w:val="22"/>
          <w:lang w:val="en-GB" w:eastAsia="zh-TW"/>
        </w:rPr>
        <w:t>all</w:t>
      </w:r>
    </w:p>
    <w:p w14:paraId="2EA02A1E" w14:textId="77777777" w:rsidR="00DF7507" w:rsidRDefault="00050F19" w:rsidP="00636C15">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other Member States</w:t>
      </w:r>
      <w:r w:rsidRPr="00050F19">
        <w:rPr>
          <w:rFonts w:ascii="Arial" w:eastAsiaTheme="minorEastAsia" w:hAnsi="Arial" w:cs="Arial"/>
          <w:color w:val="7B7B7B" w:themeColor="accent3" w:themeShade="BF"/>
          <w:sz w:val="22"/>
          <w:szCs w:val="22"/>
          <w:lang w:val="en-GB" w:eastAsia="zh-TW"/>
        </w:rPr>
        <w:t xml:space="preserve"> shall not preclude the opening of the </w:t>
      </w:r>
      <w:r>
        <w:rPr>
          <w:rFonts w:ascii="Arial" w:eastAsiaTheme="minorEastAsia" w:hAnsi="Arial" w:cs="Arial"/>
          <w:color w:val="7B7B7B" w:themeColor="accent3" w:themeShade="BF"/>
          <w:sz w:val="22"/>
          <w:szCs w:val="22"/>
          <w:lang w:val="en-GB" w:eastAsia="zh-TW"/>
        </w:rPr>
        <w:t xml:space="preserve">secondary insolvency </w:t>
      </w:r>
      <w:r w:rsidRPr="00050F19">
        <w:rPr>
          <w:rFonts w:ascii="Arial" w:eastAsiaTheme="minorEastAsia" w:hAnsi="Arial" w:cs="Arial"/>
          <w:color w:val="7B7B7B" w:themeColor="accent3" w:themeShade="BF"/>
          <w:sz w:val="22"/>
          <w:szCs w:val="22"/>
          <w:lang w:val="en-GB" w:eastAsia="zh-TW"/>
        </w:rPr>
        <w:t>proceedings</w:t>
      </w:r>
    </w:p>
    <w:p w14:paraId="22369EB7" w14:textId="517C96C4" w:rsidR="00B146BE" w:rsidRDefault="00050F19" w:rsidP="00636C15">
      <w:pPr>
        <w:ind w:left="720" w:hanging="720"/>
        <w:jc w:val="both"/>
        <w:rPr>
          <w:rFonts w:ascii="Arial" w:eastAsiaTheme="minorEastAsia" w:hAnsi="Arial" w:cs="Arial"/>
          <w:color w:val="7B7B7B" w:themeColor="accent3" w:themeShade="BF"/>
          <w:sz w:val="22"/>
          <w:szCs w:val="22"/>
          <w:lang w:val="en-GB" w:eastAsia="zh-TW"/>
        </w:rPr>
      </w:pPr>
      <w:r w:rsidRPr="00050F19">
        <w:rPr>
          <w:rFonts w:ascii="Arial" w:eastAsiaTheme="minorEastAsia" w:hAnsi="Arial" w:cs="Arial"/>
          <w:color w:val="7B7B7B" w:themeColor="accent3" w:themeShade="BF"/>
          <w:sz w:val="22"/>
          <w:szCs w:val="22"/>
          <w:lang w:val="en-GB" w:eastAsia="zh-TW"/>
        </w:rPr>
        <w:t>by a court in another Member State.</w:t>
      </w:r>
    </w:p>
    <w:p w14:paraId="1C123BED" w14:textId="0291BA95" w:rsidR="00AE5FD9" w:rsidRDefault="00AE5FD9" w:rsidP="00636C15">
      <w:pPr>
        <w:ind w:left="720" w:hanging="720"/>
        <w:jc w:val="both"/>
        <w:rPr>
          <w:rFonts w:ascii="Arial" w:eastAsiaTheme="minorEastAsia" w:hAnsi="Arial" w:cs="Arial"/>
          <w:color w:val="7B7B7B" w:themeColor="accent3" w:themeShade="BF"/>
          <w:sz w:val="22"/>
          <w:szCs w:val="22"/>
          <w:lang w:val="en-GB" w:eastAsia="zh-TW"/>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6479F44D" w14:textId="3DD5398E" w:rsidR="004558DD" w:rsidRDefault="00FD63BD" w:rsidP="002A37BB">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R</w:t>
      </w:r>
      <w:r w:rsidR="004558DD">
        <w:rPr>
          <w:rFonts w:ascii="Arial" w:eastAsiaTheme="minorEastAsia" w:hAnsi="Arial" w:cs="Arial"/>
          <w:color w:val="7B7B7B" w:themeColor="accent3" w:themeShade="BF"/>
          <w:sz w:val="22"/>
          <w:szCs w:val="22"/>
          <w:lang w:val="en-GB" w:eastAsia="zh-TW"/>
        </w:rPr>
        <w:t>ecital 50</w:t>
      </w:r>
    </w:p>
    <w:p w14:paraId="380DC2A5" w14:textId="72D6C03E" w:rsidR="00CA6ED5" w:rsidRPr="004558DD" w:rsidRDefault="00CA6ED5" w:rsidP="002A37BB">
      <w:pPr>
        <w:ind w:left="720" w:hanging="72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A</w:t>
      </w:r>
      <w:r>
        <w:rPr>
          <w:rFonts w:ascii="Arial" w:eastAsiaTheme="minorEastAsia" w:hAnsi="Arial" w:cs="Arial"/>
          <w:color w:val="7B7B7B" w:themeColor="accent3" w:themeShade="BF"/>
          <w:sz w:val="22"/>
          <w:szCs w:val="22"/>
          <w:lang w:val="en-GB" w:eastAsia="zh-TW"/>
        </w:rPr>
        <w:t>rticle 42(1)</w:t>
      </w:r>
    </w:p>
    <w:p w14:paraId="78DB9FD8" w14:textId="4FA76928" w:rsidR="00C72848" w:rsidRPr="005D2CD6" w:rsidRDefault="00D06EBD"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Article 57</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w:t>
      </w:r>
      <w:r w:rsidRPr="005D2CD6">
        <w:rPr>
          <w:rFonts w:ascii="Arial" w:hAnsi="Arial" w:cs="Arial"/>
          <w:sz w:val="22"/>
          <w:szCs w:val="22"/>
          <w:lang w:val="en-GB"/>
        </w:rPr>
        <w:lastRenderedPageBreak/>
        <w:t xml:space="preserve">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34C751F2" w14:textId="77777777" w:rsidR="00E6610C" w:rsidRDefault="00F82328" w:rsidP="00E6610C">
      <w:pPr>
        <w:pStyle w:val="a3"/>
        <w:numPr>
          <w:ilvl w:val="0"/>
          <w:numId w:val="12"/>
        </w:numPr>
        <w:jc w:val="both"/>
        <w:rPr>
          <w:rFonts w:ascii="Arial" w:hAnsi="Arial" w:cs="Arial"/>
          <w:color w:val="7B7B7B" w:themeColor="accent3" w:themeShade="BF"/>
          <w:sz w:val="22"/>
          <w:szCs w:val="22"/>
          <w:lang w:val="en-GB"/>
        </w:rPr>
      </w:pPr>
      <w:r w:rsidRPr="00F82328">
        <w:rPr>
          <w:rFonts w:ascii="Arial" w:hAnsi="Arial" w:cs="Arial"/>
          <w:color w:val="7B7B7B" w:themeColor="accent3" w:themeShade="BF"/>
          <w:sz w:val="22"/>
          <w:szCs w:val="22"/>
          <w:lang w:val="en-GB"/>
        </w:rPr>
        <w:t xml:space="preserve">As per </w:t>
      </w:r>
      <w:r w:rsidR="00AB1D57" w:rsidRPr="00F82328">
        <w:rPr>
          <w:rFonts w:ascii="Arial" w:hAnsi="Arial" w:cs="Arial"/>
          <w:color w:val="7B7B7B" w:themeColor="accent3" w:themeShade="BF"/>
          <w:sz w:val="22"/>
          <w:szCs w:val="22"/>
          <w:lang w:val="en-GB"/>
        </w:rPr>
        <w:t>EIR Recast Article 38(3)</w:t>
      </w:r>
      <w:r w:rsidRPr="00F82328">
        <w:rPr>
          <w:rFonts w:ascii="Arial" w:hAnsi="Arial" w:cs="Arial"/>
          <w:color w:val="7B7B7B" w:themeColor="accent3" w:themeShade="BF"/>
          <w:sz w:val="22"/>
          <w:szCs w:val="22"/>
          <w:lang w:val="en-GB"/>
        </w:rPr>
        <w:t>, i</w:t>
      </w:r>
      <w:r w:rsidRPr="00F82328">
        <w:rPr>
          <w:rFonts w:ascii="Arial" w:hAnsi="Arial" w:cs="Arial"/>
          <w:color w:val="7B7B7B" w:themeColor="accent3" w:themeShade="BF"/>
          <w:sz w:val="22"/>
          <w:szCs w:val="22"/>
          <w:lang w:val="en-GB"/>
        </w:rPr>
        <w:t>n order to allow for negotiations between the debtor and</w:t>
      </w:r>
    </w:p>
    <w:p w14:paraId="0CCDF5E0" w14:textId="661CEFE8" w:rsidR="00B2724A" w:rsidRPr="00E6610C" w:rsidRDefault="00F82328" w:rsidP="00E6610C">
      <w:pPr>
        <w:jc w:val="both"/>
        <w:rPr>
          <w:rFonts w:ascii="Arial" w:hAnsi="Arial" w:cs="Arial"/>
          <w:color w:val="7B7B7B" w:themeColor="accent3" w:themeShade="BF"/>
          <w:sz w:val="22"/>
          <w:szCs w:val="22"/>
          <w:lang w:val="en-GB"/>
        </w:rPr>
      </w:pPr>
      <w:r w:rsidRPr="00E6610C">
        <w:rPr>
          <w:rFonts w:ascii="Arial" w:hAnsi="Arial" w:cs="Arial"/>
          <w:color w:val="7B7B7B" w:themeColor="accent3" w:themeShade="BF"/>
          <w:sz w:val="22"/>
          <w:szCs w:val="22"/>
          <w:lang w:val="en-GB"/>
        </w:rPr>
        <w:t>creditors,</w:t>
      </w:r>
      <w:r w:rsidRPr="00E6610C">
        <w:rPr>
          <w:rFonts w:ascii="Arial" w:hAnsi="Arial" w:cs="Arial"/>
          <w:color w:val="7B7B7B" w:themeColor="accent3" w:themeShade="BF"/>
          <w:sz w:val="22"/>
          <w:szCs w:val="22"/>
          <w:lang w:val="en-GB"/>
        </w:rPr>
        <w:t xml:space="preserve"> </w:t>
      </w:r>
      <w:r w:rsidR="00504293" w:rsidRPr="00E6610C">
        <w:rPr>
          <w:rFonts w:ascii="Arial" w:hAnsi="Arial" w:cs="Arial"/>
          <w:color w:val="7B7B7B" w:themeColor="accent3" w:themeShade="BF"/>
          <w:sz w:val="22"/>
          <w:szCs w:val="22"/>
          <w:lang w:val="en-GB"/>
        </w:rPr>
        <w:t xml:space="preserve">individual </w:t>
      </w:r>
      <w:r w:rsidR="00AB1D57" w:rsidRPr="00E6610C">
        <w:rPr>
          <w:rFonts w:ascii="Arial" w:hAnsi="Arial" w:cs="Arial"/>
          <w:color w:val="7B7B7B" w:themeColor="accent3" w:themeShade="BF"/>
          <w:sz w:val="22"/>
          <w:szCs w:val="22"/>
          <w:lang w:val="en-GB"/>
        </w:rPr>
        <w:t>enforcement</w:t>
      </w:r>
      <w:r w:rsidRPr="00E6610C">
        <w:rPr>
          <w:rFonts w:ascii="Arial" w:hAnsi="Arial" w:cs="Arial"/>
          <w:color w:val="7B7B7B" w:themeColor="accent3" w:themeShade="BF"/>
          <w:sz w:val="22"/>
          <w:szCs w:val="22"/>
          <w:lang w:val="en-GB"/>
        </w:rPr>
        <w:t xml:space="preserve"> </w:t>
      </w:r>
      <w:r w:rsidR="00AB1D57" w:rsidRPr="00E6610C">
        <w:rPr>
          <w:rFonts w:ascii="Arial" w:hAnsi="Arial" w:cs="Arial"/>
          <w:color w:val="7B7B7B" w:themeColor="accent3" w:themeShade="BF"/>
          <w:sz w:val="22"/>
          <w:szCs w:val="22"/>
          <w:lang w:val="en-GB"/>
        </w:rPr>
        <w:t xml:space="preserve">proceedings </w:t>
      </w:r>
      <w:r w:rsidR="00B2724A" w:rsidRPr="00E6610C">
        <w:rPr>
          <w:rFonts w:ascii="Arial" w:hAnsi="Arial" w:cs="Arial"/>
          <w:color w:val="7B7B7B" w:themeColor="accent3" w:themeShade="BF"/>
          <w:sz w:val="22"/>
          <w:szCs w:val="22"/>
          <w:lang w:val="en-GB"/>
        </w:rPr>
        <w:t>have</w:t>
      </w:r>
      <w:r w:rsidR="00AB1D57" w:rsidRPr="00E6610C">
        <w:rPr>
          <w:rFonts w:ascii="Arial" w:hAnsi="Arial" w:cs="Arial"/>
          <w:color w:val="7B7B7B" w:themeColor="accent3" w:themeShade="BF"/>
          <w:sz w:val="22"/>
          <w:szCs w:val="22"/>
          <w:lang w:val="en-GB"/>
        </w:rPr>
        <w:t xml:space="preserve"> been </w:t>
      </w:r>
      <w:r w:rsidRPr="00E6610C">
        <w:rPr>
          <w:rFonts w:ascii="Arial" w:hAnsi="Arial" w:cs="Arial"/>
          <w:color w:val="7B7B7B" w:themeColor="accent3" w:themeShade="BF"/>
          <w:sz w:val="22"/>
          <w:szCs w:val="22"/>
          <w:lang w:val="en-GB"/>
        </w:rPr>
        <w:t>stayed temporarily</w:t>
      </w:r>
      <w:r w:rsidR="0036683D">
        <w:rPr>
          <w:rFonts w:ascii="Arial" w:hAnsi="Arial" w:cs="Arial"/>
          <w:color w:val="7B7B7B" w:themeColor="accent3" w:themeShade="BF"/>
          <w:sz w:val="22"/>
          <w:szCs w:val="22"/>
          <w:lang w:val="en-GB"/>
        </w:rPr>
        <w:t xml:space="preserve"> by the order of court</w:t>
      </w:r>
      <w:r w:rsidR="00504293" w:rsidRPr="00E6610C">
        <w:rPr>
          <w:rFonts w:ascii="Arial" w:hAnsi="Arial" w:cs="Arial"/>
          <w:color w:val="7B7B7B" w:themeColor="accent3" w:themeShade="BF"/>
          <w:sz w:val="22"/>
          <w:szCs w:val="22"/>
          <w:lang w:val="en-GB"/>
        </w:rPr>
        <w:t xml:space="preserve"> in the main insolvency proceeding</w:t>
      </w:r>
      <w:r w:rsidRPr="00E6610C">
        <w:rPr>
          <w:rFonts w:ascii="Arial" w:hAnsi="Arial" w:cs="Arial"/>
          <w:color w:val="7B7B7B" w:themeColor="accent3" w:themeShade="BF"/>
          <w:sz w:val="22"/>
          <w:szCs w:val="22"/>
          <w:lang w:val="en-GB"/>
        </w:rPr>
        <w:t xml:space="preserve">, </w:t>
      </w:r>
      <w:r w:rsidR="00504293" w:rsidRPr="00E6610C">
        <w:rPr>
          <w:rFonts w:ascii="Arial" w:hAnsi="Arial" w:cs="Arial"/>
          <w:color w:val="7B7B7B" w:themeColor="accent3" w:themeShade="BF"/>
          <w:sz w:val="22"/>
          <w:szCs w:val="22"/>
          <w:lang w:val="en-GB"/>
        </w:rPr>
        <w:t>at that time</w:t>
      </w:r>
      <w:r w:rsidR="00AB1D57" w:rsidRPr="00E6610C">
        <w:rPr>
          <w:rFonts w:ascii="Arial" w:hAnsi="Arial" w:cs="Arial"/>
          <w:color w:val="7B7B7B" w:themeColor="accent3" w:themeShade="BF"/>
          <w:sz w:val="22"/>
          <w:szCs w:val="22"/>
          <w:lang w:val="en-GB"/>
        </w:rPr>
        <w:t xml:space="preserve"> the court</w:t>
      </w:r>
      <w:r w:rsidR="00504293" w:rsidRPr="00E6610C">
        <w:rPr>
          <w:rFonts w:ascii="Arial" w:hAnsi="Arial" w:cs="Arial"/>
          <w:color w:val="7B7B7B" w:themeColor="accent3" w:themeShade="BF"/>
          <w:sz w:val="22"/>
          <w:szCs w:val="22"/>
          <w:lang w:val="en-GB"/>
        </w:rPr>
        <w:t xml:space="preserve"> took hold of the request of opening the secondary insolvency proceeding</w:t>
      </w:r>
      <w:r w:rsidR="00AB1D57" w:rsidRPr="00E6610C">
        <w:rPr>
          <w:rFonts w:ascii="Arial" w:hAnsi="Arial" w:cs="Arial"/>
          <w:color w:val="7B7B7B" w:themeColor="accent3" w:themeShade="BF"/>
          <w:sz w:val="22"/>
          <w:szCs w:val="22"/>
          <w:lang w:val="en-GB"/>
        </w:rPr>
        <w:t xml:space="preserve">, at the request of the insolvency practitioner or the debtor in possession, may stay the opening of secondary insolvency proceedings for a period not </w:t>
      </w:r>
      <w:r w:rsidR="00E81070">
        <w:rPr>
          <w:rFonts w:ascii="Arial" w:hAnsi="Arial" w:cs="Arial"/>
          <w:color w:val="7B7B7B" w:themeColor="accent3" w:themeShade="BF"/>
          <w:sz w:val="22"/>
          <w:szCs w:val="22"/>
          <w:lang w:val="en-GB"/>
        </w:rPr>
        <w:t>more than</w:t>
      </w:r>
      <w:r w:rsidR="00AB1D57" w:rsidRPr="00E6610C">
        <w:rPr>
          <w:rFonts w:ascii="Arial" w:hAnsi="Arial" w:cs="Arial"/>
          <w:color w:val="7B7B7B" w:themeColor="accent3" w:themeShade="BF"/>
          <w:sz w:val="22"/>
          <w:szCs w:val="22"/>
          <w:lang w:val="en-GB"/>
        </w:rPr>
        <w:t xml:space="preserve"> 3 months, provided </w:t>
      </w:r>
      <w:r w:rsidR="00E81070">
        <w:rPr>
          <w:rFonts w:ascii="Arial" w:hAnsi="Arial" w:cs="Arial"/>
          <w:color w:val="7B7B7B" w:themeColor="accent3" w:themeShade="BF"/>
          <w:sz w:val="22"/>
          <w:szCs w:val="22"/>
          <w:lang w:val="en-GB"/>
        </w:rPr>
        <w:t>there are</w:t>
      </w:r>
      <w:r w:rsidR="00AB1D57" w:rsidRPr="00E6610C">
        <w:rPr>
          <w:rFonts w:ascii="Arial" w:hAnsi="Arial" w:cs="Arial"/>
          <w:color w:val="7B7B7B" w:themeColor="accent3" w:themeShade="BF"/>
          <w:sz w:val="22"/>
          <w:szCs w:val="22"/>
          <w:lang w:val="en-GB"/>
        </w:rPr>
        <w:t xml:space="preserve"> </w:t>
      </w:r>
      <w:r w:rsidR="00E81070">
        <w:rPr>
          <w:rFonts w:ascii="Arial" w:hAnsi="Arial" w:cs="Arial"/>
          <w:color w:val="7B7B7B" w:themeColor="accent3" w:themeShade="BF"/>
          <w:sz w:val="22"/>
          <w:szCs w:val="22"/>
          <w:lang w:val="en-GB"/>
        </w:rPr>
        <w:t>appropriate</w:t>
      </w:r>
      <w:r w:rsidR="00AB1D57" w:rsidRPr="00E6610C">
        <w:rPr>
          <w:rFonts w:ascii="Arial" w:hAnsi="Arial" w:cs="Arial"/>
          <w:color w:val="7B7B7B" w:themeColor="accent3" w:themeShade="BF"/>
          <w:sz w:val="22"/>
          <w:szCs w:val="22"/>
          <w:lang w:val="en-GB"/>
        </w:rPr>
        <w:t xml:space="preserve"> measures </w:t>
      </w:r>
      <w:r w:rsidR="00E81070">
        <w:rPr>
          <w:rFonts w:ascii="Arial" w:hAnsi="Arial" w:cs="Arial"/>
          <w:color w:val="7B7B7B" w:themeColor="accent3" w:themeShade="BF"/>
          <w:sz w:val="22"/>
          <w:szCs w:val="22"/>
          <w:lang w:val="en-GB"/>
        </w:rPr>
        <w:t xml:space="preserve">for the protection of </w:t>
      </w:r>
      <w:r w:rsidR="00AB1D57" w:rsidRPr="00E6610C">
        <w:rPr>
          <w:rFonts w:ascii="Arial" w:hAnsi="Arial" w:cs="Arial"/>
          <w:color w:val="7B7B7B" w:themeColor="accent3" w:themeShade="BF"/>
          <w:sz w:val="22"/>
          <w:szCs w:val="22"/>
          <w:lang w:val="en-GB"/>
        </w:rPr>
        <w:t>local creditors</w:t>
      </w:r>
      <w:r w:rsidR="00E81070">
        <w:rPr>
          <w:rFonts w:ascii="Arial" w:hAnsi="Arial" w:cs="Arial"/>
          <w:color w:val="7B7B7B" w:themeColor="accent3" w:themeShade="BF"/>
          <w:sz w:val="22"/>
          <w:szCs w:val="22"/>
          <w:lang w:val="en-GB"/>
        </w:rPr>
        <w:t>’ interest</w:t>
      </w:r>
      <w:r w:rsidR="00AB1D57" w:rsidRPr="00E6610C">
        <w:rPr>
          <w:rFonts w:ascii="Arial" w:hAnsi="Arial" w:cs="Arial"/>
          <w:color w:val="7B7B7B" w:themeColor="accent3" w:themeShade="BF"/>
          <w:sz w:val="22"/>
          <w:szCs w:val="22"/>
          <w:lang w:val="en-GB"/>
        </w:rPr>
        <w:t>.</w:t>
      </w:r>
    </w:p>
    <w:p w14:paraId="42930C5F" w14:textId="77777777" w:rsidR="00B2724A" w:rsidRDefault="00B2724A" w:rsidP="00B2724A">
      <w:pPr>
        <w:jc w:val="both"/>
        <w:rPr>
          <w:rFonts w:ascii="Arial" w:hAnsi="Arial" w:cs="Arial"/>
          <w:color w:val="7B7B7B" w:themeColor="accent3" w:themeShade="BF"/>
          <w:sz w:val="22"/>
          <w:szCs w:val="22"/>
          <w:lang w:val="en-GB"/>
        </w:rPr>
      </w:pPr>
    </w:p>
    <w:p w14:paraId="6ACEC0C3" w14:textId="607F496E" w:rsidR="00B2724A" w:rsidRDefault="004261F5" w:rsidP="00B2724A">
      <w:pPr>
        <w:pStyle w:val="a3"/>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w:t>
      </w:r>
      <w:r w:rsidR="006A3938" w:rsidRPr="00B2724A">
        <w:rPr>
          <w:rFonts w:ascii="Arial" w:hAnsi="Arial" w:cs="Arial"/>
          <w:color w:val="7B7B7B" w:themeColor="accent3" w:themeShade="BF"/>
          <w:sz w:val="22"/>
          <w:szCs w:val="22"/>
          <w:lang w:val="en-GB"/>
        </w:rPr>
        <w:t>EIR Recast Article 36(1)</w:t>
      </w:r>
      <w:r>
        <w:rPr>
          <w:rFonts w:ascii="Arial" w:hAnsi="Arial" w:cs="Arial"/>
          <w:color w:val="7B7B7B" w:themeColor="accent3" w:themeShade="BF"/>
          <w:sz w:val="22"/>
          <w:szCs w:val="22"/>
          <w:lang w:val="en-GB"/>
        </w:rPr>
        <w:t xml:space="preserve">, </w:t>
      </w:r>
      <w:bookmarkStart w:id="3" w:name="_Hlk110211362"/>
      <w:r>
        <w:rPr>
          <w:rFonts w:ascii="Arial" w:hAnsi="Arial" w:cs="Arial"/>
          <w:color w:val="7B7B7B" w:themeColor="accent3" w:themeShade="BF"/>
          <w:sz w:val="22"/>
          <w:szCs w:val="22"/>
          <w:lang w:val="en-GB"/>
        </w:rPr>
        <w:t>main insolvency practitioner may offer</w:t>
      </w:r>
      <w:r w:rsidR="00571F87" w:rsidRPr="00B2724A">
        <w:rPr>
          <w:rFonts w:ascii="Arial" w:hAnsi="Arial" w:cs="Arial"/>
          <w:color w:val="7B7B7B" w:themeColor="accent3" w:themeShade="BF"/>
          <w:sz w:val="22"/>
          <w:szCs w:val="22"/>
          <w:lang w:val="en-GB"/>
        </w:rPr>
        <w:t xml:space="preserve"> </w:t>
      </w:r>
      <w:r w:rsidR="006A3938" w:rsidRPr="00B2724A">
        <w:rPr>
          <w:rFonts w:ascii="Arial" w:hAnsi="Arial" w:cs="Arial"/>
          <w:color w:val="7B7B7B" w:themeColor="accent3" w:themeShade="BF"/>
          <w:sz w:val="22"/>
          <w:szCs w:val="22"/>
          <w:lang w:val="en-GB"/>
        </w:rPr>
        <w:t>unilateral promise</w:t>
      </w:r>
    </w:p>
    <w:p w14:paraId="44317D73" w14:textId="771F3FE0" w:rsidR="00AB1D57" w:rsidRDefault="004261F5" w:rsidP="004261F5">
      <w:pPr>
        <w:jc w:val="both"/>
        <w:rPr>
          <w:rFonts w:ascii="Arial" w:eastAsiaTheme="minorEastAsia" w:hAnsi="Arial" w:cs="Arial"/>
          <w:sz w:val="22"/>
          <w:szCs w:val="22"/>
          <w:lang w:val="en-GB" w:eastAsia="zh-TW"/>
        </w:rPr>
      </w:pPr>
      <w:r>
        <w:rPr>
          <w:rFonts w:ascii="Arial" w:hAnsi="Arial" w:cs="Arial"/>
          <w:color w:val="7B7B7B" w:themeColor="accent3" w:themeShade="BF"/>
          <w:sz w:val="22"/>
          <w:szCs w:val="22"/>
          <w:lang w:val="en-GB"/>
        </w:rPr>
        <w:t>to</w:t>
      </w:r>
      <w:r w:rsidR="006A3938" w:rsidRPr="00B2724A">
        <w:rPr>
          <w:rFonts w:ascii="Arial" w:hAnsi="Arial" w:cs="Arial"/>
          <w:color w:val="7B7B7B" w:themeColor="accent3" w:themeShade="BF"/>
          <w:sz w:val="22"/>
          <w:szCs w:val="22"/>
          <w:lang w:val="en-GB"/>
        </w:rPr>
        <w:t xml:space="preserve"> local</w:t>
      </w:r>
      <w:r w:rsidR="00957703" w:rsidRPr="00B2724A">
        <w:rPr>
          <w:rFonts w:ascii="Arial" w:hAnsi="Arial" w:cs="Arial"/>
          <w:color w:val="7B7B7B" w:themeColor="accent3" w:themeShade="BF"/>
          <w:sz w:val="22"/>
          <w:szCs w:val="22"/>
          <w:lang w:val="en-GB"/>
        </w:rPr>
        <w:t xml:space="preserve"> </w:t>
      </w:r>
      <w:r w:rsidR="006A3938" w:rsidRPr="00B2724A">
        <w:rPr>
          <w:rFonts w:ascii="Arial" w:hAnsi="Arial" w:cs="Arial"/>
          <w:color w:val="7B7B7B" w:themeColor="accent3" w:themeShade="BF"/>
          <w:sz w:val="22"/>
          <w:szCs w:val="22"/>
          <w:lang w:val="en-GB"/>
        </w:rPr>
        <w:t>creditors that they will receive treatment ‘as if’ secondary proceedings had</w:t>
      </w:r>
      <w:r>
        <w:rPr>
          <w:rFonts w:ascii="Arial" w:hAnsi="Arial" w:cs="Arial"/>
          <w:color w:val="7B7B7B" w:themeColor="accent3" w:themeShade="BF"/>
          <w:sz w:val="22"/>
          <w:szCs w:val="22"/>
          <w:lang w:val="en-GB"/>
        </w:rPr>
        <w:t xml:space="preserve"> </w:t>
      </w:r>
      <w:r w:rsidR="006A3938" w:rsidRPr="006A3938">
        <w:rPr>
          <w:rFonts w:ascii="Arial" w:hAnsi="Arial" w:cs="Arial"/>
          <w:color w:val="7B7B7B" w:themeColor="accent3" w:themeShade="BF"/>
          <w:sz w:val="22"/>
          <w:szCs w:val="22"/>
          <w:lang w:val="en-GB"/>
        </w:rPr>
        <w:t>in fact been open</w:t>
      </w:r>
      <w:r w:rsidR="00381E71">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T</w:t>
      </w:r>
      <w:r w:rsidR="00571F87">
        <w:rPr>
          <w:rFonts w:ascii="Arial" w:hAnsi="Arial" w:cs="Arial"/>
          <w:color w:val="7B7B7B" w:themeColor="accent3" w:themeShade="BF"/>
          <w:sz w:val="22"/>
          <w:szCs w:val="22"/>
          <w:lang w:val="en-GB"/>
        </w:rPr>
        <w:t xml:space="preserve">hen under Article 38(2), </w:t>
      </w:r>
      <w:r w:rsidRPr="004261F5">
        <w:rPr>
          <w:rFonts w:ascii="Arial" w:hAnsi="Arial" w:cs="Arial"/>
          <w:color w:val="7B7B7B" w:themeColor="accent3" w:themeShade="BF"/>
          <w:sz w:val="22"/>
          <w:szCs w:val="22"/>
          <w:lang w:val="en-GB"/>
        </w:rPr>
        <w:t>at the request of the main insolvency practitioner,</w:t>
      </w:r>
      <w:r>
        <w:rPr>
          <w:rFonts w:ascii="Arial" w:hAnsi="Arial" w:cs="Arial"/>
          <w:color w:val="7B7B7B" w:themeColor="accent3" w:themeShade="BF"/>
          <w:sz w:val="22"/>
          <w:szCs w:val="22"/>
          <w:lang w:val="en-GB"/>
        </w:rPr>
        <w:t xml:space="preserve"> </w:t>
      </w:r>
      <w:r w:rsidR="00571F87" w:rsidRPr="00571F87">
        <w:rPr>
          <w:rFonts w:ascii="Arial" w:hAnsi="Arial" w:cs="Arial"/>
          <w:color w:val="7B7B7B" w:themeColor="accent3" w:themeShade="BF"/>
          <w:sz w:val="22"/>
          <w:szCs w:val="22"/>
          <w:lang w:val="en-GB"/>
        </w:rPr>
        <w:t xml:space="preserve">the court </w:t>
      </w:r>
      <w:r w:rsidR="003864D1">
        <w:rPr>
          <w:rFonts w:ascii="Arial" w:hAnsi="Arial" w:cs="Arial"/>
          <w:color w:val="7B7B7B" w:themeColor="accent3" w:themeShade="BF"/>
          <w:sz w:val="22"/>
          <w:szCs w:val="22"/>
          <w:lang w:val="en-GB"/>
        </w:rPr>
        <w:t>took hold of the</w:t>
      </w:r>
      <w:r w:rsidR="00571F87">
        <w:rPr>
          <w:rFonts w:ascii="Arial" w:hAnsi="Arial" w:cs="Arial"/>
          <w:color w:val="7B7B7B" w:themeColor="accent3" w:themeShade="BF"/>
          <w:sz w:val="22"/>
          <w:szCs w:val="22"/>
          <w:lang w:val="en-GB"/>
        </w:rPr>
        <w:t xml:space="preserve"> request </w:t>
      </w:r>
      <w:r w:rsidR="00957703">
        <w:rPr>
          <w:rFonts w:ascii="Arial" w:hAnsi="Arial" w:cs="Arial"/>
          <w:color w:val="7B7B7B" w:themeColor="accent3" w:themeShade="BF"/>
          <w:sz w:val="22"/>
          <w:szCs w:val="22"/>
          <w:lang w:val="en-GB"/>
        </w:rPr>
        <w:t>of opening the</w:t>
      </w:r>
      <w:r>
        <w:rPr>
          <w:rFonts w:ascii="Arial" w:hAnsi="Arial" w:cs="Arial"/>
          <w:color w:val="7B7B7B" w:themeColor="accent3" w:themeShade="BF"/>
          <w:sz w:val="22"/>
          <w:szCs w:val="22"/>
          <w:lang w:val="en-GB"/>
        </w:rPr>
        <w:t xml:space="preserve"> </w:t>
      </w:r>
      <w:r w:rsidR="00957703">
        <w:rPr>
          <w:rFonts w:ascii="Arial" w:hAnsi="Arial" w:cs="Arial"/>
          <w:color w:val="7B7B7B" w:themeColor="accent3" w:themeShade="BF"/>
          <w:sz w:val="22"/>
          <w:szCs w:val="22"/>
          <w:lang w:val="en-GB"/>
        </w:rPr>
        <w:t>secondary insolvency proceeding</w:t>
      </w:r>
      <w:r w:rsidR="00571F87" w:rsidRPr="00571F87">
        <w:rPr>
          <w:rFonts w:ascii="Arial" w:hAnsi="Arial" w:cs="Arial"/>
          <w:color w:val="7B7B7B" w:themeColor="accent3" w:themeShade="BF"/>
          <w:sz w:val="22"/>
          <w:szCs w:val="22"/>
          <w:lang w:val="en-GB"/>
        </w:rPr>
        <w:t xml:space="preserve"> shall</w:t>
      </w:r>
      <w:r>
        <w:rPr>
          <w:rFonts w:ascii="Arial" w:hAnsi="Arial" w:cs="Arial"/>
          <w:color w:val="7B7B7B" w:themeColor="accent3" w:themeShade="BF"/>
          <w:sz w:val="22"/>
          <w:szCs w:val="22"/>
          <w:lang w:val="en-GB"/>
        </w:rPr>
        <w:t xml:space="preserve"> </w:t>
      </w:r>
      <w:r w:rsidR="00571F87" w:rsidRPr="00571F87">
        <w:rPr>
          <w:rFonts w:ascii="Arial" w:hAnsi="Arial" w:cs="Arial"/>
          <w:color w:val="7B7B7B" w:themeColor="accent3" w:themeShade="BF"/>
          <w:sz w:val="22"/>
          <w:szCs w:val="22"/>
          <w:lang w:val="en-GB"/>
        </w:rPr>
        <w:t>not</w:t>
      </w:r>
      <w:r>
        <w:rPr>
          <w:rFonts w:ascii="Arial" w:hAnsi="Arial" w:cs="Arial"/>
          <w:color w:val="7B7B7B" w:themeColor="accent3" w:themeShade="BF"/>
          <w:sz w:val="22"/>
          <w:szCs w:val="22"/>
          <w:lang w:val="en-GB"/>
        </w:rPr>
        <w:t xml:space="preserve"> </w:t>
      </w:r>
      <w:r w:rsidR="00571F87" w:rsidRPr="00571F87">
        <w:rPr>
          <w:rFonts w:ascii="Arial" w:hAnsi="Arial" w:cs="Arial"/>
          <w:color w:val="7B7B7B" w:themeColor="accent3" w:themeShade="BF"/>
          <w:sz w:val="22"/>
          <w:szCs w:val="22"/>
          <w:lang w:val="en-GB"/>
        </w:rPr>
        <w:t>open secondary insolvency proceedings if it is satisfied that the</w:t>
      </w:r>
      <w:r w:rsidR="00E94C53">
        <w:rPr>
          <w:rFonts w:ascii="Arial" w:hAnsi="Arial" w:cs="Arial"/>
          <w:color w:val="7B7B7B" w:themeColor="accent3" w:themeShade="BF"/>
          <w:sz w:val="22"/>
          <w:szCs w:val="22"/>
          <w:lang w:val="en-GB"/>
        </w:rPr>
        <w:t xml:space="preserve"> said</w:t>
      </w:r>
      <w:r w:rsidR="00571F87" w:rsidRPr="00571F87">
        <w:rPr>
          <w:rFonts w:ascii="Arial" w:hAnsi="Arial" w:cs="Arial"/>
          <w:color w:val="7B7B7B" w:themeColor="accent3" w:themeShade="BF"/>
          <w:sz w:val="22"/>
          <w:szCs w:val="22"/>
          <w:lang w:val="en-GB"/>
        </w:rPr>
        <w:t xml:space="preserve"> undertaking adequately</w:t>
      </w:r>
      <w:r>
        <w:rPr>
          <w:rFonts w:ascii="Arial" w:hAnsi="Arial" w:cs="Arial"/>
          <w:color w:val="7B7B7B" w:themeColor="accent3" w:themeShade="BF"/>
          <w:sz w:val="22"/>
          <w:szCs w:val="22"/>
          <w:lang w:val="en-GB"/>
        </w:rPr>
        <w:t xml:space="preserve"> </w:t>
      </w:r>
      <w:r w:rsidR="00571F87" w:rsidRPr="00571F87">
        <w:rPr>
          <w:rFonts w:ascii="Arial" w:hAnsi="Arial" w:cs="Arial"/>
          <w:color w:val="7B7B7B" w:themeColor="accent3" w:themeShade="BF"/>
          <w:sz w:val="22"/>
          <w:szCs w:val="22"/>
          <w:lang w:val="en-GB"/>
        </w:rPr>
        <w:t>protects the general interests of local creditors</w:t>
      </w:r>
      <w:bookmarkEnd w:id="3"/>
      <w:r w:rsidR="00571F87" w:rsidRPr="00571F87">
        <w:rPr>
          <w:rFonts w:ascii="Arial" w:hAnsi="Arial" w:cs="Arial"/>
          <w:color w:val="7B7B7B" w:themeColor="accent3" w:themeShade="BF"/>
          <w:sz w:val="22"/>
          <w:szCs w:val="22"/>
          <w:lang w:val="en-GB"/>
        </w:rPr>
        <w:t>.</w:t>
      </w:r>
      <w:r w:rsidR="00AB1D57">
        <w:rPr>
          <w:rFonts w:ascii="Arial" w:eastAsiaTheme="minorEastAsia" w:hAnsi="Arial" w:cs="Arial" w:hint="eastAsia"/>
          <w:sz w:val="22"/>
          <w:szCs w:val="22"/>
          <w:lang w:val="en-GB" w:eastAsia="zh-TW"/>
        </w:rPr>
        <w:t xml:space="preserve"> </w:t>
      </w:r>
    </w:p>
    <w:p w14:paraId="43292703" w14:textId="77777777" w:rsidR="00AB1D57" w:rsidRPr="00AB1D57" w:rsidRDefault="00AB1D57" w:rsidP="00AB1D57">
      <w:pPr>
        <w:ind w:left="720" w:hanging="720"/>
        <w:jc w:val="both"/>
        <w:rPr>
          <w:rFonts w:ascii="Arial" w:eastAsiaTheme="minorEastAsia" w:hAnsi="Arial" w:cs="Arial"/>
          <w:sz w:val="22"/>
          <w:szCs w:val="22"/>
          <w:lang w:val="en-GB" w:eastAsia="zh-TW"/>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39FAC63B" w14:textId="77777777" w:rsidR="003B17D1" w:rsidRDefault="003E2B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2012, the European Commission recommended that the European Insolvency Regulation be amended by focusing on following specific aspects of the instrument. </w:t>
      </w:r>
    </w:p>
    <w:p w14:paraId="0C5548FF" w14:textId="77777777" w:rsidR="003B17D1" w:rsidRDefault="003B17D1" w:rsidP="002A37BB">
      <w:pPr>
        <w:jc w:val="both"/>
        <w:rPr>
          <w:rFonts w:ascii="Arial" w:hAnsi="Arial" w:cs="Arial"/>
          <w:color w:val="7B7B7B" w:themeColor="accent3" w:themeShade="BF"/>
          <w:sz w:val="22"/>
          <w:szCs w:val="22"/>
          <w:lang w:val="en-GB"/>
        </w:rPr>
      </w:pPr>
    </w:p>
    <w:p w14:paraId="6D38B914" w14:textId="0A90325C" w:rsidR="004A1297" w:rsidRDefault="003E2B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first place, </w:t>
      </w:r>
      <w:bookmarkStart w:id="4" w:name="_Hlk110213194"/>
      <w:r>
        <w:rPr>
          <w:rFonts w:ascii="Arial" w:hAnsi="Arial" w:cs="Arial"/>
          <w:color w:val="7B7B7B" w:themeColor="accent3" w:themeShade="BF"/>
          <w:sz w:val="22"/>
          <w:szCs w:val="22"/>
          <w:lang w:val="en-GB"/>
        </w:rPr>
        <w:t xml:space="preserve">the scope of EIR </w:t>
      </w:r>
      <w:r w:rsidR="00AE5CD4">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extended </w:t>
      </w:r>
      <w:r w:rsidR="002551DD">
        <w:rPr>
          <w:rFonts w:ascii="Arial" w:hAnsi="Arial" w:cs="Arial"/>
          <w:color w:val="7B7B7B" w:themeColor="accent3" w:themeShade="BF"/>
          <w:sz w:val="22"/>
          <w:szCs w:val="22"/>
          <w:lang w:val="en-GB"/>
        </w:rPr>
        <w:t>to</w:t>
      </w:r>
      <w:r w:rsidR="00A4042F">
        <w:rPr>
          <w:rFonts w:ascii="Arial" w:hAnsi="Arial" w:cs="Arial"/>
          <w:color w:val="7B7B7B" w:themeColor="accent3" w:themeShade="BF"/>
          <w:sz w:val="22"/>
          <w:szCs w:val="22"/>
          <w:lang w:val="en-GB"/>
        </w:rPr>
        <w:t xml:space="preserve"> include</w:t>
      </w:r>
      <w:r w:rsidR="002551DD">
        <w:rPr>
          <w:rFonts w:ascii="Arial" w:hAnsi="Arial" w:cs="Arial"/>
          <w:color w:val="7B7B7B" w:themeColor="accent3" w:themeShade="BF"/>
          <w:sz w:val="22"/>
          <w:szCs w:val="22"/>
          <w:lang w:val="en-GB"/>
        </w:rPr>
        <w:t xml:space="preserve"> restructuring proceeding</w:t>
      </w:r>
      <w:r w:rsidR="00AE5CD4">
        <w:rPr>
          <w:rFonts w:ascii="Arial" w:hAnsi="Arial" w:cs="Arial"/>
          <w:color w:val="7B7B7B" w:themeColor="accent3" w:themeShade="BF"/>
          <w:sz w:val="22"/>
          <w:szCs w:val="22"/>
          <w:lang w:val="en-GB"/>
        </w:rPr>
        <w:t xml:space="preserve"> </w:t>
      </w:r>
      <w:r w:rsidR="004A1297">
        <w:rPr>
          <w:rFonts w:ascii="Arial" w:hAnsi="Arial" w:cs="Arial"/>
          <w:color w:val="7B7B7B" w:themeColor="accent3" w:themeShade="BF"/>
          <w:sz w:val="22"/>
          <w:szCs w:val="22"/>
          <w:lang w:val="en-GB"/>
        </w:rPr>
        <w:t>by Recital 10 of the EIR Recast</w:t>
      </w:r>
      <w:r w:rsidR="00A07F44">
        <w:rPr>
          <w:rFonts w:ascii="Arial" w:hAnsi="Arial" w:cs="Arial"/>
          <w:color w:val="7B7B7B" w:themeColor="accent3" w:themeShade="BF"/>
          <w:sz w:val="22"/>
          <w:szCs w:val="22"/>
          <w:lang w:val="en-GB"/>
        </w:rPr>
        <w:t xml:space="preserve">. As per Recital 10, </w:t>
      </w:r>
      <w:r w:rsidR="003B17D1">
        <w:rPr>
          <w:rFonts w:ascii="Arial" w:hAnsi="Arial" w:cs="Arial"/>
          <w:color w:val="7B7B7B" w:themeColor="accent3" w:themeShade="BF"/>
          <w:sz w:val="22"/>
          <w:szCs w:val="22"/>
          <w:lang w:val="en-GB"/>
        </w:rPr>
        <w:t xml:space="preserve">EIR  </w:t>
      </w:r>
      <w:r w:rsidR="004A1297" w:rsidRPr="004A1297">
        <w:rPr>
          <w:rFonts w:ascii="Arial" w:hAnsi="Arial" w:cs="Arial"/>
          <w:color w:val="7B7B7B" w:themeColor="accent3" w:themeShade="BF"/>
          <w:sz w:val="22"/>
          <w:szCs w:val="22"/>
          <w:lang w:val="en-GB"/>
        </w:rPr>
        <w:t>extend to</w:t>
      </w:r>
      <w:r w:rsidR="003B17D1">
        <w:rPr>
          <w:rFonts w:ascii="Arial" w:hAnsi="Arial" w:cs="Arial"/>
          <w:color w:val="7B7B7B" w:themeColor="accent3" w:themeShade="BF"/>
          <w:sz w:val="22"/>
          <w:szCs w:val="22"/>
          <w:lang w:val="en-GB"/>
        </w:rPr>
        <w:t xml:space="preserve"> </w:t>
      </w:r>
      <w:r w:rsidR="004A1297" w:rsidRPr="004A1297">
        <w:rPr>
          <w:rFonts w:ascii="Arial" w:hAnsi="Arial" w:cs="Arial"/>
          <w:color w:val="7B7B7B" w:themeColor="accent3" w:themeShade="BF"/>
          <w:sz w:val="22"/>
          <w:szCs w:val="22"/>
          <w:lang w:val="en-GB"/>
        </w:rPr>
        <w:t xml:space="preserve">proceedings which provide for restructuring of a debtor at a stage where there is only a likelihood of insolvency, and to proceedings which leave the debtor fully or partially in control of its assets and affairs. </w:t>
      </w:r>
    </w:p>
    <w:bookmarkEnd w:id="4"/>
    <w:p w14:paraId="78DE11A7" w14:textId="77777777" w:rsidR="004A1297" w:rsidRDefault="004A1297" w:rsidP="002A37BB">
      <w:pPr>
        <w:jc w:val="both"/>
        <w:rPr>
          <w:rFonts w:ascii="Arial" w:hAnsi="Arial" w:cs="Arial"/>
          <w:color w:val="7B7B7B" w:themeColor="accent3" w:themeShade="BF"/>
          <w:sz w:val="22"/>
          <w:szCs w:val="22"/>
          <w:lang w:val="en-GB"/>
        </w:rPr>
      </w:pPr>
    </w:p>
    <w:p w14:paraId="2088697E" w14:textId="26BBED10" w:rsidR="00AE7D53" w:rsidRDefault="00F77B2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Besides, </w:t>
      </w:r>
      <w:r w:rsidR="00AE7D53">
        <w:rPr>
          <w:rFonts w:ascii="Arial" w:hAnsi="Arial" w:cs="Arial"/>
          <w:color w:val="7B7B7B" w:themeColor="accent3" w:themeShade="BF"/>
          <w:sz w:val="22"/>
          <w:szCs w:val="22"/>
          <w:lang w:val="en-GB"/>
        </w:rPr>
        <w:t xml:space="preserve">EIR 2000 only stipulated insolvency practitioners in main and secondary insolvency proceedings  to communicate, however it was insufficient. EIR Recast provide a more comprehensive framework for communication and </w:t>
      </w:r>
      <w:r w:rsidR="002551DD">
        <w:rPr>
          <w:rFonts w:ascii="Arial" w:hAnsi="Arial" w:cs="Arial"/>
          <w:color w:val="7B7B7B" w:themeColor="accent3" w:themeShade="BF"/>
          <w:sz w:val="22"/>
          <w:szCs w:val="22"/>
          <w:lang w:val="en-GB"/>
        </w:rPr>
        <w:t>cooperation between</w:t>
      </w:r>
      <w:r w:rsidR="00AE7D53">
        <w:rPr>
          <w:rFonts w:ascii="Arial" w:hAnsi="Arial" w:cs="Arial"/>
          <w:color w:val="7B7B7B" w:themeColor="accent3" w:themeShade="BF"/>
          <w:sz w:val="22"/>
          <w:szCs w:val="22"/>
          <w:lang w:val="en-GB"/>
        </w:rPr>
        <w:t xml:space="preserve"> different parties from different </w:t>
      </w:r>
      <w:r w:rsidR="00CF7652">
        <w:rPr>
          <w:rFonts w:ascii="Arial" w:hAnsi="Arial" w:cs="Arial"/>
          <w:color w:val="7B7B7B" w:themeColor="accent3" w:themeShade="BF"/>
          <w:sz w:val="22"/>
          <w:szCs w:val="22"/>
          <w:lang w:val="en-GB"/>
        </w:rPr>
        <w:t>M</w:t>
      </w:r>
      <w:r w:rsidR="00AE7D53">
        <w:rPr>
          <w:rFonts w:ascii="Arial" w:hAnsi="Arial" w:cs="Arial"/>
          <w:color w:val="7B7B7B" w:themeColor="accent3" w:themeShade="BF"/>
          <w:sz w:val="22"/>
          <w:szCs w:val="22"/>
          <w:lang w:val="en-GB"/>
        </w:rPr>
        <w:t xml:space="preserve">ember </w:t>
      </w:r>
      <w:r w:rsidR="00CF7652">
        <w:rPr>
          <w:rFonts w:ascii="Arial" w:hAnsi="Arial" w:cs="Arial"/>
          <w:color w:val="7B7B7B" w:themeColor="accent3" w:themeShade="BF"/>
          <w:sz w:val="22"/>
          <w:szCs w:val="22"/>
          <w:lang w:val="en-GB"/>
        </w:rPr>
        <w:t>S</w:t>
      </w:r>
      <w:r w:rsidR="00AE7D53">
        <w:rPr>
          <w:rFonts w:ascii="Arial" w:hAnsi="Arial" w:cs="Arial"/>
          <w:color w:val="7B7B7B" w:themeColor="accent3" w:themeShade="BF"/>
          <w:sz w:val="22"/>
          <w:szCs w:val="22"/>
          <w:lang w:val="en-GB"/>
        </w:rPr>
        <w:t xml:space="preserve">tates. </w:t>
      </w:r>
      <w:r w:rsidR="005652EA">
        <w:rPr>
          <w:rFonts w:ascii="Arial" w:hAnsi="Arial" w:cs="Arial"/>
          <w:color w:val="7B7B7B" w:themeColor="accent3" w:themeShade="BF"/>
          <w:sz w:val="22"/>
          <w:szCs w:val="22"/>
          <w:lang w:val="en-GB"/>
        </w:rPr>
        <w:t xml:space="preserve">Article 42 of EIR Recast </w:t>
      </w:r>
      <w:r w:rsidR="00A244F3">
        <w:rPr>
          <w:rFonts w:ascii="Arial" w:hAnsi="Arial" w:cs="Arial"/>
          <w:color w:val="7B7B7B" w:themeColor="accent3" w:themeShade="BF"/>
          <w:sz w:val="22"/>
          <w:szCs w:val="22"/>
          <w:lang w:val="en-GB"/>
        </w:rPr>
        <w:t>mandates the</w:t>
      </w:r>
      <w:r w:rsidR="005652EA">
        <w:rPr>
          <w:rFonts w:ascii="Arial" w:hAnsi="Arial" w:cs="Arial"/>
          <w:color w:val="7B7B7B" w:themeColor="accent3" w:themeShade="BF"/>
          <w:sz w:val="22"/>
          <w:szCs w:val="22"/>
          <w:lang w:val="en-GB"/>
        </w:rPr>
        <w:t xml:space="preserve"> communication and cooperation between courts from different</w:t>
      </w:r>
      <w:r w:rsidR="00763E67">
        <w:rPr>
          <w:rFonts w:ascii="Arial" w:hAnsi="Arial" w:cs="Arial"/>
          <w:color w:val="7B7B7B" w:themeColor="accent3" w:themeShade="BF"/>
          <w:sz w:val="22"/>
          <w:szCs w:val="22"/>
          <w:lang w:val="en-GB"/>
        </w:rPr>
        <w:t xml:space="preserve"> insolvency proceedings</w:t>
      </w:r>
      <w:r w:rsidR="005652EA">
        <w:rPr>
          <w:rFonts w:ascii="Arial" w:hAnsi="Arial" w:cs="Arial"/>
          <w:color w:val="7B7B7B" w:themeColor="accent3" w:themeShade="BF"/>
          <w:sz w:val="22"/>
          <w:szCs w:val="22"/>
          <w:lang w:val="en-GB"/>
        </w:rPr>
        <w:t>. Article 43 of EIR</w:t>
      </w:r>
      <w:r w:rsidR="00763E67">
        <w:rPr>
          <w:rFonts w:ascii="Arial" w:hAnsi="Arial" w:cs="Arial"/>
          <w:color w:val="7B7B7B" w:themeColor="accent3" w:themeShade="BF"/>
          <w:sz w:val="22"/>
          <w:szCs w:val="22"/>
          <w:lang w:val="en-GB"/>
        </w:rPr>
        <w:t xml:space="preserve"> Recast</w:t>
      </w:r>
      <w:r w:rsidR="005652EA">
        <w:rPr>
          <w:rFonts w:ascii="Arial" w:hAnsi="Arial" w:cs="Arial"/>
          <w:color w:val="7B7B7B" w:themeColor="accent3" w:themeShade="BF"/>
          <w:sz w:val="22"/>
          <w:szCs w:val="22"/>
          <w:lang w:val="en-GB"/>
        </w:rPr>
        <w:t xml:space="preserve"> </w:t>
      </w:r>
      <w:r w:rsidR="00A244F3">
        <w:rPr>
          <w:rFonts w:ascii="Arial" w:hAnsi="Arial" w:cs="Arial"/>
          <w:color w:val="7B7B7B" w:themeColor="accent3" w:themeShade="BF"/>
          <w:sz w:val="22"/>
          <w:szCs w:val="22"/>
          <w:lang w:val="en-GB"/>
        </w:rPr>
        <w:t>mandates</w:t>
      </w:r>
      <w:r w:rsidR="005652EA">
        <w:rPr>
          <w:rFonts w:ascii="Arial" w:hAnsi="Arial" w:cs="Arial"/>
          <w:color w:val="7B7B7B" w:themeColor="accent3" w:themeShade="BF"/>
          <w:sz w:val="22"/>
          <w:szCs w:val="22"/>
          <w:lang w:val="en-GB"/>
        </w:rPr>
        <w:t xml:space="preserve"> communication </w:t>
      </w:r>
      <w:r w:rsidR="00763E67">
        <w:rPr>
          <w:rFonts w:ascii="Arial" w:hAnsi="Arial" w:cs="Arial"/>
          <w:color w:val="7B7B7B" w:themeColor="accent3" w:themeShade="BF"/>
          <w:sz w:val="22"/>
          <w:szCs w:val="22"/>
          <w:lang w:val="en-GB"/>
        </w:rPr>
        <w:t xml:space="preserve">and cooperation between insolvency practitioners and courts from different insolvency proceedings. Article 41 of EIR Recast </w:t>
      </w:r>
      <w:r w:rsidR="00A244F3">
        <w:rPr>
          <w:rFonts w:ascii="Arial" w:hAnsi="Arial" w:cs="Arial"/>
          <w:color w:val="7B7B7B" w:themeColor="accent3" w:themeShade="BF"/>
          <w:sz w:val="22"/>
          <w:szCs w:val="22"/>
          <w:lang w:val="en-GB"/>
        </w:rPr>
        <w:t>stipulates</w:t>
      </w:r>
      <w:r w:rsidR="00763E67">
        <w:rPr>
          <w:rFonts w:ascii="Arial" w:hAnsi="Arial" w:cs="Arial"/>
          <w:color w:val="7B7B7B" w:themeColor="accent3" w:themeShade="BF"/>
          <w:sz w:val="22"/>
          <w:szCs w:val="22"/>
          <w:lang w:val="en-GB"/>
        </w:rPr>
        <w:t xml:space="preserve"> the same between insolvency practitioners from different insolvency proceedings.  </w:t>
      </w:r>
      <w:r w:rsidR="0069016B">
        <w:rPr>
          <w:rFonts w:ascii="Arial" w:hAnsi="Arial" w:cs="Arial"/>
          <w:color w:val="7B7B7B" w:themeColor="accent3" w:themeShade="BF"/>
          <w:sz w:val="22"/>
          <w:szCs w:val="22"/>
          <w:lang w:val="en-GB"/>
        </w:rPr>
        <w:t xml:space="preserve">Articles 56-59 of EIR Recast </w:t>
      </w:r>
      <w:r w:rsidR="00A244F3">
        <w:rPr>
          <w:rFonts w:ascii="Arial" w:hAnsi="Arial" w:cs="Arial"/>
          <w:color w:val="7B7B7B" w:themeColor="accent3" w:themeShade="BF"/>
          <w:sz w:val="22"/>
          <w:szCs w:val="22"/>
          <w:lang w:val="en-GB"/>
        </w:rPr>
        <w:t>mandate</w:t>
      </w:r>
      <w:r w:rsidR="0069016B">
        <w:rPr>
          <w:rFonts w:ascii="Arial" w:hAnsi="Arial" w:cs="Arial"/>
          <w:color w:val="7B7B7B" w:themeColor="accent3" w:themeShade="BF"/>
          <w:sz w:val="22"/>
          <w:szCs w:val="22"/>
          <w:lang w:val="en-GB"/>
        </w:rPr>
        <w:t xml:space="preserve"> the similar communication and cooperation between different insolvency proceedings involving members of same group of companies.</w:t>
      </w:r>
    </w:p>
    <w:p w14:paraId="41DC066A" w14:textId="77777777" w:rsidR="00AE7D53" w:rsidRDefault="00AE7D53" w:rsidP="002A37BB">
      <w:pPr>
        <w:jc w:val="both"/>
        <w:rPr>
          <w:rFonts w:ascii="Arial" w:hAnsi="Arial" w:cs="Arial"/>
          <w:color w:val="7B7B7B" w:themeColor="accent3" w:themeShade="BF"/>
          <w:sz w:val="22"/>
          <w:szCs w:val="22"/>
          <w:lang w:val="en-GB"/>
        </w:rPr>
      </w:pPr>
    </w:p>
    <w:p w14:paraId="4A61F7C6" w14:textId="1561F067" w:rsidR="00AA5186" w:rsidRDefault="00685C18" w:rsidP="00AA51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EIR 2000 did not deal with the</w:t>
      </w:r>
      <w:r w:rsidR="00B471AE">
        <w:rPr>
          <w:rFonts w:ascii="Arial" w:hAnsi="Arial" w:cs="Arial"/>
          <w:color w:val="7B7B7B" w:themeColor="accent3" w:themeShade="BF"/>
          <w:sz w:val="22"/>
          <w:szCs w:val="22"/>
          <w:lang w:val="en-GB"/>
        </w:rPr>
        <w:t xml:space="preserve"> issues of </w:t>
      </w:r>
      <w:r>
        <w:rPr>
          <w:rFonts w:ascii="Arial" w:hAnsi="Arial" w:cs="Arial"/>
          <w:color w:val="7B7B7B" w:themeColor="accent3" w:themeShade="BF"/>
          <w:sz w:val="22"/>
          <w:szCs w:val="22"/>
          <w:lang w:val="en-GB"/>
        </w:rPr>
        <w:t xml:space="preserve">insolvency for </w:t>
      </w:r>
      <w:r w:rsidR="00B471AE">
        <w:rPr>
          <w:rFonts w:ascii="Arial" w:hAnsi="Arial" w:cs="Arial"/>
          <w:color w:val="7B7B7B" w:themeColor="accent3" w:themeShade="BF"/>
          <w:sz w:val="22"/>
          <w:szCs w:val="22"/>
          <w:lang w:val="en-GB"/>
        </w:rPr>
        <w:t xml:space="preserve">Corporate Group or insolvency proceedings of  </w:t>
      </w:r>
      <w:r>
        <w:rPr>
          <w:rFonts w:ascii="Arial" w:hAnsi="Arial" w:cs="Arial"/>
          <w:color w:val="7B7B7B" w:themeColor="accent3" w:themeShade="BF"/>
          <w:sz w:val="22"/>
          <w:szCs w:val="22"/>
          <w:lang w:val="en-GB"/>
        </w:rPr>
        <w:t xml:space="preserve">members of same group of companies </w:t>
      </w:r>
      <w:r w:rsidR="00B471AE">
        <w:rPr>
          <w:rFonts w:ascii="Arial" w:hAnsi="Arial" w:cs="Arial"/>
          <w:color w:val="7B7B7B" w:themeColor="accent3" w:themeShade="BF"/>
          <w:sz w:val="22"/>
          <w:szCs w:val="22"/>
          <w:lang w:val="en-GB"/>
        </w:rPr>
        <w:t xml:space="preserve">which took place in different member states. </w:t>
      </w:r>
      <w:bookmarkStart w:id="5" w:name="_Hlk110211781"/>
      <w:r w:rsidR="00E94B90">
        <w:rPr>
          <w:rFonts w:ascii="Arial" w:hAnsi="Arial" w:cs="Arial"/>
          <w:color w:val="7B7B7B" w:themeColor="accent3" w:themeShade="BF"/>
          <w:sz w:val="22"/>
          <w:szCs w:val="22"/>
          <w:lang w:val="en-GB"/>
        </w:rPr>
        <w:t>Recital 53 of EIR Recast provides that if several companies of same group  are insolvent, it is still possible</w:t>
      </w:r>
      <w:r w:rsidR="00B30AAB">
        <w:rPr>
          <w:rFonts w:ascii="Arial" w:hAnsi="Arial" w:cs="Arial"/>
          <w:color w:val="7B7B7B" w:themeColor="accent3" w:themeShade="BF"/>
          <w:sz w:val="22"/>
          <w:szCs w:val="22"/>
          <w:lang w:val="en-GB"/>
        </w:rPr>
        <w:t xml:space="preserve"> for a court</w:t>
      </w:r>
      <w:r w:rsidR="00E94B90">
        <w:rPr>
          <w:rFonts w:ascii="Arial" w:hAnsi="Arial" w:cs="Arial"/>
          <w:color w:val="7B7B7B" w:themeColor="accent3" w:themeShade="BF"/>
          <w:sz w:val="22"/>
          <w:szCs w:val="22"/>
          <w:lang w:val="en-GB"/>
        </w:rPr>
        <w:t xml:space="preserve"> to </w:t>
      </w:r>
      <w:r w:rsidR="00B30AAB">
        <w:rPr>
          <w:rFonts w:ascii="Arial" w:hAnsi="Arial" w:cs="Arial"/>
          <w:color w:val="7B7B7B" w:themeColor="accent3" w:themeShade="BF"/>
          <w:sz w:val="22"/>
          <w:szCs w:val="22"/>
          <w:lang w:val="en-GB"/>
        </w:rPr>
        <w:t>open</w:t>
      </w:r>
      <w:r w:rsidR="00E94B90">
        <w:rPr>
          <w:rFonts w:ascii="Arial" w:hAnsi="Arial" w:cs="Arial"/>
          <w:color w:val="7B7B7B" w:themeColor="accent3" w:themeShade="BF"/>
          <w:sz w:val="22"/>
          <w:szCs w:val="22"/>
          <w:lang w:val="en-GB"/>
        </w:rPr>
        <w:t xml:space="preserve"> the insolvency proceedings of </w:t>
      </w:r>
      <w:r w:rsidR="00B30AAB">
        <w:rPr>
          <w:rFonts w:ascii="Arial" w:hAnsi="Arial" w:cs="Arial"/>
          <w:color w:val="7B7B7B" w:themeColor="accent3" w:themeShade="BF"/>
          <w:sz w:val="22"/>
          <w:szCs w:val="22"/>
          <w:lang w:val="en-GB"/>
        </w:rPr>
        <w:t>those</w:t>
      </w:r>
      <w:r w:rsidR="00E94B90">
        <w:rPr>
          <w:rFonts w:ascii="Arial" w:hAnsi="Arial" w:cs="Arial"/>
          <w:color w:val="7B7B7B" w:themeColor="accent3" w:themeShade="BF"/>
          <w:sz w:val="22"/>
          <w:szCs w:val="22"/>
          <w:lang w:val="en-GB"/>
        </w:rPr>
        <w:t xml:space="preserve"> several </w:t>
      </w:r>
      <w:r w:rsidR="00E94B90">
        <w:rPr>
          <w:rFonts w:ascii="Arial" w:hAnsi="Arial" w:cs="Arial"/>
          <w:color w:val="7B7B7B" w:themeColor="accent3" w:themeShade="BF"/>
          <w:sz w:val="22"/>
          <w:szCs w:val="22"/>
          <w:lang w:val="en-GB"/>
        </w:rPr>
        <w:lastRenderedPageBreak/>
        <w:t xml:space="preserve">companies </w:t>
      </w:r>
      <w:r w:rsidR="002609AA">
        <w:rPr>
          <w:rFonts w:ascii="Arial" w:hAnsi="Arial" w:cs="Arial"/>
          <w:color w:val="7B7B7B" w:themeColor="accent3" w:themeShade="BF"/>
          <w:sz w:val="22"/>
          <w:szCs w:val="22"/>
          <w:lang w:val="en-GB"/>
        </w:rPr>
        <w:t>under a single</w:t>
      </w:r>
      <w:r w:rsidR="00E94B90">
        <w:rPr>
          <w:rFonts w:ascii="Arial" w:hAnsi="Arial" w:cs="Arial"/>
          <w:color w:val="7B7B7B" w:themeColor="accent3" w:themeShade="BF"/>
          <w:sz w:val="22"/>
          <w:szCs w:val="22"/>
          <w:lang w:val="en-GB"/>
        </w:rPr>
        <w:t xml:space="preserve"> jurisdiction of the court</w:t>
      </w:r>
      <w:r w:rsidR="002609AA">
        <w:rPr>
          <w:rFonts w:ascii="Arial" w:hAnsi="Arial" w:cs="Arial"/>
          <w:color w:val="7B7B7B" w:themeColor="accent3" w:themeShade="BF"/>
          <w:sz w:val="22"/>
          <w:szCs w:val="22"/>
          <w:lang w:val="en-GB"/>
        </w:rPr>
        <w:t xml:space="preserve"> in a</w:t>
      </w:r>
      <w:r w:rsidR="00E94B90">
        <w:rPr>
          <w:rFonts w:ascii="Arial" w:hAnsi="Arial" w:cs="Arial"/>
          <w:color w:val="7B7B7B" w:themeColor="accent3" w:themeShade="BF"/>
          <w:sz w:val="22"/>
          <w:szCs w:val="22"/>
          <w:lang w:val="en-GB"/>
        </w:rPr>
        <w:t xml:space="preserve"> single </w:t>
      </w:r>
      <w:r w:rsidR="00CF7652">
        <w:rPr>
          <w:rFonts w:ascii="Arial" w:hAnsi="Arial" w:cs="Arial"/>
          <w:color w:val="7B7B7B" w:themeColor="accent3" w:themeShade="BF"/>
          <w:sz w:val="22"/>
          <w:szCs w:val="22"/>
          <w:lang w:val="en-GB"/>
        </w:rPr>
        <w:t>M</w:t>
      </w:r>
      <w:r w:rsidR="00E94B90">
        <w:rPr>
          <w:rFonts w:ascii="Arial" w:hAnsi="Arial" w:cs="Arial"/>
          <w:color w:val="7B7B7B" w:themeColor="accent3" w:themeShade="BF"/>
          <w:sz w:val="22"/>
          <w:szCs w:val="22"/>
          <w:lang w:val="en-GB"/>
        </w:rPr>
        <w:t xml:space="preserve">ember </w:t>
      </w:r>
      <w:r w:rsidR="00CF7652">
        <w:rPr>
          <w:rFonts w:ascii="Arial" w:hAnsi="Arial" w:cs="Arial"/>
          <w:color w:val="7B7B7B" w:themeColor="accent3" w:themeShade="BF"/>
          <w:sz w:val="22"/>
          <w:szCs w:val="22"/>
          <w:lang w:val="en-GB"/>
        </w:rPr>
        <w:t>S</w:t>
      </w:r>
      <w:r w:rsidR="00E94B90">
        <w:rPr>
          <w:rFonts w:ascii="Arial" w:hAnsi="Arial" w:cs="Arial"/>
          <w:color w:val="7B7B7B" w:themeColor="accent3" w:themeShade="BF"/>
          <w:sz w:val="22"/>
          <w:szCs w:val="22"/>
          <w:lang w:val="en-GB"/>
        </w:rPr>
        <w:t>tate</w:t>
      </w:r>
      <w:r w:rsidR="002609AA">
        <w:rPr>
          <w:rFonts w:ascii="Arial" w:hAnsi="Arial" w:cs="Arial"/>
          <w:color w:val="7B7B7B" w:themeColor="accent3" w:themeShade="BF"/>
          <w:sz w:val="22"/>
          <w:szCs w:val="22"/>
          <w:lang w:val="en-GB"/>
        </w:rPr>
        <w:t xml:space="preserve"> if it can establish the COMIs of those companies are located within the</w:t>
      </w:r>
      <w:r w:rsidR="00564001">
        <w:rPr>
          <w:rFonts w:ascii="Arial" w:hAnsi="Arial" w:cs="Arial"/>
          <w:color w:val="7B7B7B" w:themeColor="accent3" w:themeShade="BF"/>
          <w:sz w:val="22"/>
          <w:szCs w:val="22"/>
          <w:lang w:val="en-GB"/>
        </w:rPr>
        <w:t xml:space="preserve"> territory of the</w:t>
      </w:r>
      <w:r w:rsidR="002609AA">
        <w:rPr>
          <w:rFonts w:ascii="Arial" w:hAnsi="Arial" w:cs="Arial"/>
          <w:color w:val="7B7B7B" w:themeColor="accent3" w:themeShade="BF"/>
          <w:sz w:val="22"/>
          <w:szCs w:val="22"/>
          <w:lang w:val="en-GB"/>
        </w:rPr>
        <w:t xml:space="preserve"> same </w:t>
      </w:r>
      <w:r w:rsidR="00CF7652">
        <w:rPr>
          <w:rFonts w:ascii="Arial" w:hAnsi="Arial" w:cs="Arial"/>
          <w:color w:val="7B7B7B" w:themeColor="accent3" w:themeShade="BF"/>
          <w:sz w:val="22"/>
          <w:szCs w:val="22"/>
          <w:lang w:val="en-GB"/>
        </w:rPr>
        <w:t>M</w:t>
      </w:r>
      <w:r w:rsidR="002609AA">
        <w:rPr>
          <w:rFonts w:ascii="Arial" w:hAnsi="Arial" w:cs="Arial"/>
          <w:color w:val="7B7B7B" w:themeColor="accent3" w:themeShade="BF"/>
          <w:sz w:val="22"/>
          <w:szCs w:val="22"/>
          <w:lang w:val="en-GB"/>
        </w:rPr>
        <w:t xml:space="preserve">ember </w:t>
      </w:r>
      <w:r w:rsidR="00CF7652">
        <w:rPr>
          <w:rFonts w:ascii="Arial" w:hAnsi="Arial" w:cs="Arial"/>
          <w:color w:val="7B7B7B" w:themeColor="accent3" w:themeShade="BF"/>
          <w:sz w:val="22"/>
          <w:szCs w:val="22"/>
          <w:lang w:val="en-GB"/>
        </w:rPr>
        <w:t>S</w:t>
      </w:r>
      <w:r w:rsidR="002609AA">
        <w:rPr>
          <w:rFonts w:ascii="Arial" w:hAnsi="Arial" w:cs="Arial"/>
          <w:color w:val="7B7B7B" w:themeColor="accent3" w:themeShade="BF"/>
          <w:sz w:val="22"/>
          <w:szCs w:val="22"/>
          <w:lang w:val="en-GB"/>
        </w:rPr>
        <w:t>tate as aforesaid</w:t>
      </w:r>
      <w:bookmarkEnd w:id="5"/>
      <w:r w:rsidR="002609AA">
        <w:rPr>
          <w:rFonts w:ascii="Arial" w:hAnsi="Arial" w:cs="Arial"/>
          <w:color w:val="7B7B7B" w:themeColor="accent3" w:themeShade="BF"/>
          <w:sz w:val="22"/>
          <w:szCs w:val="22"/>
          <w:lang w:val="en-GB"/>
        </w:rPr>
        <w:t>.</w:t>
      </w:r>
      <w:r w:rsidR="00E94B90">
        <w:rPr>
          <w:rFonts w:ascii="Arial" w:hAnsi="Arial" w:cs="Arial"/>
          <w:color w:val="7B7B7B" w:themeColor="accent3" w:themeShade="BF"/>
          <w:sz w:val="22"/>
          <w:szCs w:val="22"/>
          <w:lang w:val="en-GB"/>
        </w:rPr>
        <w:t xml:space="preserve"> </w:t>
      </w:r>
      <w:r w:rsidR="00B471AE">
        <w:rPr>
          <w:rFonts w:ascii="Arial" w:hAnsi="Arial" w:cs="Arial"/>
          <w:color w:val="7B7B7B" w:themeColor="accent3" w:themeShade="BF"/>
          <w:sz w:val="22"/>
          <w:szCs w:val="22"/>
          <w:lang w:val="en-GB"/>
        </w:rPr>
        <w:t xml:space="preserve"> </w:t>
      </w:r>
      <w:r w:rsidR="00B30AAB">
        <w:rPr>
          <w:rFonts w:ascii="Arial" w:hAnsi="Arial" w:cs="Arial"/>
          <w:color w:val="7B7B7B" w:themeColor="accent3" w:themeShade="BF"/>
          <w:sz w:val="22"/>
          <w:szCs w:val="22"/>
          <w:lang w:val="en-GB"/>
        </w:rPr>
        <w:t>If the said court can open insolvency proceedings for those several insolvent companies from the same group, the court may appoint the same insolvency practitioner for all those proceedings.</w:t>
      </w:r>
    </w:p>
    <w:p w14:paraId="2D408748" w14:textId="77777777" w:rsidR="00AE7D53" w:rsidRDefault="00AE7D53" w:rsidP="002A37BB">
      <w:pPr>
        <w:jc w:val="both"/>
        <w:rPr>
          <w:rFonts w:ascii="Arial" w:hAnsi="Arial" w:cs="Arial"/>
          <w:color w:val="7B7B7B" w:themeColor="accent3" w:themeShade="BF"/>
          <w:sz w:val="22"/>
          <w:szCs w:val="22"/>
          <w:lang w:val="en-GB"/>
        </w:rPr>
      </w:pPr>
    </w:p>
    <w:p w14:paraId="1A7BF32E" w14:textId="255F51DF" w:rsidR="00D4714F" w:rsidRDefault="00BE62E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 but not the least, i</w:t>
      </w:r>
      <w:r w:rsidR="00D4714F">
        <w:rPr>
          <w:rFonts w:ascii="Arial" w:hAnsi="Arial" w:cs="Arial"/>
          <w:color w:val="7B7B7B" w:themeColor="accent3" w:themeShade="BF"/>
          <w:sz w:val="22"/>
          <w:szCs w:val="22"/>
          <w:lang w:val="en-GB"/>
        </w:rPr>
        <w:t xml:space="preserve">t is essential for the court of </w:t>
      </w:r>
      <w:r w:rsidR="00FD4118">
        <w:rPr>
          <w:rFonts w:ascii="Arial" w:hAnsi="Arial" w:cs="Arial"/>
          <w:color w:val="7B7B7B" w:themeColor="accent3" w:themeShade="BF"/>
          <w:sz w:val="22"/>
          <w:szCs w:val="22"/>
          <w:lang w:val="en-GB"/>
        </w:rPr>
        <w:t>M</w:t>
      </w:r>
      <w:r w:rsidR="00D4714F">
        <w:rPr>
          <w:rFonts w:ascii="Arial" w:hAnsi="Arial" w:cs="Arial"/>
          <w:color w:val="7B7B7B" w:themeColor="accent3" w:themeShade="BF"/>
          <w:sz w:val="22"/>
          <w:szCs w:val="22"/>
          <w:lang w:val="en-GB"/>
        </w:rPr>
        <w:t xml:space="preserve">ember </w:t>
      </w:r>
      <w:r w:rsidR="00FD4118">
        <w:rPr>
          <w:rFonts w:ascii="Arial" w:hAnsi="Arial" w:cs="Arial"/>
          <w:color w:val="7B7B7B" w:themeColor="accent3" w:themeShade="BF"/>
          <w:sz w:val="22"/>
          <w:szCs w:val="22"/>
          <w:lang w:val="en-GB"/>
        </w:rPr>
        <w:t>S</w:t>
      </w:r>
      <w:r w:rsidR="00D4714F">
        <w:rPr>
          <w:rFonts w:ascii="Arial" w:hAnsi="Arial" w:cs="Arial"/>
          <w:color w:val="7B7B7B" w:themeColor="accent3" w:themeShade="BF"/>
          <w:sz w:val="22"/>
          <w:szCs w:val="22"/>
          <w:lang w:val="en-GB"/>
        </w:rPr>
        <w:t>tate</w:t>
      </w:r>
      <w:r w:rsidR="00E315B7">
        <w:rPr>
          <w:rFonts w:ascii="Arial" w:hAnsi="Arial" w:cs="Arial"/>
          <w:color w:val="7B7B7B" w:themeColor="accent3" w:themeShade="BF"/>
          <w:sz w:val="22"/>
          <w:szCs w:val="22"/>
          <w:lang w:val="en-GB"/>
        </w:rPr>
        <w:t xml:space="preserve"> which</w:t>
      </w:r>
      <w:r w:rsidR="00D4714F">
        <w:rPr>
          <w:rFonts w:ascii="Arial" w:hAnsi="Arial" w:cs="Arial"/>
          <w:color w:val="7B7B7B" w:themeColor="accent3" w:themeShade="BF"/>
          <w:sz w:val="22"/>
          <w:szCs w:val="22"/>
          <w:lang w:val="en-GB"/>
        </w:rPr>
        <w:t xml:space="preserve"> opening insolvency proceeding to know whether there are other insolvency proceeding in other </w:t>
      </w:r>
      <w:r w:rsidR="00FD4118">
        <w:rPr>
          <w:rFonts w:ascii="Arial" w:hAnsi="Arial" w:cs="Arial"/>
          <w:color w:val="7B7B7B" w:themeColor="accent3" w:themeShade="BF"/>
          <w:sz w:val="22"/>
          <w:szCs w:val="22"/>
          <w:lang w:val="en-GB"/>
        </w:rPr>
        <w:t>M</w:t>
      </w:r>
      <w:r w:rsidR="00D4714F">
        <w:rPr>
          <w:rFonts w:ascii="Arial" w:hAnsi="Arial" w:cs="Arial"/>
          <w:color w:val="7B7B7B" w:themeColor="accent3" w:themeShade="BF"/>
          <w:sz w:val="22"/>
          <w:szCs w:val="22"/>
          <w:lang w:val="en-GB"/>
        </w:rPr>
        <w:t xml:space="preserve">ember </w:t>
      </w:r>
      <w:r w:rsidR="00FD4118">
        <w:rPr>
          <w:rFonts w:ascii="Arial" w:hAnsi="Arial" w:cs="Arial"/>
          <w:color w:val="7B7B7B" w:themeColor="accent3" w:themeShade="BF"/>
          <w:sz w:val="22"/>
          <w:szCs w:val="22"/>
          <w:lang w:val="en-GB"/>
        </w:rPr>
        <w:t>S</w:t>
      </w:r>
      <w:r w:rsidR="00D4714F">
        <w:rPr>
          <w:rFonts w:ascii="Arial" w:hAnsi="Arial" w:cs="Arial"/>
          <w:color w:val="7B7B7B" w:themeColor="accent3" w:themeShade="BF"/>
          <w:sz w:val="22"/>
          <w:szCs w:val="22"/>
          <w:lang w:val="en-GB"/>
        </w:rPr>
        <w:t xml:space="preserve">tate in respect of the same debtor. But there </w:t>
      </w:r>
      <w:r w:rsidR="003D3C87">
        <w:rPr>
          <w:rFonts w:ascii="Arial" w:hAnsi="Arial" w:cs="Arial"/>
          <w:color w:val="7B7B7B" w:themeColor="accent3" w:themeShade="BF"/>
          <w:sz w:val="22"/>
          <w:szCs w:val="22"/>
          <w:lang w:val="en-GB"/>
        </w:rPr>
        <w:t>was</w:t>
      </w:r>
      <w:r w:rsidR="00D4714F">
        <w:rPr>
          <w:rFonts w:ascii="Arial" w:hAnsi="Arial" w:cs="Arial"/>
          <w:color w:val="7B7B7B" w:themeColor="accent3" w:themeShade="BF"/>
          <w:sz w:val="22"/>
          <w:szCs w:val="22"/>
          <w:lang w:val="en-GB"/>
        </w:rPr>
        <w:t xml:space="preserve"> only national insolvency register in each </w:t>
      </w:r>
      <w:r w:rsidR="00871725">
        <w:rPr>
          <w:rFonts w:ascii="Arial" w:hAnsi="Arial" w:cs="Arial"/>
          <w:color w:val="7B7B7B" w:themeColor="accent3" w:themeShade="BF"/>
          <w:sz w:val="22"/>
          <w:szCs w:val="22"/>
          <w:lang w:val="en-GB"/>
        </w:rPr>
        <w:t>M</w:t>
      </w:r>
      <w:r w:rsidR="00D4714F">
        <w:rPr>
          <w:rFonts w:ascii="Arial" w:hAnsi="Arial" w:cs="Arial"/>
          <w:color w:val="7B7B7B" w:themeColor="accent3" w:themeShade="BF"/>
          <w:sz w:val="22"/>
          <w:szCs w:val="22"/>
          <w:lang w:val="en-GB"/>
        </w:rPr>
        <w:t xml:space="preserve">ember </w:t>
      </w:r>
      <w:r w:rsidR="00871725">
        <w:rPr>
          <w:rFonts w:ascii="Arial" w:hAnsi="Arial" w:cs="Arial"/>
          <w:color w:val="7B7B7B" w:themeColor="accent3" w:themeShade="BF"/>
          <w:sz w:val="22"/>
          <w:szCs w:val="22"/>
          <w:lang w:val="en-GB"/>
        </w:rPr>
        <w:t>S</w:t>
      </w:r>
      <w:r w:rsidR="00D4714F">
        <w:rPr>
          <w:rFonts w:ascii="Arial" w:hAnsi="Arial" w:cs="Arial"/>
          <w:color w:val="7B7B7B" w:themeColor="accent3" w:themeShade="BF"/>
          <w:sz w:val="22"/>
          <w:szCs w:val="22"/>
          <w:lang w:val="en-GB"/>
        </w:rPr>
        <w:t xml:space="preserve">tate, </w:t>
      </w:r>
      <w:r w:rsidR="00476DB5">
        <w:rPr>
          <w:rFonts w:ascii="Arial" w:hAnsi="Arial" w:cs="Arial"/>
          <w:color w:val="7B7B7B" w:themeColor="accent3" w:themeShade="BF"/>
          <w:sz w:val="22"/>
          <w:szCs w:val="22"/>
          <w:lang w:val="en-GB"/>
        </w:rPr>
        <w:t xml:space="preserve">the mechanism providing interconnectivity between insolvency registers were not available under EIR 2000. </w:t>
      </w:r>
      <w:r w:rsidR="00D4714F">
        <w:rPr>
          <w:rFonts w:ascii="Arial" w:hAnsi="Arial" w:cs="Arial"/>
          <w:color w:val="7B7B7B" w:themeColor="accent3" w:themeShade="BF"/>
          <w:sz w:val="22"/>
          <w:szCs w:val="22"/>
          <w:lang w:val="en-GB"/>
        </w:rPr>
        <w:t xml:space="preserve"> </w:t>
      </w:r>
      <w:r w:rsidR="006A4384">
        <w:rPr>
          <w:rFonts w:ascii="Arial" w:hAnsi="Arial" w:cs="Arial"/>
          <w:color w:val="7B7B7B" w:themeColor="accent3" w:themeShade="BF"/>
          <w:sz w:val="22"/>
          <w:szCs w:val="22"/>
          <w:lang w:val="en-GB"/>
        </w:rPr>
        <w:t xml:space="preserve">As per Article 25(1) of EIR Recast, </w:t>
      </w:r>
      <w:r w:rsidR="008A1BF7">
        <w:rPr>
          <w:rFonts w:ascii="Arial" w:hAnsi="Arial" w:cs="Arial"/>
          <w:color w:val="7B7B7B" w:themeColor="accent3" w:themeShade="BF"/>
          <w:sz w:val="22"/>
          <w:szCs w:val="22"/>
          <w:lang w:val="en-GB"/>
        </w:rPr>
        <w:t xml:space="preserve"> </w:t>
      </w:r>
      <w:r w:rsidR="004B13DC">
        <w:rPr>
          <w:rFonts w:ascii="Arial" w:hAnsi="Arial" w:cs="Arial"/>
          <w:color w:val="7B7B7B" w:themeColor="accent3" w:themeShade="BF"/>
          <w:sz w:val="22"/>
          <w:szCs w:val="22"/>
          <w:lang w:val="en-GB"/>
        </w:rPr>
        <w:t>European</w:t>
      </w:r>
      <w:r w:rsidR="006A4384" w:rsidRPr="006A4384">
        <w:rPr>
          <w:rFonts w:ascii="Arial" w:hAnsi="Arial" w:cs="Arial"/>
          <w:color w:val="7B7B7B" w:themeColor="accent3" w:themeShade="BF"/>
          <w:sz w:val="22"/>
          <w:szCs w:val="22"/>
          <w:lang w:val="en-GB"/>
        </w:rPr>
        <w:t xml:space="preserve"> Commission </w:t>
      </w:r>
      <w:r w:rsidR="004B13DC">
        <w:rPr>
          <w:rFonts w:ascii="Arial" w:hAnsi="Arial" w:cs="Arial"/>
          <w:color w:val="7B7B7B" w:themeColor="accent3" w:themeShade="BF"/>
          <w:sz w:val="22"/>
          <w:szCs w:val="22"/>
          <w:lang w:val="en-GB"/>
        </w:rPr>
        <w:t>has to</w:t>
      </w:r>
      <w:r w:rsidR="006A4384" w:rsidRPr="006A4384">
        <w:rPr>
          <w:rFonts w:ascii="Arial" w:hAnsi="Arial" w:cs="Arial"/>
          <w:color w:val="7B7B7B" w:themeColor="accent3" w:themeShade="BF"/>
          <w:sz w:val="22"/>
          <w:szCs w:val="22"/>
          <w:lang w:val="en-GB"/>
        </w:rPr>
        <w:t xml:space="preserve"> establish a decentralised system for the interconnection of insolvency registers. </w:t>
      </w:r>
      <w:r w:rsidR="004B13DC">
        <w:rPr>
          <w:rFonts w:ascii="Arial" w:hAnsi="Arial" w:cs="Arial"/>
          <w:color w:val="7B7B7B" w:themeColor="accent3" w:themeShade="BF"/>
          <w:sz w:val="22"/>
          <w:szCs w:val="22"/>
          <w:lang w:val="en-GB"/>
        </w:rPr>
        <w:t xml:space="preserve">Such </w:t>
      </w:r>
      <w:r w:rsidR="006A4384" w:rsidRPr="006A4384">
        <w:rPr>
          <w:rFonts w:ascii="Arial" w:hAnsi="Arial" w:cs="Arial"/>
          <w:color w:val="7B7B7B" w:themeColor="accent3" w:themeShade="BF"/>
          <w:sz w:val="22"/>
          <w:szCs w:val="22"/>
          <w:lang w:val="en-GB"/>
        </w:rPr>
        <w:t xml:space="preserve">system shall be composed of the insolvency registers </w:t>
      </w:r>
      <w:r w:rsidR="004B13DC">
        <w:rPr>
          <w:rFonts w:ascii="Arial" w:hAnsi="Arial" w:cs="Arial"/>
          <w:color w:val="7B7B7B" w:themeColor="accent3" w:themeShade="BF"/>
          <w:sz w:val="22"/>
          <w:szCs w:val="22"/>
          <w:lang w:val="en-GB"/>
        </w:rPr>
        <w:t xml:space="preserve">and </w:t>
      </w:r>
      <w:r w:rsidR="006A4384" w:rsidRPr="006A4384">
        <w:rPr>
          <w:rFonts w:ascii="Arial" w:hAnsi="Arial" w:cs="Arial"/>
          <w:color w:val="7B7B7B" w:themeColor="accent3" w:themeShade="BF"/>
          <w:sz w:val="22"/>
          <w:szCs w:val="22"/>
          <w:lang w:val="en-GB"/>
        </w:rPr>
        <w:t xml:space="preserve"> provide</w:t>
      </w:r>
      <w:r w:rsidR="0015287F">
        <w:rPr>
          <w:rFonts w:ascii="Arial" w:hAnsi="Arial" w:cs="Arial"/>
          <w:color w:val="7B7B7B" w:themeColor="accent3" w:themeShade="BF"/>
          <w:sz w:val="22"/>
          <w:szCs w:val="22"/>
          <w:lang w:val="en-GB"/>
        </w:rPr>
        <w:t xml:space="preserve"> the</w:t>
      </w:r>
      <w:r w:rsidR="006A4384" w:rsidRPr="006A4384">
        <w:rPr>
          <w:rFonts w:ascii="Arial" w:hAnsi="Arial" w:cs="Arial"/>
          <w:color w:val="7B7B7B" w:themeColor="accent3" w:themeShade="BF"/>
          <w:sz w:val="22"/>
          <w:szCs w:val="22"/>
          <w:lang w:val="en-GB"/>
        </w:rPr>
        <w:t xml:space="preserve"> search service in all the official languages of </w:t>
      </w:r>
      <w:r w:rsidR="004B13DC">
        <w:rPr>
          <w:rFonts w:ascii="Arial" w:hAnsi="Arial" w:cs="Arial"/>
          <w:color w:val="7B7B7B" w:themeColor="accent3" w:themeShade="BF"/>
          <w:sz w:val="22"/>
          <w:szCs w:val="22"/>
          <w:lang w:val="en-GB"/>
        </w:rPr>
        <w:t>European</w:t>
      </w:r>
      <w:r w:rsidR="006A4384" w:rsidRPr="006A4384">
        <w:rPr>
          <w:rFonts w:ascii="Arial" w:hAnsi="Arial" w:cs="Arial"/>
          <w:color w:val="7B7B7B" w:themeColor="accent3" w:themeShade="BF"/>
          <w:sz w:val="22"/>
          <w:szCs w:val="22"/>
          <w:lang w:val="en-GB"/>
        </w:rPr>
        <w:t xml:space="preserve"> Union</w:t>
      </w:r>
      <w:r w:rsidR="004B13DC">
        <w:rPr>
          <w:rFonts w:ascii="Arial" w:hAnsi="Arial" w:cs="Arial"/>
          <w:color w:val="7B7B7B" w:themeColor="accent3" w:themeShade="BF"/>
          <w:sz w:val="22"/>
          <w:szCs w:val="22"/>
          <w:lang w:val="en-GB"/>
        </w:rPr>
        <w:t>.</w:t>
      </w:r>
    </w:p>
    <w:p w14:paraId="4A637290" w14:textId="4A0282A0" w:rsidR="00544127" w:rsidRPr="005D2CD6" w:rsidRDefault="00544127" w:rsidP="00AB3D24">
      <w:pPr>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0E03231F" w:rsidR="00DF75F8" w:rsidRDefault="00BB5A4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were three improvements/innovations introduced in the EIR Recast to improve the manner in which the EIR supports the administration of a cross-border case in an efficient manner. </w:t>
      </w:r>
    </w:p>
    <w:p w14:paraId="29670C98" w14:textId="715ADCC3" w:rsidR="00C34356" w:rsidRDefault="00C34356" w:rsidP="002A37BB">
      <w:pPr>
        <w:jc w:val="both"/>
        <w:rPr>
          <w:rFonts w:ascii="Arial" w:hAnsi="Arial" w:cs="Arial"/>
          <w:color w:val="7B7B7B" w:themeColor="accent3" w:themeShade="BF"/>
          <w:sz w:val="22"/>
          <w:szCs w:val="22"/>
          <w:lang w:val="en-GB"/>
        </w:rPr>
      </w:pPr>
    </w:p>
    <w:p w14:paraId="45D411DC" w14:textId="221EA723" w:rsidR="00C34356" w:rsidRDefault="00C34356" w:rsidP="00C34356">
      <w:pPr>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I</w:t>
      </w:r>
      <w:r>
        <w:rPr>
          <w:rFonts w:ascii="Arial" w:eastAsiaTheme="minorEastAsia" w:hAnsi="Arial" w:cs="Arial"/>
          <w:color w:val="7B7B7B" w:themeColor="accent3" w:themeShade="BF"/>
          <w:sz w:val="22"/>
          <w:szCs w:val="22"/>
          <w:lang w:val="en-GB" w:eastAsia="zh-TW"/>
        </w:rPr>
        <w:t xml:space="preserve">n the first place, there was </w:t>
      </w:r>
      <w:r w:rsidRPr="00C34356">
        <w:rPr>
          <w:rFonts w:ascii="Arial" w:eastAsiaTheme="minorEastAsia" w:hAnsi="Arial" w:cs="Arial"/>
          <w:color w:val="7B7B7B" w:themeColor="accent3" w:themeShade="BF"/>
          <w:sz w:val="22"/>
          <w:szCs w:val="22"/>
          <w:lang w:val="en-GB" w:eastAsia="zh-TW"/>
        </w:rPr>
        <w:t>Synthetic secondary proceedings</w:t>
      </w:r>
      <w:r w:rsidR="00A86AC8">
        <w:rPr>
          <w:rFonts w:ascii="Arial" w:eastAsiaTheme="minorEastAsia" w:hAnsi="Arial" w:cs="Arial"/>
          <w:color w:val="7B7B7B" w:themeColor="accent3" w:themeShade="BF"/>
          <w:sz w:val="22"/>
          <w:szCs w:val="22"/>
          <w:lang w:val="en-GB" w:eastAsia="zh-TW"/>
        </w:rPr>
        <w:t xml:space="preserve">. </w:t>
      </w:r>
      <w:r w:rsidRPr="00C34356">
        <w:rPr>
          <w:rFonts w:ascii="Arial" w:eastAsiaTheme="minorEastAsia" w:hAnsi="Arial" w:cs="Arial"/>
          <w:color w:val="7B7B7B" w:themeColor="accent3" w:themeShade="BF"/>
          <w:sz w:val="22"/>
          <w:szCs w:val="22"/>
          <w:lang w:val="en-GB" w:eastAsia="zh-TW"/>
        </w:rPr>
        <w:t>EIR Recast Article 36(1)</w:t>
      </w:r>
      <w:r w:rsidR="00A86AC8">
        <w:rPr>
          <w:rFonts w:ascii="Arial" w:eastAsiaTheme="minorEastAsia" w:hAnsi="Arial" w:cs="Arial"/>
          <w:color w:val="7B7B7B" w:themeColor="accent3" w:themeShade="BF"/>
          <w:sz w:val="22"/>
          <w:szCs w:val="22"/>
          <w:lang w:val="en-GB" w:eastAsia="zh-TW"/>
        </w:rPr>
        <w:t xml:space="preserve"> provides that</w:t>
      </w:r>
      <w:r>
        <w:rPr>
          <w:rFonts w:ascii="Arial" w:eastAsiaTheme="minorEastAsia" w:hAnsi="Arial" w:cs="Arial"/>
          <w:color w:val="7B7B7B" w:themeColor="accent3" w:themeShade="BF"/>
          <w:sz w:val="22"/>
          <w:szCs w:val="22"/>
          <w:lang w:val="en-GB" w:eastAsia="zh-TW"/>
        </w:rPr>
        <w:t xml:space="preserve"> </w:t>
      </w:r>
      <w:r w:rsidRPr="00C34356">
        <w:rPr>
          <w:rFonts w:ascii="Arial" w:eastAsiaTheme="minorEastAsia" w:hAnsi="Arial" w:cs="Arial"/>
          <w:color w:val="7B7B7B" w:themeColor="accent3" w:themeShade="BF"/>
          <w:sz w:val="22"/>
          <w:szCs w:val="22"/>
          <w:lang w:val="en-GB" w:eastAsia="zh-TW"/>
        </w:rPr>
        <w:t>main insolvency practitioner may offer unilateral promise</w:t>
      </w:r>
      <w:r w:rsidR="00A86AC8">
        <w:rPr>
          <w:rFonts w:ascii="Arial" w:eastAsiaTheme="minorEastAsia" w:hAnsi="Arial" w:cs="Arial"/>
          <w:color w:val="7B7B7B" w:themeColor="accent3" w:themeShade="BF"/>
          <w:sz w:val="22"/>
          <w:szCs w:val="22"/>
          <w:lang w:val="en-GB" w:eastAsia="zh-TW"/>
        </w:rPr>
        <w:t xml:space="preserve"> </w:t>
      </w:r>
      <w:r w:rsidRPr="00C34356">
        <w:rPr>
          <w:rFonts w:ascii="Arial" w:eastAsiaTheme="minorEastAsia" w:hAnsi="Arial" w:cs="Arial"/>
          <w:color w:val="7B7B7B" w:themeColor="accent3" w:themeShade="BF"/>
          <w:sz w:val="22"/>
          <w:szCs w:val="22"/>
          <w:lang w:val="en-GB" w:eastAsia="zh-TW"/>
        </w:rPr>
        <w:t>to local creditors that they will receive treatment ‘as if’ secondary proceedings had in fact been opened. Then under Article 38(2), at the request of the main insolvency practitioner, the court took hold of the request of opening the secondary insolvency proceeding shall not open secondary insolvency proceedings if it is satisfied that the said undertaking adequately protects the general interests of local creditors</w:t>
      </w:r>
      <w:r w:rsidR="00A86AC8">
        <w:rPr>
          <w:rFonts w:ascii="Arial" w:eastAsiaTheme="minorEastAsia" w:hAnsi="Arial" w:cs="Arial"/>
          <w:color w:val="7B7B7B" w:themeColor="accent3" w:themeShade="BF"/>
          <w:sz w:val="22"/>
          <w:szCs w:val="22"/>
          <w:lang w:val="en-GB" w:eastAsia="zh-TW"/>
        </w:rPr>
        <w:t>. As a result, Synthetic secondary proceedings can save the time and cost of opening actual live secondary insolvency proceeding, and also decrease the possible hamper effect.</w:t>
      </w:r>
    </w:p>
    <w:p w14:paraId="0CFEBEFD" w14:textId="23F19826" w:rsidR="006D4DEC" w:rsidRDefault="006D4DEC" w:rsidP="00C34356">
      <w:pPr>
        <w:jc w:val="both"/>
        <w:rPr>
          <w:rFonts w:ascii="Arial" w:eastAsiaTheme="minorEastAsia" w:hAnsi="Arial" w:cs="Arial"/>
          <w:color w:val="7B7B7B" w:themeColor="accent3" w:themeShade="BF"/>
          <w:sz w:val="22"/>
          <w:szCs w:val="22"/>
          <w:lang w:val="en-GB" w:eastAsia="zh-TW"/>
        </w:rPr>
      </w:pPr>
    </w:p>
    <w:p w14:paraId="3DAA6780" w14:textId="6D09A41C" w:rsidR="00962045" w:rsidRDefault="00DB5AEC" w:rsidP="002A37BB">
      <w:pPr>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 xml:space="preserve">Besides, </w:t>
      </w:r>
      <w:r w:rsidR="00B33FC5" w:rsidRPr="00B33FC5">
        <w:rPr>
          <w:rFonts w:ascii="Arial" w:eastAsiaTheme="minorEastAsia" w:hAnsi="Arial" w:cs="Arial"/>
          <w:color w:val="7B7B7B" w:themeColor="accent3" w:themeShade="BF"/>
          <w:sz w:val="22"/>
          <w:szCs w:val="22"/>
          <w:lang w:val="en-GB" w:eastAsia="zh-TW"/>
        </w:rPr>
        <w:t xml:space="preserve">Recital 53 of EIR Recast provides that if several companies of same group are insolvent, it is still possible for a court to open the insolvency proceedings of those several companies under a single jurisdiction of the court in a single </w:t>
      </w:r>
      <w:r w:rsidR="00871725">
        <w:rPr>
          <w:rFonts w:ascii="Arial" w:eastAsiaTheme="minorEastAsia" w:hAnsi="Arial" w:cs="Arial"/>
          <w:color w:val="7B7B7B" w:themeColor="accent3" w:themeShade="BF"/>
          <w:sz w:val="22"/>
          <w:szCs w:val="22"/>
          <w:lang w:val="en-GB" w:eastAsia="zh-TW"/>
        </w:rPr>
        <w:t>M</w:t>
      </w:r>
      <w:r w:rsidR="00B33FC5" w:rsidRPr="00B33FC5">
        <w:rPr>
          <w:rFonts w:ascii="Arial" w:eastAsiaTheme="minorEastAsia" w:hAnsi="Arial" w:cs="Arial"/>
          <w:color w:val="7B7B7B" w:themeColor="accent3" w:themeShade="BF"/>
          <w:sz w:val="22"/>
          <w:szCs w:val="22"/>
          <w:lang w:val="en-GB" w:eastAsia="zh-TW"/>
        </w:rPr>
        <w:t xml:space="preserve">ember </w:t>
      </w:r>
      <w:r w:rsidR="00871725">
        <w:rPr>
          <w:rFonts w:ascii="Arial" w:eastAsiaTheme="minorEastAsia" w:hAnsi="Arial" w:cs="Arial"/>
          <w:color w:val="7B7B7B" w:themeColor="accent3" w:themeShade="BF"/>
          <w:sz w:val="22"/>
          <w:szCs w:val="22"/>
          <w:lang w:val="en-GB" w:eastAsia="zh-TW"/>
        </w:rPr>
        <w:t>S</w:t>
      </w:r>
      <w:r w:rsidR="00B33FC5" w:rsidRPr="00B33FC5">
        <w:rPr>
          <w:rFonts w:ascii="Arial" w:eastAsiaTheme="minorEastAsia" w:hAnsi="Arial" w:cs="Arial"/>
          <w:color w:val="7B7B7B" w:themeColor="accent3" w:themeShade="BF"/>
          <w:sz w:val="22"/>
          <w:szCs w:val="22"/>
          <w:lang w:val="en-GB" w:eastAsia="zh-TW"/>
        </w:rPr>
        <w:t>tate if it can establish the COMIs of those companies are located within the</w:t>
      </w:r>
      <w:r w:rsidR="00564001">
        <w:rPr>
          <w:rFonts w:ascii="Arial" w:eastAsiaTheme="minorEastAsia" w:hAnsi="Arial" w:cs="Arial"/>
          <w:color w:val="7B7B7B" w:themeColor="accent3" w:themeShade="BF"/>
          <w:sz w:val="22"/>
          <w:szCs w:val="22"/>
          <w:lang w:val="en-GB" w:eastAsia="zh-TW"/>
        </w:rPr>
        <w:t xml:space="preserve"> territory of</w:t>
      </w:r>
      <w:r w:rsidR="00B33FC5" w:rsidRPr="00B33FC5">
        <w:rPr>
          <w:rFonts w:ascii="Arial" w:eastAsiaTheme="minorEastAsia" w:hAnsi="Arial" w:cs="Arial"/>
          <w:color w:val="7B7B7B" w:themeColor="accent3" w:themeShade="BF"/>
          <w:sz w:val="22"/>
          <w:szCs w:val="22"/>
          <w:lang w:val="en-GB" w:eastAsia="zh-TW"/>
        </w:rPr>
        <w:t xml:space="preserve"> same </w:t>
      </w:r>
      <w:r w:rsidR="00871725">
        <w:rPr>
          <w:rFonts w:ascii="Arial" w:eastAsiaTheme="minorEastAsia" w:hAnsi="Arial" w:cs="Arial"/>
          <w:color w:val="7B7B7B" w:themeColor="accent3" w:themeShade="BF"/>
          <w:sz w:val="22"/>
          <w:szCs w:val="22"/>
          <w:lang w:val="en-GB" w:eastAsia="zh-TW"/>
        </w:rPr>
        <w:t>M</w:t>
      </w:r>
      <w:r w:rsidR="00B33FC5" w:rsidRPr="00B33FC5">
        <w:rPr>
          <w:rFonts w:ascii="Arial" w:eastAsiaTheme="minorEastAsia" w:hAnsi="Arial" w:cs="Arial"/>
          <w:color w:val="7B7B7B" w:themeColor="accent3" w:themeShade="BF"/>
          <w:sz w:val="22"/>
          <w:szCs w:val="22"/>
          <w:lang w:val="en-GB" w:eastAsia="zh-TW"/>
        </w:rPr>
        <w:t xml:space="preserve">ember </w:t>
      </w:r>
      <w:r w:rsidR="00871725">
        <w:rPr>
          <w:rFonts w:ascii="Arial" w:eastAsiaTheme="minorEastAsia" w:hAnsi="Arial" w:cs="Arial"/>
          <w:color w:val="7B7B7B" w:themeColor="accent3" w:themeShade="BF"/>
          <w:sz w:val="22"/>
          <w:szCs w:val="22"/>
          <w:lang w:val="en-GB" w:eastAsia="zh-TW"/>
        </w:rPr>
        <w:t>S</w:t>
      </w:r>
      <w:r w:rsidR="00B33FC5" w:rsidRPr="00B33FC5">
        <w:rPr>
          <w:rFonts w:ascii="Arial" w:eastAsiaTheme="minorEastAsia" w:hAnsi="Arial" w:cs="Arial"/>
          <w:color w:val="7B7B7B" w:themeColor="accent3" w:themeShade="BF"/>
          <w:sz w:val="22"/>
          <w:szCs w:val="22"/>
          <w:lang w:val="en-GB" w:eastAsia="zh-TW"/>
        </w:rPr>
        <w:t>tate as aforesaid.  If the said court can open insolvency proceedings for those several insolvent companies from the same group, the court may appoint the same insolvency practitioner for all those proceedings.</w:t>
      </w:r>
      <w:r w:rsidR="009E6326">
        <w:rPr>
          <w:rFonts w:ascii="Arial" w:eastAsiaTheme="minorEastAsia" w:hAnsi="Arial" w:cs="Arial"/>
          <w:color w:val="7B7B7B" w:themeColor="accent3" w:themeShade="BF"/>
          <w:sz w:val="22"/>
          <w:szCs w:val="22"/>
          <w:lang w:val="en-GB" w:eastAsia="zh-TW"/>
        </w:rPr>
        <w:t xml:space="preserve"> As a result, at least the Recital 53 can concentrate the different proceedings located in same </w:t>
      </w:r>
      <w:r w:rsidR="00871725">
        <w:rPr>
          <w:rFonts w:ascii="Arial" w:eastAsiaTheme="minorEastAsia" w:hAnsi="Arial" w:cs="Arial"/>
          <w:color w:val="7B7B7B" w:themeColor="accent3" w:themeShade="BF"/>
          <w:sz w:val="22"/>
          <w:szCs w:val="22"/>
          <w:lang w:val="en-GB" w:eastAsia="zh-TW"/>
        </w:rPr>
        <w:t>M</w:t>
      </w:r>
      <w:r w:rsidR="009E6326">
        <w:rPr>
          <w:rFonts w:ascii="Arial" w:eastAsiaTheme="minorEastAsia" w:hAnsi="Arial" w:cs="Arial"/>
          <w:color w:val="7B7B7B" w:themeColor="accent3" w:themeShade="BF"/>
          <w:sz w:val="22"/>
          <w:szCs w:val="22"/>
          <w:lang w:val="en-GB" w:eastAsia="zh-TW"/>
        </w:rPr>
        <w:t xml:space="preserve">ember </w:t>
      </w:r>
      <w:r w:rsidR="00871725">
        <w:rPr>
          <w:rFonts w:ascii="Arial" w:eastAsiaTheme="minorEastAsia" w:hAnsi="Arial" w:cs="Arial"/>
          <w:color w:val="7B7B7B" w:themeColor="accent3" w:themeShade="BF"/>
          <w:sz w:val="22"/>
          <w:szCs w:val="22"/>
          <w:lang w:val="en-GB" w:eastAsia="zh-TW"/>
        </w:rPr>
        <w:t>S</w:t>
      </w:r>
      <w:r w:rsidR="009E6326">
        <w:rPr>
          <w:rFonts w:ascii="Arial" w:eastAsiaTheme="minorEastAsia" w:hAnsi="Arial" w:cs="Arial"/>
          <w:color w:val="7B7B7B" w:themeColor="accent3" w:themeShade="BF"/>
          <w:sz w:val="22"/>
          <w:szCs w:val="22"/>
          <w:lang w:val="en-GB" w:eastAsia="zh-TW"/>
        </w:rPr>
        <w:t>tate and handled by same insolvency practitioner, which in turn save the time and cost of debtors and creditors.</w:t>
      </w:r>
    </w:p>
    <w:p w14:paraId="66285411" w14:textId="342E0870" w:rsidR="00107BCE" w:rsidRDefault="00107BCE" w:rsidP="002A37BB">
      <w:pPr>
        <w:jc w:val="both"/>
        <w:rPr>
          <w:rFonts w:ascii="Arial" w:eastAsiaTheme="minorEastAsia" w:hAnsi="Arial" w:cs="Arial"/>
          <w:color w:val="7B7B7B" w:themeColor="accent3" w:themeShade="BF"/>
          <w:sz w:val="22"/>
          <w:szCs w:val="22"/>
          <w:lang w:val="en-GB" w:eastAsia="zh-TW"/>
        </w:rPr>
      </w:pPr>
    </w:p>
    <w:p w14:paraId="6506789E" w14:textId="37623C55" w:rsidR="00107BCE" w:rsidRPr="005D2CD6" w:rsidRDefault="00107BCE" w:rsidP="002A37BB">
      <w:pPr>
        <w:jc w:val="both"/>
        <w:rPr>
          <w:rFonts w:ascii="Arial" w:hAnsi="Arial" w:cs="Arial" w:hint="eastAsia"/>
          <w:sz w:val="22"/>
          <w:szCs w:val="22"/>
          <w:shd w:val="clear" w:color="auto" w:fill="FFFFFF"/>
        </w:rPr>
      </w:pPr>
      <w:r>
        <w:rPr>
          <w:rFonts w:ascii="Arial" w:eastAsiaTheme="minorEastAsia" w:hAnsi="Arial" w:cs="Arial" w:hint="eastAsia"/>
          <w:color w:val="7B7B7B" w:themeColor="accent3" w:themeShade="BF"/>
          <w:sz w:val="22"/>
          <w:szCs w:val="22"/>
          <w:lang w:val="en-GB" w:eastAsia="zh-TW"/>
        </w:rPr>
        <w:t>L</w:t>
      </w:r>
      <w:r>
        <w:rPr>
          <w:rFonts w:ascii="Arial" w:eastAsiaTheme="minorEastAsia" w:hAnsi="Arial" w:cs="Arial"/>
          <w:color w:val="7B7B7B" w:themeColor="accent3" w:themeShade="BF"/>
          <w:sz w:val="22"/>
          <w:szCs w:val="22"/>
          <w:lang w:val="en-GB" w:eastAsia="zh-TW"/>
        </w:rPr>
        <w:t xml:space="preserve">ast but not the least, </w:t>
      </w:r>
      <w:r w:rsidRPr="00107BCE">
        <w:rPr>
          <w:rFonts w:ascii="Arial" w:eastAsiaTheme="minorEastAsia" w:hAnsi="Arial" w:cs="Arial"/>
          <w:color w:val="7B7B7B" w:themeColor="accent3" w:themeShade="BF"/>
          <w:sz w:val="22"/>
          <w:szCs w:val="22"/>
          <w:lang w:val="en-GB" w:eastAsia="zh-TW"/>
        </w:rPr>
        <w:t>the scope of EIR was extended to include restructuring proceeding by Recital 10 of the EIR Recast. As per Recital 10, EIR  extend to proceedings which provide for restructuring of a debtor at a stage where there is only a likelihood of insolvency, and to proceedings which leave the debtor fully or partially in control of its assets and affairs.</w:t>
      </w:r>
    </w:p>
    <w:p w14:paraId="1B4D523B" w14:textId="005862C6" w:rsidR="00366E35" w:rsidRDefault="00366E35" w:rsidP="002A37BB">
      <w:pPr>
        <w:jc w:val="both"/>
        <w:rPr>
          <w:rFonts w:ascii="Arial" w:hAnsi="Arial" w:cs="Arial"/>
          <w:sz w:val="22"/>
          <w:szCs w:val="22"/>
          <w:shd w:val="clear" w:color="auto" w:fill="FFFFFF"/>
        </w:rPr>
      </w:pPr>
    </w:p>
    <w:p w14:paraId="59D20864" w14:textId="6998C296" w:rsidR="00366E35" w:rsidRDefault="00366E35" w:rsidP="002A37BB">
      <w:pPr>
        <w:jc w:val="both"/>
        <w:rPr>
          <w:rFonts w:ascii="Arial" w:hAnsi="Arial" w:cs="Arial"/>
          <w:sz w:val="22"/>
          <w:szCs w:val="22"/>
          <w:shd w:val="clear" w:color="auto" w:fill="FFFFFF"/>
        </w:rPr>
      </w:pPr>
    </w:p>
    <w:p w14:paraId="246DF00D" w14:textId="289EEA5B" w:rsidR="00366E35" w:rsidRDefault="00366E35" w:rsidP="002A37BB">
      <w:pPr>
        <w:jc w:val="both"/>
        <w:rPr>
          <w:rFonts w:ascii="Arial" w:hAnsi="Arial" w:cs="Arial"/>
          <w:sz w:val="22"/>
          <w:szCs w:val="22"/>
          <w:shd w:val="clear" w:color="auto" w:fill="FFFFFF"/>
        </w:rPr>
      </w:pPr>
    </w:p>
    <w:p w14:paraId="73917168" w14:textId="77777777" w:rsidR="00366E35" w:rsidRPr="005D2CD6" w:rsidRDefault="00366E35"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lastRenderedPageBreak/>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2BAE9FBF" w14:textId="77777777" w:rsidR="007B60D8" w:rsidRDefault="0013002C" w:rsidP="007B60D8">
      <w:pPr>
        <w:pStyle w:val="a3"/>
        <w:numPr>
          <w:ilvl w:val="0"/>
          <w:numId w:val="14"/>
        </w:numPr>
        <w:jc w:val="both"/>
        <w:rPr>
          <w:rFonts w:ascii="Arial" w:hAnsi="Arial" w:cs="Arial"/>
          <w:color w:val="7B7B7B" w:themeColor="accent3" w:themeShade="BF"/>
          <w:sz w:val="22"/>
          <w:szCs w:val="22"/>
          <w:lang w:val="en-GB"/>
        </w:rPr>
      </w:pPr>
      <w:r w:rsidRPr="00A40111">
        <w:rPr>
          <w:rFonts w:ascii="Arial" w:hAnsi="Arial" w:cs="Arial"/>
          <w:color w:val="7B7B7B" w:themeColor="accent3" w:themeShade="BF"/>
          <w:sz w:val="22"/>
          <w:szCs w:val="22"/>
          <w:lang w:val="en-GB"/>
        </w:rPr>
        <w:t>Group coordination proceedings which are voluntary</w:t>
      </w:r>
      <w:r w:rsidR="00A40111" w:rsidRPr="00A40111">
        <w:rPr>
          <w:rFonts w:ascii="Arial" w:hAnsi="Arial" w:cs="Arial"/>
          <w:color w:val="7B7B7B" w:themeColor="accent3" w:themeShade="BF"/>
          <w:sz w:val="22"/>
          <w:szCs w:val="22"/>
          <w:lang w:val="en-GB"/>
        </w:rPr>
        <w:t xml:space="preserve"> and can be easily opted out without</w:t>
      </w:r>
      <w:r w:rsidR="007B60D8">
        <w:rPr>
          <w:rFonts w:ascii="Arial" w:hAnsi="Arial" w:cs="Arial"/>
          <w:color w:val="7B7B7B" w:themeColor="accent3" w:themeShade="BF"/>
          <w:sz w:val="22"/>
          <w:szCs w:val="22"/>
          <w:lang w:val="en-GB"/>
        </w:rPr>
        <w:t xml:space="preserve"> </w:t>
      </w:r>
    </w:p>
    <w:p w14:paraId="08C31912" w14:textId="60075947" w:rsidR="007B60D8" w:rsidRDefault="00A40111" w:rsidP="007B60D8">
      <w:pPr>
        <w:jc w:val="both"/>
        <w:rPr>
          <w:rFonts w:ascii="Arial" w:hAnsi="Arial" w:cs="Arial"/>
          <w:color w:val="7B7B7B" w:themeColor="accent3" w:themeShade="BF"/>
          <w:sz w:val="22"/>
          <w:szCs w:val="22"/>
          <w:lang w:val="en-GB"/>
        </w:rPr>
      </w:pPr>
      <w:r w:rsidRPr="007B60D8">
        <w:rPr>
          <w:rFonts w:ascii="Arial" w:hAnsi="Arial" w:cs="Arial"/>
          <w:color w:val="7B7B7B" w:themeColor="accent3" w:themeShade="BF"/>
          <w:sz w:val="22"/>
          <w:szCs w:val="22"/>
          <w:lang w:val="en-GB"/>
        </w:rPr>
        <w:t>the need of explanation</w:t>
      </w:r>
      <w:r w:rsidR="00C96D10">
        <w:rPr>
          <w:rFonts w:ascii="Arial" w:hAnsi="Arial" w:cs="Arial"/>
          <w:color w:val="7B7B7B" w:themeColor="accent3" w:themeShade="BF"/>
          <w:sz w:val="22"/>
          <w:szCs w:val="22"/>
          <w:lang w:val="en-GB"/>
        </w:rPr>
        <w:t xml:space="preserve"> or good reason</w:t>
      </w:r>
      <w:r w:rsidRPr="007B60D8">
        <w:rPr>
          <w:rFonts w:ascii="Arial" w:hAnsi="Arial" w:cs="Arial"/>
          <w:color w:val="7B7B7B" w:themeColor="accent3" w:themeShade="BF"/>
          <w:sz w:val="22"/>
          <w:szCs w:val="22"/>
          <w:lang w:val="en-GB"/>
        </w:rPr>
        <w:t xml:space="preserve">. Group coordination proceedings also </w:t>
      </w:r>
      <w:r w:rsidR="0013002C" w:rsidRPr="007B60D8">
        <w:rPr>
          <w:rFonts w:ascii="Arial" w:hAnsi="Arial" w:cs="Arial"/>
          <w:color w:val="7B7B7B" w:themeColor="accent3" w:themeShade="BF"/>
          <w:sz w:val="22"/>
          <w:szCs w:val="22"/>
          <w:lang w:val="en-GB"/>
        </w:rPr>
        <w:t>do not confer b</w:t>
      </w:r>
      <w:r w:rsidR="004C00F3" w:rsidRPr="007B60D8">
        <w:rPr>
          <w:rFonts w:ascii="Arial" w:hAnsi="Arial" w:cs="Arial"/>
          <w:color w:val="7B7B7B" w:themeColor="accent3" w:themeShade="BF"/>
          <w:sz w:val="22"/>
          <w:szCs w:val="22"/>
          <w:lang w:val="en-GB"/>
        </w:rPr>
        <w:t>inding power to</w:t>
      </w:r>
      <w:r w:rsidRPr="007B60D8">
        <w:rPr>
          <w:rFonts w:ascii="Arial" w:hAnsi="Arial" w:cs="Arial"/>
          <w:color w:val="7B7B7B" w:themeColor="accent3" w:themeShade="BF"/>
          <w:sz w:val="22"/>
          <w:szCs w:val="22"/>
          <w:lang w:val="en-GB"/>
        </w:rPr>
        <w:t xml:space="preserve"> </w:t>
      </w:r>
      <w:r w:rsidR="004C00F3" w:rsidRPr="007B60D8">
        <w:rPr>
          <w:rFonts w:ascii="Arial" w:hAnsi="Arial" w:cs="Arial"/>
          <w:color w:val="7B7B7B" w:themeColor="accent3" w:themeShade="BF"/>
          <w:sz w:val="22"/>
          <w:szCs w:val="22"/>
          <w:lang w:val="en-GB"/>
        </w:rPr>
        <w:t xml:space="preserve"> group coordinator</w:t>
      </w:r>
      <w:r w:rsidRPr="007B60D8">
        <w:rPr>
          <w:rFonts w:ascii="Arial" w:hAnsi="Arial" w:cs="Arial"/>
          <w:color w:val="7B7B7B" w:themeColor="accent3" w:themeShade="BF"/>
          <w:sz w:val="22"/>
          <w:szCs w:val="22"/>
          <w:lang w:val="en-GB"/>
        </w:rPr>
        <w:t>’s plan or suggestion, the insolvency practitioners are free to ignore the proposal of group coordinator.</w:t>
      </w:r>
      <w:r w:rsidR="007B60D8" w:rsidRPr="007B60D8">
        <w:rPr>
          <w:rFonts w:ascii="Arial" w:hAnsi="Arial" w:cs="Arial"/>
          <w:color w:val="7B7B7B" w:themeColor="accent3" w:themeShade="BF"/>
          <w:sz w:val="22"/>
          <w:szCs w:val="22"/>
          <w:lang w:val="en-GB"/>
        </w:rPr>
        <w:t xml:space="preserve"> </w:t>
      </w:r>
    </w:p>
    <w:p w14:paraId="4C80E233" w14:textId="77777777" w:rsidR="007B60D8" w:rsidRDefault="007B60D8" w:rsidP="007B60D8">
      <w:pPr>
        <w:jc w:val="both"/>
        <w:rPr>
          <w:rFonts w:ascii="Arial" w:hAnsi="Arial" w:cs="Arial"/>
          <w:color w:val="7B7B7B" w:themeColor="accent3" w:themeShade="BF"/>
          <w:sz w:val="22"/>
          <w:szCs w:val="22"/>
          <w:lang w:val="en-GB"/>
        </w:rPr>
      </w:pPr>
    </w:p>
    <w:p w14:paraId="46CB6CCF" w14:textId="797C8F2E" w:rsidR="00A40111" w:rsidRPr="007B60D8" w:rsidRDefault="007B60D8" w:rsidP="007B60D8">
      <w:pPr>
        <w:jc w:val="both"/>
        <w:rPr>
          <w:rFonts w:ascii="Arial" w:hAnsi="Arial" w:cs="Arial" w:hint="eastAsia"/>
          <w:color w:val="7B7B7B" w:themeColor="accent3" w:themeShade="BF"/>
          <w:sz w:val="22"/>
          <w:szCs w:val="22"/>
          <w:lang w:val="en-GB"/>
        </w:rPr>
      </w:pPr>
      <w:r w:rsidRPr="007B60D8">
        <w:rPr>
          <w:rFonts w:ascii="Arial" w:hAnsi="Arial" w:cs="Arial"/>
          <w:color w:val="7B7B7B" w:themeColor="accent3" w:themeShade="BF"/>
          <w:sz w:val="22"/>
          <w:szCs w:val="22"/>
          <w:lang w:val="en-GB"/>
        </w:rPr>
        <w:t xml:space="preserve">(2) </w:t>
      </w:r>
      <w:r w:rsidR="00D41B78">
        <w:rPr>
          <w:rFonts w:ascii="Arial" w:hAnsi="Arial" w:cs="Arial"/>
          <w:color w:val="7B7B7B" w:themeColor="accent3" w:themeShade="BF"/>
          <w:sz w:val="22"/>
          <w:szCs w:val="22"/>
          <w:lang w:val="en-GB"/>
        </w:rPr>
        <w:t xml:space="preserve">Usually corporate group tend to expand and develop their business across the border of EU. </w:t>
      </w:r>
      <w:r>
        <w:rPr>
          <w:rFonts w:ascii="Arial" w:hAnsi="Arial" w:cs="Arial"/>
          <w:color w:val="7B7B7B" w:themeColor="accent3" w:themeShade="BF"/>
          <w:sz w:val="22"/>
          <w:szCs w:val="22"/>
          <w:lang w:val="en-GB"/>
        </w:rPr>
        <w:t xml:space="preserve">Group provisions in EIR Recast do not cover the insolvency proceedings and insolvency practitioners in respect of member companies of the group which are situated in non- EU </w:t>
      </w:r>
      <w:r w:rsidR="00AE5687">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ember </w:t>
      </w:r>
      <w:r w:rsidR="00AE568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tates</w:t>
      </w:r>
      <w:r w:rsidR="00D41B78">
        <w:rPr>
          <w:rFonts w:ascii="Arial" w:hAnsi="Arial" w:cs="Arial"/>
          <w:color w:val="7B7B7B" w:themeColor="accent3" w:themeShade="BF"/>
          <w:sz w:val="22"/>
          <w:szCs w:val="22"/>
          <w:lang w:val="en-GB"/>
        </w:rPr>
        <w:t>, accordingly the solution under group provisions in EIR Recast for entire group will be incomprehensive and incomplete.</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6"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1E91EAC5" w14:textId="59DE9802" w:rsidR="00A05035" w:rsidRDefault="008119B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per Article 3(1) of EIR 2000, t</w:t>
      </w:r>
      <w:r w:rsidRPr="008119B8">
        <w:rPr>
          <w:rFonts w:ascii="Arial" w:hAnsi="Arial" w:cs="Arial"/>
          <w:color w:val="7B7B7B" w:themeColor="accent3" w:themeShade="BF"/>
          <w:sz w:val="22"/>
          <w:szCs w:val="22"/>
          <w:lang w:val="en-GB"/>
        </w:rPr>
        <w:t xml:space="preserve">he courts of the </w:t>
      </w:r>
      <w:r w:rsidR="00AE5687">
        <w:rPr>
          <w:rFonts w:ascii="Arial" w:hAnsi="Arial" w:cs="Arial"/>
          <w:color w:val="7B7B7B" w:themeColor="accent3" w:themeShade="BF"/>
          <w:sz w:val="22"/>
          <w:szCs w:val="22"/>
          <w:lang w:val="en-GB"/>
        </w:rPr>
        <w:t>M</w:t>
      </w:r>
      <w:r w:rsidRPr="008119B8">
        <w:rPr>
          <w:rFonts w:ascii="Arial" w:hAnsi="Arial" w:cs="Arial"/>
          <w:color w:val="7B7B7B" w:themeColor="accent3" w:themeShade="BF"/>
          <w:sz w:val="22"/>
          <w:szCs w:val="22"/>
          <w:lang w:val="en-GB"/>
        </w:rPr>
        <w:t xml:space="preserve">ember </w:t>
      </w:r>
      <w:r w:rsidR="00AE5687">
        <w:rPr>
          <w:rFonts w:ascii="Arial" w:hAnsi="Arial" w:cs="Arial"/>
          <w:color w:val="7B7B7B" w:themeColor="accent3" w:themeShade="BF"/>
          <w:sz w:val="22"/>
          <w:szCs w:val="22"/>
          <w:lang w:val="en-GB"/>
        </w:rPr>
        <w:t>S</w:t>
      </w:r>
      <w:r w:rsidRPr="008119B8">
        <w:rPr>
          <w:rFonts w:ascii="Arial" w:hAnsi="Arial" w:cs="Arial"/>
          <w:color w:val="7B7B7B" w:themeColor="accent3" w:themeShade="BF"/>
          <w:sz w:val="22"/>
          <w:szCs w:val="22"/>
          <w:lang w:val="en-GB"/>
        </w:rPr>
        <w:t xml:space="preserve">tate within the territory of which the centre of a debtor's main interests is situated shall have jurisdiction to open insolvency proceedings. </w:t>
      </w:r>
      <w:r>
        <w:rPr>
          <w:rFonts w:ascii="Arial" w:hAnsi="Arial" w:cs="Arial"/>
          <w:color w:val="7B7B7B" w:themeColor="accent3" w:themeShade="BF"/>
          <w:sz w:val="22"/>
          <w:szCs w:val="22"/>
          <w:lang w:val="en-GB"/>
        </w:rPr>
        <w:t>For the company</w:t>
      </w:r>
      <w:r w:rsidRPr="008119B8">
        <w:rPr>
          <w:rFonts w:ascii="Arial" w:hAnsi="Arial" w:cs="Arial"/>
          <w:color w:val="7B7B7B" w:themeColor="accent3" w:themeShade="BF"/>
          <w:sz w:val="22"/>
          <w:szCs w:val="22"/>
          <w:lang w:val="en-GB"/>
        </w:rPr>
        <w:t xml:space="preserve"> the place of the registered office </w:t>
      </w:r>
      <w:r>
        <w:rPr>
          <w:rFonts w:ascii="Arial" w:hAnsi="Arial" w:cs="Arial"/>
          <w:color w:val="7B7B7B" w:themeColor="accent3" w:themeShade="BF"/>
          <w:sz w:val="22"/>
          <w:szCs w:val="22"/>
          <w:lang w:val="en-GB"/>
        </w:rPr>
        <w:t>is</w:t>
      </w:r>
      <w:r w:rsidRPr="008119B8">
        <w:rPr>
          <w:rFonts w:ascii="Arial" w:hAnsi="Arial" w:cs="Arial"/>
          <w:color w:val="7B7B7B" w:themeColor="accent3" w:themeShade="BF"/>
          <w:sz w:val="22"/>
          <w:szCs w:val="22"/>
          <w:lang w:val="en-GB"/>
        </w:rPr>
        <w:t xml:space="preserve"> presumed to be the centre of its main interests</w:t>
      </w:r>
      <w:r w:rsidR="001D38BD">
        <w:rPr>
          <w:rFonts w:ascii="Arial" w:hAnsi="Arial" w:cs="Arial"/>
          <w:color w:val="7B7B7B" w:themeColor="accent3" w:themeShade="BF"/>
          <w:sz w:val="22"/>
          <w:szCs w:val="22"/>
          <w:lang w:val="en-GB"/>
        </w:rPr>
        <w:t xml:space="preserve"> (“COMI”)</w:t>
      </w:r>
      <w:r w:rsidR="00C45AB0">
        <w:rPr>
          <w:rFonts w:ascii="Arial" w:hAnsi="Arial" w:cs="Arial"/>
          <w:color w:val="7B7B7B" w:themeColor="accent3" w:themeShade="BF"/>
          <w:sz w:val="22"/>
          <w:szCs w:val="22"/>
          <w:lang w:val="en-GB"/>
        </w:rPr>
        <w:t xml:space="preserve"> in the absence of proof of contrary</w:t>
      </w:r>
      <w:r w:rsidRPr="008119B8">
        <w:rPr>
          <w:rFonts w:ascii="Arial" w:hAnsi="Arial" w:cs="Arial"/>
          <w:color w:val="7B7B7B" w:themeColor="accent3" w:themeShade="BF"/>
          <w:sz w:val="22"/>
          <w:szCs w:val="22"/>
          <w:lang w:val="en-GB"/>
        </w:rPr>
        <w:t>.</w:t>
      </w:r>
      <w:r w:rsidR="00F973C1">
        <w:rPr>
          <w:rFonts w:ascii="Arial" w:hAnsi="Arial" w:cs="Arial"/>
          <w:color w:val="7B7B7B" w:themeColor="accent3" w:themeShade="BF"/>
          <w:sz w:val="22"/>
          <w:szCs w:val="22"/>
          <w:lang w:val="en-GB"/>
        </w:rPr>
        <w:t xml:space="preserve"> </w:t>
      </w:r>
      <w:r w:rsidR="00A05035">
        <w:rPr>
          <w:rFonts w:ascii="Arial" w:hAnsi="Arial" w:cs="Arial"/>
          <w:color w:val="7B7B7B" w:themeColor="accent3" w:themeShade="BF"/>
          <w:sz w:val="22"/>
          <w:szCs w:val="22"/>
          <w:lang w:val="en-GB"/>
        </w:rPr>
        <w:t>As per Recital 13 of EIR 2000, COMI</w:t>
      </w:r>
      <w:r w:rsidR="00A05035" w:rsidRPr="00A05035">
        <w:rPr>
          <w:rFonts w:ascii="Arial" w:hAnsi="Arial" w:cs="Arial"/>
          <w:color w:val="7B7B7B" w:themeColor="accent3" w:themeShade="BF"/>
          <w:sz w:val="22"/>
          <w:szCs w:val="22"/>
          <w:lang w:val="en-GB"/>
        </w:rPr>
        <w:t xml:space="preserve"> should correspond to the place where the debtor </w:t>
      </w:r>
      <w:r w:rsidR="00A05035">
        <w:rPr>
          <w:rFonts w:ascii="Arial" w:hAnsi="Arial" w:cs="Arial"/>
          <w:color w:val="7B7B7B" w:themeColor="accent3" w:themeShade="BF"/>
          <w:sz w:val="22"/>
          <w:szCs w:val="22"/>
          <w:lang w:val="en-GB"/>
        </w:rPr>
        <w:t>conducts</w:t>
      </w:r>
      <w:r w:rsidR="00A05035" w:rsidRPr="00A05035">
        <w:rPr>
          <w:rFonts w:ascii="Arial" w:hAnsi="Arial" w:cs="Arial"/>
          <w:color w:val="7B7B7B" w:themeColor="accent3" w:themeShade="BF"/>
          <w:sz w:val="22"/>
          <w:szCs w:val="22"/>
          <w:lang w:val="en-GB"/>
        </w:rPr>
        <w:t xml:space="preserve"> the administration of his interests on a regular basis and is therefore ascertainable by third parties.</w:t>
      </w:r>
      <w:r w:rsidR="003520FC" w:rsidRPr="003520FC">
        <w:t xml:space="preserve"> </w:t>
      </w:r>
      <w:r w:rsidR="003520FC" w:rsidRPr="003520FC">
        <w:rPr>
          <w:rFonts w:ascii="Arial" w:hAnsi="Arial" w:cs="Arial"/>
          <w:color w:val="7B7B7B" w:themeColor="accent3" w:themeShade="BF"/>
          <w:sz w:val="22"/>
          <w:szCs w:val="22"/>
          <w:lang w:val="en-GB"/>
        </w:rPr>
        <w:t>Furthermore, as per Article 2(a) of EIR 2000, the insolvency proceedings are listed in Annex A.</w:t>
      </w:r>
    </w:p>
    <w:p w14:paraId="766F9EED" w14:textId="3330DA1E" w:rsidR="0050015D" w:rsidRDefault="0050015D" w:rsidP="002A37BB">
      <w:pPr>
        <w:jc w:val="both"/>
        <w:rPr>
          <w:rFonts w:ascii="Arial" w:hAnsi="Arial" w:cs="Arial"/>
          <w:color w:val="7B7B7B" w:themeColor="accent3" w:themeShade="BF"/>
          <w:sz w:val="22"/>
          <w:szCs w:val="22"/>
          <w:lang w:val="en-GB"/>
        </w:rPr>
      </w:pPr>
    </w:p>
    <w:p w14:paraId="742C79A7" w14:textId="29AEBFFF" w:rsidR="0050015D" w:rsidRPr="0050015D" w:rsidRDefault="0050015D" w:rsidP="002A37BB">
      <w:pPr>
        <w:jc w:val="both"/>
        <w:rPr>
          <w:rFonts w:ascii="Arial" w:eastAsiaTheme="minorEastAsia" w:hAnsi="Arial" w:cs="Arial" w:hint="eastAsia"/>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I</w:t>
      </w:r>
      <w:r>
        <w:rPr>
          <w:rFonts w:ascii="Arial" w:eastAsiaTheme="minorEastAsia" w:hAnsi="Arial" w:cs="Arial"/>
          <w:color w:val="7B7B7B" w:themeColor="accent3" w:themeShade="BF"/>
          <w:sz w:val="22"/>
          <w:szCs w:val="22"/>
          <w:lang w:val="en-GB" w:eastAsia="zh-TW"/>
        </w:rPr>
        <w:t xml:space="preserve">n </w:t>
      </w:r>
      <w:proofErr w:type="spellStart"/>
      <w:r w:rsidRPr="0050015D">
        <w:rPr>
          <w:rFonts w:ascii="Arial" w:eastAsiaTheme="minorEastAsia" w:hAnsi="Arial" w:cs="Arial"/>
          <w:b/>
          <w:bCs/>
          <w:color w:val="7B7B7B" w:themeColor="accent3" w:themeShade="BF"/>
          <w:sz w:val="22"/>
          <w:szCs w:val="22"/>
          <w:u w:val="single"/>
          <w:lang w:val="en-GB" w:eastAsia="zh-TW"/>
        </w:rPr>
        <w:t>Interedil</w:t>
      </w:r>
      <w:proofErr w:type="spellEnd"/>
      <w:r w:rsidRPr="0050015D">
        <w:rPr>
          <w:rFonts w:ascii="Arial" w:eastAsiaTheme="minorEastAsia" w:hAnsi="Arial" w:cs="Arial"/>
          <w:b/>
          <w:bCs/>
          <w:color w:val="7B7B7B" w:themeColor="accent3" w:themeShade="BF"/>
          <w:sz w:val="22"/>
          <w:szCs w:val="22"/>
          <w:u w:val="single"/>
          <w:lang w:val="en-GB" w:eastAsia="zh-TW"/>
        </w:rPr>
        <w:t xml:space="preserve"> </w:t>
      </w:r>
      <w:proofErr w:type="spellStart"/>
      <w:r w:rsidRPr="0050015D">
        <w:rPr>
          <w:rFonts w:ascii="Arial" w:eastAsiaTheme="minorEastAsia" w:hAnsi="Arial" w:cs="Arial"/>
          <w:b/>
          <w:bCs/>
          <w:color w:val="7B7B7B" w:themeColor="accent3" w:themeShade="BF"/>
          <w:sz w:val="22"/>
          <w:szCs w:val="22"/>
          <w:u w:val="single"/>
          <w:lang w:val="en-GB" w:eastAsia="zh-TW"/>
        </w:rPr>
        <w:t>Srl</w:t>
      </w:r>
      <w:proofErr w:type="spellEnd"/>
      <w:r w:rsidRPr="0050015D">
        <w:rPr>
          <w:rFonts w:ascii="Arial" w:eastAsiaTheme="minorEastAsia" w:hAnsi="Arial" w:cs="Arial"/>
          <w:b/>
          <w:bCs/>
          <w:color w:val="7B7B7B" w:themeColor="accent3" w:themeShade="BF"/>
          <w:sz w:val="22"/>
          <w:szCs w:val="22"/>
          <w:u w:val="single"/>
          <w:lang w:val="en-GB" w:eastAsia="zh-TW"/>
        </w:rPr>
        <w:t xml:space="preserve"> v </w:t>
      </w:r>
      <w:proofErr w:type="spellStart"/>
      <w:r w:rsidRPr="0050015D">
        <w:rPr>
          <w:rFonts w:ascii="Arial" w:eastAsiaTheme="minorEastAsia" w:hAnsi="Arial" w:cs="Arial"/>
          <w:b/>
          <w:bCs/>
          <w:color w:val="7B7B7B" w:themeColor="accent3" w:themeShade="BF"/>
          <w:sz w:val="22"/>
          <w:szCs w:val="22"/>
          <w:u w:val="single"/>
          <w:lang w:val="en-GB" w:eastAsia="zh-TW"/>
        </w:rPr>
        <w:t>Fallimento</w:t>
      </w:r>
      <w:proofErr w:type="spellEnd"/>
      <w:r w:rsidRPr="0050015D">
        <w:rPr>
          <w:rFonts w:ascii="Arial" w:eastAsiaTheme="minorEastAsia" w:hAnsi="Arial" w:cs="Arial"/>
          <w:b/>
          <w:bCs/>
          <w:color w:val="7B7B7B" w:themeColor="accent3" w:themeShade="BF"/>
          <w:sz w:val="22"/>
          <w:szCs w:val="22"/>
          <w:u w:val="single"/>
          <w:lang w:val="en-GB" w:eastAsia="zh-TW"/>
        </w:rPr>
        <w:t xml:space="preserve"> </w:t>
      </w:r>
      <w:proofErr w:type="spellStart"/>
      <w:r w:rsidRPr="0050015D">
        <w:rPr>
          <w:rFonts w:ascii="Arial" w:eastAsiaTheme="minorEastAsia" w:hAnsi="Arial" w:cs="Arial"/>
          <w:b/>
          <w:bCs/>
          <w:color w:val="7B7B7B" w:themeColor="accent3" w:themeShade="BF"/>
          <w:sz w:val="22"/>
          <w:szCs w:val="22"/>
          <w:u w:val="single"/>
          <w:lang w:val="en-GB" w:eastAsia="zh-TW"/>
        </w:rPr>
        <w:t>Interedil</w:t>
      </w:r>
      <w:proofErr w:type="spellEnd"/>
      <w:r w:rsidRPr="0050015D">
        <w:rPr>
          <w:rFonts w:ascii="Arial" w:eastAsiaTheme="minorEastAsia" w:hAnsi="Arial" w:cs="Arial"/>
          <w:b/>
          <w:bCs/>
          <w:color w:val="7B7B7B" w:themeColor="accent3" w:themeShade="BF"/>
          <w:sz w:val="22"/>
          <w:szCs w:val="22"/>
          <w:u w:val="single"/>
          <w:lang w:val="en-GB" w:eastAsia="zh-TW"/>
        </w:rPr>
        <w:t xml:space="preserve"> </w:t>
      </w:r>
      <w:proofErr w:type="spellStart"/>
      <w:r w:rsidRPr="0050015D">
        <w:rPr>
          <w:rFonts w:ascii="Arial" w:eastAsiaTheme="minorEastAsia" w:hAnsi="Arial" w:cs="Arial"/>
          <w:b/>
          <w:bCs/>
          <w:color w:val="7B7B7B" w:themeColor="accent3" w:themeShade="BF"/>
          <w:sz w:val="22"/>
          <w:szCs w:val="22"/>
          <w:u w:val="single"/>
          <w:lang w:val="en-GB" w:eastAsia="zh-TW"/>
        </w:rPr>
        <w:t>Srl</w:t>
      </w:r>
      <w:proofErr w:type="spellEnd"/>
      <w:r>
        <w:rPr>
          <w:rFonts w:ascii="Arial" w:eastAsiaTheme="minorEastAsia" w:hAnsi="Arial" w:cs="Arial"/>
          <w:color w:val="7B7B7B" w:themeColor="accent3" w:themeShade="BF"/>
          <w:sz w:val="22"/>
          <w:szCs w:val="22"/>
          <w:lang w:val="en-GB" w:eastAsia="zh-TW"/>
        </w:rPr>
        <w:t>, the CJEU has ruled that the said COMI presumptions cannot be rebutted when the management and supervision of the debtor</w:t>
      </w:r>
      <w:r w:rsidR="00AA1767">
        <w:rPr>
          <w:rFonts w:ascii="Arial" w:eastAsiaTheme="minorEastAsia" w:hAnsi="Arial" w:cs="Arial"/>
          <w:color w:val="7B7B7B" w:themeColor="accent3" w:themeShade="BF"/>
          <w:sz w:val="22"/>
          <w:szCs w:val="22"/>
          <w:lang w:val="en-GB" w:eastAsia="zh-TW"/>
        </w:rPr>
        <w:t xml:space="preserve"> are situated</w:t>
      </w:r>
      <w:r>
        <w:rPr>
          <w:rFonts w:ascii="Arial" w:eastAsiaTheme="minorEastAsia" w:hAnsi="Arial" w:cs="Arial"/>
          <w:color w:val="7B7B7B" w:themeColor="accent3" w:themeShade="BF"/>
          <w:sz w:val="22"/>
          <w:szCs w:val="22"/>
          <w:lang w:val="en-GB" w:eastAsia="zh-TW"/>
        </w:rPr>
        <w:t xml:space="preserve"> at the same place as its registered office</w:t>
      </w:r>
      <w:r w:rsidR="00AA1767">
        <w:rPr>
          <w:rFonts w:ascii="Arial" w:eastAsiaTheme="minorEastAsia" w:hAnsi="Arial" w:cs="Arial"/>
          <w:color w:val="7B7B7B" w:themeColor="accent3" w:themeShade="BF"/>
          <w:sz w:val="22"/>
          <w:szCs w:val="22"/>
          <w:lang w:val="en-GB" w:eastAsia="zh-TW"/>
        </w:rPr>
        <w:t>, and the management decisions of the debtor are also made in the same registered office in a manner as ascertainable by third parties.</w:t>
      </w:r>
    </w:p>
    <w:p w14:paraId="131BCDE6" w14:textId="77777777" w:rsidR="00A05035" w:rsidRDefault="00A05035" w:rsidP="002A37BB">
      <w:pPr>
        <w:jc w:val="both"/>
        <w:rPr>
          <w:rFonts w:ascii="Arial" w:hAnsi="Arial" w:cs="Arial"/>
          <w:color w:val="7B7B7B" w:themeColor="accent3" w:themeShade="BF"/>
          <w:sz w:val="22"/>
          <w:szCs w:val="22"/>
          <w:lang w:val="en-GB"/>
        </w:rPr>
      </w:pPr>
    </w:p>
    <w:p w14:paraId="33E502E0" w14:textId="648637F8" w:rsidR="009212C8" w:rsidRDefault="00B93F1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our case, as the debtor is an Ireland registered company, its place of the registered office is presumed to be its COMI</w:t>
      </w:r>
      <w:r w:rsidR="005B5E3C">
        <w:rPr>
          <w:rFonts w:ascii="Arial" w:hAnsi="Arial" w:cs="Arial"/>
          <w:color w:val="7B7B7B" w:themeColor="accent3" w:themeShade="BF"/>
          <w:sz w:val="22"/>
          <w:szCs w:val="22"/>
          <w:lang w:val="en-GB"/>
        </w:rPr>
        <w:t xml:space="preserve">. </w:t>
      </w:r>
      <w:r w:rsidR="009212C8">
        <w:rPr>
          <w:rFonts w:ascii="Arial" w:hAnsi="Arial" w:cs="Arial"/>
          <w:color w:val="7B7B7B" w:themeColor="accent3" w:themeShade="BF"/>
          <w:sz w:val="22"/>
          <w:szCs w:val="22"/>
          <w:lang w:val="en-GB"/>
        </w:rPr>
        <w:t xml:space="preserve">Debtor also manage its business at its Ireland registered office </w:t>
      </w:r>
      <w:r w:rsidR="009212C8">
        <w:rPr>
          <w:rFonts w:ascii="Arial" w:hAnsi="Arial" w:cs="Arial"/>
          <w:color w:val="7B7B7B" w:themeColor="accent3" w:themeShade="BF"/>
          <w:sz w:val="22"/>
          <w:szCs w:val="22"/>
          <w:lang w:val="en-GB"/>
        </w:rPr>
        <w:lastRenderedPageBreak/>
        <w:t xml:space="preserve">and its management decisions are also made in the same Ireland registered office which can be ascertainable by third parties. Thus, in our case, </w:t>
      </w:r>
      <w:r w:rsidR="008723E6">
        <w:rPr>
          <w:rFonts w:ascii="Arial" w:hAnsi="Arial" w:cs="Arial"/>
          <w:color w:val="7B7B7B" w:themeColor="accent3" w:themeShade="BF"/>
          <w:sz w:val="22"/>
          <w:szCs w:val="22"/>
          <w:lang w:val="en-GB"/>
        </w:rPr>
        <w:t xml:space="preserve">presumption of debtor’s COMI at its Ireland registered office cannot be rebutted. </w:t>
      </w:r>
    </w:p>
    <w:p w14:paraId="2CF46DF9" w14:textId="77777777" w:rsidR="009212C8" w:rsidRDefault="009212C8" w:rsidP="002A37BB">
      <w:pPr>
        <w:jc w:val="both"/>
        <w:rPr>
          <w:rFonts w:ascii="Arial" w:hAnsi="Arial" w:cs="Arial"/>
          <w:color w:val="7B7B7B" w:themeColor="accent3" w:themeShade="BF"/>
          <w:sz w:val="22"/>
          <w:szCs w:val="22"/>
          <w:lang w:val="en-GB"/>
        </w:rPr>
      </w:pPr>
    </w:p>
    <w:p w14:paraId="50ACC489" w14:textId="77777777" w:rsidR="00015F8F" w:rsidRDefault="00015F8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Moreover, </w:t>
      </w:r>
      <w:r w:rsidR="005B5E3C">
        <w:rPr>
          <w:rFonts w:ascii="Arial" w:hAnsi="Arial" w:cs="Arial"/>
          <w:color w:val="7B7B7B" w:themeColor="accent3" w:themeShade="BF"/>
          <w:sz w:val="22"/>
          <w:szCs w:val="22"/>
          <w:lang w:val="en-GB"/>
        </w:rPr>
        <w:t xml:space="preserve">Debtor filed a petition to open examinership proceedings in the High Court in Dublin, Ireland, and </w:t>
      </w:r>
      <w:r w:rsidR="005B5E3C" w:rsidRPr="005B5E3C">
        <w:rPr>
          <w:rFonts w:ascii="Arial" w:hAnsi="Arial" w:cs="Arial"/>
          <w:color w:val="7B7B7B" w:themeColor="accent3" w:themeShade="BF"/>
          <w:sz w:val="22"/>
          <w:szCs w:val="22"/>
          <w:lang w:val="en-GB"/>
        </w:rPr>
        <w:t>according to</w:t>
      </w:r>
      <w:r w:rsidR="005B5E3C">
        <w:rPr>
          <w:rFonts w:ascii="Arial" w:hAnsi="Arial" w:cs="Arial"/>
          <w:color w:val="7B7B7B" w:themeColor="accent3" w:themeShade="BF"/>
          <w:sz w:val="22"/>
          <w:szCs w:val="22"/>
          <w:lang w:val="en-GB"/>
        </w:rPr>
        <w:t xml:space="preserve"> the said</w:t>
      </w:r>
      <w:r w:rsidR="005B5E3C" w:rsidRPr="005B5E3C">
        <w:rPr>
          <w:rFonts w:ascii="Arial" w:hAnsi="Arial" w:cs="Arial"/>
          <w:color w:val="7B7B7B" w:themeColor="accent3" w:themeShade="BF"/>
          <w:sz w:val="22"/>
          <w:szCs w:val="22"/>
          <w:lang w:val="en-GB"/>
        </w:rPr>
        <w:t xml:space="preserve"> Annex A, company examinership is insolvency proceeding.</w:t>
      </w:r>
      <w:r w:rsidR="005B5E3C">
        <w:rPr>
          <w:rFonts w:ascii="Arial" w:hAnsi="Arial" w:cs="Arial"/>
          <w:color w:val="7B7B7B" w:themeColor="accent3" w:themeShade="BF"/>
          <w:sz w:val="22"/>
          <w:szCs w:val="22"/>
          <w:lang w:val="en-GB"/>
        </w:rPr>
        <w:t xml:space="preserve"> </w:t>
      </w:r>
    </w:p>
    <w:p w14:paraId="0B21120E" w14:textId="77777777" w:rsidR="00015F8F" w:rsidRDefault="00015F8F" w:rsidP="002A37BB">
      <w:pPr>
        <w:jc w:val="both"/>
        <w:rPr>
          <w:rFonts w:ascii="Arial" w:hAnsi="Arial" w:cs="Arial"/>
          <w:color w:val="7B7B7B" w:themeColor="accent3" w:themeShade="BF"/>
          <w:sz w:val="22"/>
          <w:szCs w:val="22"/>
          <w:lang w:val="en-GB"/>
        </w:rPr>
      </w:pPr>
    </w:p>
    <w:p w14:paraId="0D37BBBB" w14:textId="0EFC965C" w:rsidR="002F75A3" w:rsidRPr="008500BD" w:rsidRDefault="005B5E3C" w:rsidP="002A37BB">
      <w:pPr>
        <w:jc w:val="both"/>
        <w:rPr>
          <w:rFonts w:ascii="Arial" w:hAnsi="Arial" w:cs="Arial"/>
          <w:sz w:val="22"/>
          <w:szCs w:val="22"/>
          <w:lang w:val="en-GB"/>
        </w:rPr>
      </w:pPr>
      <w:r>
        <w:rPr>
          <w:rFonts w:ascii="Arial" w:hAnsi="Arial" w:cs="Arial"/>
          <w:color w:val="7B7B7B" w:themeColor="accent3" w:themeShade="BF"/>
          <w:sz w:val="22"/>
          <w:szCs w:val="22"/>
          <w:lang w:val="en-GB"/>
        </w:rPr>
        <w:t>Therefore, the Dublin High Court have international jurisdiction to open the insolvency proceeding as requested by the debtor under Article 3(1) of EIR 2000.</w:t>
      </w:r>
    </w:p>
    <w:p w14:paraId="055F8988" w14:textId="1C1AC5F2" w:rsidR="00D95496"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70C40A6" w14:textId="77777777" w:rsidR="00DD022E" w:rsidRDefault="00DD022E"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four steps to decide whether this case is fall within EIR Recast’s scope:</w:t>
      </w:r>
    </w:p>
    <w:p w14:paraId="70A6A422" w14:textId="5E582902" w:rsidR="00DD022E" w:rsidRDefault="00DD022E" w:rsidP="00DD022E">
      <w:pPr>
        <w:pStyle w:val="a3"/>
        <w:numPr>
          <w:ilvl w:val="0"/>
          <w:numId w:val="15"/>
        </w:numPr>
        <w:autoSpaceDE w:val="0"/>
        <w:autoSpaceDN w:val="0"/>
        <w:adjustRightInd w:val="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M</w:t>
      </w:r>
      <w:r>
        <w:rPr>
          <w:rFonts w:ascii="Arial" w:eastAsiaTheme="minorEastAsia" w:hAnsi="Arial" w:cs="Arial"/>
          <w:color w:val="7B7B7B" w:themeColor="accent3" w:themeShade="BF"/>
          <w:sz w:val="22"/>
          <w:szCs w:val="22"/>
          <w:lang w:val="en-GB" w:eastAsia="zh-TW"/>
        </w:rPr>
        <w:t>aterial scope: The proceeding opened by Dublin High Court in this case is examinership proceeding which is listed in Annex A of EIR Recast</w:t>
      </w:r>
      <w:r w:rsidR="00BC2422">
        <w:rPr>
          <w:rFonts w:ascii="Arial" w:eastAsiaTheme="minorEastAsia" w:hAnsi="Arial" w:cs="Arial"/>
          <w:color w:val="7B7B7B" w:themeColor="accent3" w:themeShade="BF"/>
          <w:sz w:val="22"/>
          <w:szCs w:val="22"/>
          <w:lang w:val="en-GB" w:eastAsia="zh-TW"/>
        </w:rPr>
        <w:t>;</w:t>
      </w:r>
    </w:p>
    <w:p w14:paraId="772A20EB" w14:textId="7943426C" w:rsidR="00BC2422" w:rsidRDefault="00190886" w:rsidP="00DD022E">
      <w:pPr>
        <w:pStyle w:val="a3"/>
        <w:numPr>
          <w:ilvl w:val="0"/>
          <w:numId w:val="15"/>
        </w:numPr>
        <w:autoSpaceDE w:val="0"/>
        <w:autoSpaceDN w:val="0"/>
        <w:adjustRightInd w:val="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P</w:t>
      </w:r>
      <w:r>
        <w:rPr>
          <w:rFonts w:ascii="Arial" w:eastAsiaTheme="minorEastAsia" w:hAnsi="Arial" w:cs="Arial"/>
          <w:color w:val="7B7B7B" w:themeColor="accent3" w:themeShade="BF"/>
          <w:sz w:val="22"/>
          <w:szCs w:val="22"/>
          <w:lang w:val="en-GB" w:eastAsia="zh-TW"/>
        </w:rPr>
        <w:t xml:space="preserve">ersonal scope: The debtor: Cardinal Home is </w:t>
      </w:r>
      <w:r w:rsidR="000B5175">
        <w:rPr>
          <w:rFonts w:ascii="Arial" w:eastAsiaTheme="minorEastAsia" w:hAnsi="Arial" w:cs="Arial"/>
          <w:color w:val="7B7B7B" w:themeColor="accent3" w:themeShade="BF"/>
          <w:sz w:val="22"/>
          <w:szCs w:val="22"/>
          <w:lang w:val="en-GB" w:eastAsia="zh-TW"/>
        </w:rPr>
        <w:t xml:space="preserve">furniture company, and </w:t>
      </w:r>
      <w:r>
        <w:rPr>
          <w:rFonts w:ascii="Arial" w:eastAsiaTheme="minorEastAsia" w:hAnsi="Arial" w:cs="Arial"/>
          <w:color w:val="7B7B7B" w:themeColor="accent3" w:themeShade="BF"/>
          <w:sz w:val="22"/>
          <w:szCs w:val="22"/>
          <w:lang w:val="en-GB" w:eastAsia="zh-TW"/>
        </w:rPr>
        <w:t>is not</w:t>
      </w:r>
      <w:r w:rsidR="000B5175">
        <w:rPr>
          <w:rFonts w:ascii="Arial" w:eastAsiaTheme="minorEastAsia" w:hAnsi="Arial" w:cs="Arial"/>
          <w:color w:val="7B7B7B" w:themeColor="accent3" w:themeShade="BF"/>
          <w:sz w:val="22"/>
          <w:szCs w:val="22"/>
          <w:lang w:val="en-GB" w:eastAsia="zh-TW"/>
        </w:rPr>
        <w:t xml:space="preserve"> an</w:t>
      </w:r>
      <w:r>
        <w:rPr>
          <w:rFonts w:ascii="Arial" w:eastAsiaTheme="minorEastAsia" w:hAnsi="Arial" w:cs="Arial"/>
          <w:color w:val="7B7B7B" w:themeColor="accent3" w:themeShade="BF"/>
          <w:sz w:val="22"/>
          <w:szCs w:val="22"/>
          <w:lang w:val="en-GB" w:eastAsia="zh-TW"/>
        </w:rPr>
        <w:t xml:space="preserve"> insurance company, </w:t>
      </w:r>
      <w:r w:rsidR="000B5175">
        <w:rPr>
          <w:rFonts w:ascii="Arial" w:eastAsiaTheme="minorEastAsia" w:hAnsi="Arial" w:cs="Arial"/>
          <w:color w:val="7B7B7B" w:themeColor="accent3" w:themeShade="BF"/>
          <w:sz w:val="22"/>
          <w:szCs w:val="22"/>
          <w:lang w:val="en-GB" w:eastAsia="zh-TW"/>
        </w:rPr>
        <w:t>not a credit institution, not an investment company or undertaking that is excluded;</w:t>
      </w:r>
    </w:p>
    <w:p w14:paraId="2458241E" w14:textId="2FE3A3CF" w:rsidR="000B5175" w:rsidRDefault="000B5175" w:rsidP="00DD022E">
      <w:pPr>
        <w:pStyle w:val="a3"/>
        <w:numPr>
          <w:ilvl w:val="0"/>
          <w:numId w:val="15"/>
        </w:numPr>
        <w:autoSpaceDE w:val="0"/>
        <w:autoSpaceDN w:val="0"/>
        <w:adjustRightInd w:val="0"/>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T</w:t>
      </w:r>
      <w:r>
        <w:rPr>
          <w:rFonts w:ascii="Arial" w:eastAsiaTheme="minorEastAsia" w:hAnsi="Arial" w:cs="Arial"/>
          <w:color w:val="7B7B7B" w:themeColor="accent3" w:themeShade="BF"/>
          <w:sz w:val="22"/>
          <w:szCs w:val="22"/>
          <w:lang w:val="en-GB" w:eastAsia="zh-TW"/>
        </w:rPr>
        <w:t xml:space="preserve">erritorial scope: </w:t>
      </w:r>
      <w:r w:rsidR="00797C89">
        <w:rPr>
          <w:rFonts w:ascii="Arial" w:eastAsiaTheme="minorEastAsia" w:hAnsi="Arial" w:cs="Arial"/>
          <w:color w:val="7B7B7B" w:themeColor="accent3" w:themeShade="BF"/>
          <w:sz w:val="22"/>
          <w:szCs w:val="22"/>
          <w:lang w:val="en-GB" w:eastAsia="zh-TW"/>
        </w:rPr>
        <w:t xml:space="preserve">The debtor has COMI in Ireland ( one of the </w:t>
      </w:r>
      <w:r w:rsidR="00AE5687">
        <w:rPr>
          <w:rFonts w:ascii="Arial" w:eastAsiaTheme="minorEastAsia" w:hAnsi="Arial" w:cs="Arial"/>
          <w:color w:val="7B7B7B" w:themeColor="accent3" w:themeShade="BF"/>
          <w:sz w:val="22"/>
          <w:szCs w:val="22"/>
          <w:lang w:val="en-GB" w:eastAsia="zh-TW"/>
        </w:rPr>
        <w:t>M</w:t>
      </w:r>
      <w:r w:rsidR="00797C89">
        <w:rPr>
          <w:rFonts w:ascii="Arial" w:eastAsiaTheme="minorEastAsia" w:hAnsi="Arial" w:cs="Arial"/>
          <w:color w:val="7B7B7B" w:themeColor="accent3" w:themeShade="BF"/>
          <w:sz w:val="22"/>
          <w:szCs w:val="22"/>
          <w:lang w:val="en-GB" w:eastAsia="zh-TW"/>
        </w:rPr>
        <w:t xml:space="preserve">ember </w:t>
      </w:r>
      <w:r w:rsidR="00AE5687">
        <w:rPr>
          <w:rFonts w:ascii="Arial" w:eastAsiaTheme="minorEastAsia" w:hAnsi="Arial" w:cs="Arial"/>
          <w:color w:val="7B7B7B" w:themeColor="accent3" w:themeShade="BF"/>
          <w:sz w:val="22"/>
          <w:szCs w:val="22"/>
          <w:lang w:val="en-GB" w:eastAsia="zh-TW"/>
        </w:rPr>
        <w:t>S</w:t>
      </w:r>
      <w:r w:rsidR="00797C89">
        <w:rPr>
          <w:rFonts w:ascii="Arial" w:eastAsiaTheme="minorEastAsia" w:hAnsi="Arial" w:cs="Arial"/>
          <w:color w:val="7B7B7B" w:themeColor="accent3" w:themeShade="BF"/>
          <w:sz w:val="22"/>
          <w:szCs w:val="22"/>
          <w:lang w:val="en-GB" w:eastAsia="zh-TW"/>
        </w:rPr>
        <w:t>tate), and not in Denmark;</w:t>
      </w:r>
    </w:p>
    <w:p w14:paraId="0FAED966" w14:textId="7A32E289" w:rsidR="00797C89" w:rsidRPr="00DD022E" w:rsidRDefault="00797C89" w:rsidP="00DD022E">
      <w:pPr>
        <w:pStyle w:val="a3"/>
        <w:numPr>
          <w:ilvl w:val="0"/>
          <w:numId w:val="15"/>
        </w:numPr>
        <w:autoSpaceDE w:val="0"/>
        <w:autoSpaceDN w:val="0"/>
        <w:adjustRightInd w:val="0"/>
        <w:jc w:val="both"/>
        <w:rPr>
          <w:rFonts w:ascii="Arial" w:eastAsiaTheme="minorEastAsia" w:hAnsi="Arial" w:cs="Arial" w:hint="eastAsia"/>
          <w:color w:val="7B7B7B" w:themeColor="accent3" w:themeShade="BF"/>
          <w:sz w:val="22"/>
          <w:szCs w:val="22"/>
          <w:lang w:val="en-GB" w:eastAsia="zh-TW"/>
        </w:rPr>
      </w:pPr>
      <w:r>
        <w:rPr>
          <w:rFonts w:ascii="Arial" w:eastAsiaTheme="minorEastAsia" w:hAnsi="Arial" w:cs="Arial" w:hint="eastAsia"/>
          <w:color w:val="7B7B7B" w:themeColor="accent3" w:themeShade="BF"/>
          <w:sz w:val="22"/>
          <w:szCs w:val="22"/>
          <w:lang w:val="en-GB" w:eastAsia="zh-TW"/>
        </w:rPr>
        <w:t>T</w:t>
      </w:r>
      <w:r>
        <w:rPr>
          <w:rFonts w:ascii="Arial" w:eastAsiaTheme="minorEastAsia" w:hAnsi="Arial" w:cs="Arial"/>
          <w:color w:val="7B7B7B" w:themeColor="accent3" w:themeShade="BF"/>
          <w:sz w:val="22"/>
          <w:szCs w:val="22"/>
          <w:lang w:val="en-GB" w:eastAsia="zh-TW"/>
        </w:rPr>
        <w:t xml:space="preserve">emporal scope: </w:t>
      </w:r>
      <w:r w:rsidRPr="00797C89">
        <w:rPr>
          <w:rFonts w:ascii="Arial" w:eastAsiaTheme="minorEastAsia" w:hAnsi="Arial" w:cs="Arial"/>
          <w:color w:val="7B7B7B" w:themeColor="accent3" w:themeShade="BF"/>
          <w:sz w:val="22"/>
          <w:szCs w:val="22"/>
          <w:lang w:val="en-GB" w:eastAsia="zh-TW"/>
        </w:rPr>
        <w:t>as per Article 84(1), the provisions of EIR Recast only apply to the proceedings opened after 26th June 2017, and in this case the Dublin High Court opens the proceeding on 30th June 2017.</w:t>
      </w:r>
    </w:p>
    <w:p w14:paraId="3F41FC4F" w14:textId="77777777" w:rsidR="00AE5687" w:rsidRDefault="00AE5687" w:rsidP="002A37BB">
      <w:pPr>
        <w:autoSpaceDE w:val="0"/>
        <w:autoSpaceDN w:val="0"/>
        <w:adjustRightInd w:val="0"/>
        <w:jc w:val="both"/>
        <w:rPr>
          <w:rFonts w:ascii="Arial" w:hAnsi="Arial" w:cs="Arial"/>
          <w:color w:val="7B7B7B" w:themeColor="accent3" w:themeShade="BF"/>
          <w:sz w:val="22"/>
          <w:szCs w:val="22"/>
          <w:lang w:val="en-GB"/>
        </w:rPr>
      </w:pPr>
    </w:p>
    <w:p w14:paraId="626FA5C6" w14:textId="4B0FFBF6" w:rsidR="002D3473" w:rsidRPr="008500BD" w:rsidRDefault="00797C89"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To sum up, this case is fall within the scope of </w:t>
      </w:r>
      <w:r w:rsidR="003B17B3">
        <w:rPr>
          <w:rFonts w:ascii="Arial" w:hAnsi="Arial" w:cs="Arial"/>
          <w:color w:val="7B7B7B" w:themeColor="accent3" w:themeShade="BF"/>
          <w:sz w:val="22"/>
          <w:szCs w:val="22"/>
          <w:lang w:val="en-GB"/>
        </w:rPr>
        <w:t>EIR Recast</w:t>
      </w:r>
      <w:r>
        <w:rPr>
          <w:rFonts w:ascii="Arial" w:hAnsi="Arial" w:cs="Arial"/>
          <w:color w:val="7B7B7B" w:themeColor="accent3" w:themeShade="BF"/>
          <w:sz w:val="22"/>
          <w:szCs w:val="22"/>
          <w:lang w:val="en-GB"/>
        </w:rPr>
        <w:t>, so EIR Recast</w:t>
      </w:r>
      <w:r w:rsidR="003B17B3">
        <w:rPr>
          <w:rFonts w:ascii="Arial" w:hAnsi="Arial" w:cs="Arial"/>
          <w:color w:val="7B7B7B" w:themeColor="accent3" w:themeShade="BF"/>
          <w:sz w:val="22"/>
          <w:szCs w:val="22"/>
          <w:lang w:val="en-GB"/>
        </w:rPr>
        <w:t xml:space="preserve"> will be applicable in this case.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6"/>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486418C7" w14:textId="0516569E" w:rsidR="00CA7609" w:rsidRDefault="003A1CB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Article 3(2) of EIR Recast, as the COMI of debtor is situated within the territory of the </w:t>
      </w:r>
      <w:r w:rsidR="00AE5687">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ember </w:t>
      </w:r>
      <w:r w:rsidR="00AE5687">
        <w:rPr>
          <w:rFonts w:ascii="Arial" w:eastAsiaTheme="minorEastAsia" w:hAnsi="Arial" w:cs="Arial"/>
          <w:color w:val="7B7B7B" w:themeColor="accent3" w:themeShade="BF"/>
          <w:sz w:val="22"/>
          <w:szCs w:val="22"/>
          <w:lang w:val="en-GB" w:eastAsia="zh-TW"/>
        </w:rPr>
        <w:t>S</w:t>
      </w:r>
      <w:r>
        <w:rPr>
          <w:rFonts w:ascii="Arial" w:hAnsi="Arial" w:cs="Arial"/>
          <w:color w:val="7B7B7B" w:themeColor="accent3" w:themeShade="BF"/>
          <w:sz w:val="22"/>
          <w:szCs w:val="22"/>
          <w:lang w:val="en-GB"/>
        </w:rPr>
        <w:t>tate</w:t>
      </w:r>
      <w:r w:rsidR="00B14048">
        <w:rPr>
          <w:rFonts w:ascii="Arial" w:hAnsi="Arial" w:cs="Arial"/>
          <w:color w:val="7B7B7B" w:themeColor="accent3" w:themeShade="BF"/>
          <w:sz w:val="22"/>
          <w:szCs w:val="22"/>
          <w:lang w:val="en-GB"/>
        </w:rPr>
        <w:t>: Ireland</w:t>
      </w:r>
      <w:r>
        <w:rPr>
          <w:rFonts w:ascii="Arial" w:hAnsi="Arial" w:cs="Arial"/>
          <w:color w:val="7B7B7B" w:themeColor="accent3" w:themeShade="BF"/>
          <w:sz w:val="22"/>
          <w:szCs w:val="22"/>
          <w:lang w:val="en-GB"/>
        </w:rPr>
        <w:t xml:space="preserve">, </w:t>
      </w:r>
      <w:r w:rsidRPr="003A1CB8">
        <w:rPr>
          <w:rFonts w:ascii="Arial" w:hAnsi="Arial" w:cs="Arial"/>
          <w:color w:val="7B7B7B" w:themeColor="accent3" w:themeShade="BF"/>
          <w:sz w:val="22"/>
          <w:szCs w:val="22"/>
          <w:lang w:val="en-GB"/>
        </w:rPr>
        <w:t xml:space="preserve">the court of another </w:t>
      </w:r>
      <w:r w:rsidR="00AE5687">
        <w:rPr>
          <w:rFonts w:ascii="Arial" w:hAnsi="Arial" w:cs="Arial"/>
          <w:color w:val="7B7B7B" w:themeColor="accent3" w:themeShade="BF"/>
          <w:sz w:val="22"/>
          <w:szCs w:val="22"/>
          <w:lang w:val="en-GB"/>
        </w:rPr>
        <w:t>M</w:t>
      </w:r>
      <w:r w:rsidRPr="003A1CB8">
        <w:rPr>
          <w:rFonts w:ascii="Arial" w:hAnsi="Arial" w:cs="Arial"/>
          <w:color w:val="7B7B7B" w:themeColor="accent3" w:themeShade="BF"/>
          <w:sz w:val="22"/>
          <w:szCs w:val="22"/>
          <w:lang w:val="en-GB"/>
        </w:rPr>
        <w:t xml:space="preserve">ember </w:t>
      </w:r>
      <w:r w:rsidR="00AE5687">
        <w:rPr>
          <w:rFonts w:ascii="Arial" w:hAnsi="Arial" w:cs="Arial"/>
          <w:color w:val="7B7B7B" w:themeColor="accent3" w:themeShade="BF"/>
          <w:sz w:val="22"/>
          <w:szCs w:val="22"/>
          <w:lang w:val="en-GB"/>
        </w:rPr>
        <w:t>S</w:t>
      </w:r>
      <w:r w:rsidRPr="003A1CB8">
        <w:rPr>
          <w:rFonts w:ascii="Arial" w:hAnsi="Arial" w:cs="Arial"/>
          <w:color w:val="7B7B7B" w:themeColor="accent3" w:themeShade="BF"/>
          <w:sz w:val="22"/>
          <w:szCs w:val="22"/>
          <w:lang w:val="en-GB"/>
        </w:rPr>
        <w:t>tate</w:t>
      </w:r>
      <w:r>
        <w:rPr>
          <w:rFonts w:ascii="Arial" w:hAnsi="Arial" w:cs="Arial"/>
          <w:color w:val="7B7B7B" w:themeColor="accent3" w:themeShade="BF"/>
          <w:sz w:val="22"/>
          <w:szCs w:val="22"/>
          <w:lang w:val="en-GB"/>
        </w:rPr>
        <w:t>: Italy</w:t>
      </w:r>
      <w:r w:rsidRPr="003A1CB8">
        <w:rPr>
          <w:rFonts w:ascii="Arial" w:hAnsi="Arial" w:cs="Arial"/>
          <w:color w:val="7B7B7B" w:themeColor="accent3" w:themeShade="BF"/>
          <w:sz w:val="22"/>
          <w:szCs w:val="22"/>
          <w:lang w:val="en-GB"/>
        </w:rPr>
        <w:t xml:space="preserve"> shall have jurisdiction to open insolvency proceedings against that debtor only if it </w:t>
      </w:r>
      <w:r w:rsidR="00C13D10">
        <w:rPr>
          <w:rFonts w:ascii="Arial" w:hAnsi="Arial" w:cs="Arial"/>
          <w:color w:val="7B7B7B" w:themeColor="accent3" w:themeShade="BF"/>
          <w:sz w:val="22"/>
          <w:szCs w:val="22"/>
          <w:lang w:val="en-GB"/>
        </w:rPr>
        <w:t>has</w:t>
      </w:r>
      <w:r w:rsidRPr="003A1CB8">
        <w:rPr>
          <w:rFonts w:ascii="Arial" w:hAnsi="Arial" w:cs="Arial"/>
          <w:color w:val="7B7B7B" w:themeColor="accent3" w:themeShade="BF"/>
          <w:sz w:val="22"/>
          <w:szCs w:val="22"/>
          <w:lang w:val="en-GB"/>
        </w:rPr>
        <w:t xml:space="preserve"> an establishment within the te</w:t>
      </w:r>
      <w:r>
        <w:rPr>
          <w:rFonts w:ascii="Arial" w:hAnsi="Arial" w:cs="Arial"/>
          <w:color w:val="7B7B7B" w:themeColor="accent3" w:themeShade="BF"/>
          <w:sz w:val="22"/>
          <w:szCs w:val="22"/>
          <w:lang w:val="en-GB"/>
        </w:rPr>
        <w:t>rritory of Italy</w:t>
      </w:r>
      <w:r w:rsidRPr="003A1CB8">
        <w:rPr>
          <w:rFonts w:ascii="Arial" w:hAnsi="Arial" w:cs="Arial"/>
          <w:color w:val="7B7B7B" w:themeColor="accent3" w:themeShade="BF"/>
          <w:sz w:val="22"/>
          <w:szCs w:val="22"/>
          <w:lang w:val="en-GB"/>
        </w:rPr>
        <w:t xml:space="preserve">. </w:t>
      </w:r>
      <w:r w:rsidR="007657DA">
        <w:rPr>
          <w:rFonts w:ascii="Arial" w:hAnsi="Arial" w:cs="Arial"/>
          <w:color w:val="7B7B7B" w:themeColor="accent3" w:themeShade="BF"/>
          <w:sz w:val="22"/>
          <w:szCs w:val="22"/>
          <w:lang w:val="en-GB"/>
        </w:rPr>
        <w:t xml:space="preserve">As per Article 2(10) of </w:t>
      </w:r>
      <w:r w:rsidR="00EE5B51">
        <w:rPr>
          <w:rFonts w:ascii="Arial" w:hAnsi="Arial" w:cs="Arial"/>
          <w:color w:val="7B7B7B" w:themeColor="accent3" w:themeShade="BF"/>
          <w:sz w:val="22"/>
          <w:szCs w:val="22"/>
          <w:lang w:val="en-GB"/>
        </w:rPr>
        <w:t xml:space="preserve">EIR Recast, the </w:t>
      </w:r>
      <w:r w:rsidR="00EE5B51" w:rsidRPr="00EE5B51">
        <w:rPr>
          <w:rFonts w:ascii="Arial" w:hAnsi="Arial" w:cs="Arial"/>
          <w:color w:val="7B7B7B" w:themeColor="accent3" w:themeShade="BF"/>
          <w:sz w:val="22"/>
          <w:szCs w:val="22"/>
          <w:lang w:val="en-GB"/>
        </w:rPr>
        <w:t>establishment</w:t>
      </w:r>
      <w:r w:rsidR="00EE5B51">
        <w:rPr>
          <w:rFonts w:ascii="Arial" w:hAnsi="Arial" w:cs="Arial"/>
          <w:color w:val="7B7B7B" w:themeColor="accent3" w:themeShade="BF"/>
          <w:sz w:val="22"/>
          <w:szCs w:val="22"/>
          <w:lang w:val="en-GB"/>
        </w:rPr>
        <w:t xml:space="preserve"> </w:t>
      </w:r>
      <w:r w:rsidR="00EE5B51" w:rsidRPr="00EE5B51">
        <w:rPr>
          <w:rFonts w:ascii="Arial" w:hAnsi="Arial" w:cs="Arial"/>
          <w:color w:val="7B7B7B" w:themeColor="accent3" w:themeShade="BF"/>
          <w:sz w:val="22"/>
          <w:szCs w:val="22"/>
          <w:lang w:val="en-GB"/>
        </w:rPr>
        <w:t xml:space="preserve">means place of operations where debtor </w:t>
      </w:r>
      <w:r w:rsidR="00B14048" w:rsidRPr="00EE5B51">
        <w:rPr>
          <w:rFonts w:ascii="Arial" w:hAnsi="Arial" w:cs="Arial"/>
          <w:color w:val="7B7B7B" w:themeColor="accent3" w:themeShade="BF"/>
          <w:sz w:val="22"/>
          <w:szCs w:val="22"/>
          <w:lang w:val="en-GB"/>
        </w:rPr>
        <w:t>have</w:t>
      </w:r>
      <w:r w:rsidR="00EE5B51" w:rsidRPr="00EE5B51">
        <w:rPr>
          <w:rFonts w:ascii="Arial" w:hAnsi="Arial" w:cs="Arial"/>
          <w:color w:val="7B7B7B" w:themeColor="accent3" w:themeShade="BF"/>
          <w:sz w:val="22"/>
          <w:szCs w:val="22"/>
          <w:lang w:val="en-GB"/>
        </w:rPr>
        <w:t xml:space="preserve"> carried out</w:t>
      </w:r>
      <w:r w:rsidR="00EE5B51">
        <w:rPr>
          <w:rFonts w:ascii="Arial" w:hAnsi="Arial" w:cs="Arial"/>
          <w:color w:val="7B7B7B" w:themeColor="accent3" w:themeShade="BF"/>
          <w:sz w:val="22"/>
          <w:szCs w:val="22"/>
          <w:lang w:val="en-GB"/>
        </w:rPr>
        <w:t xml:space="preserve"> </w:t>
      </w:r>
      <w:r w:rsidR="00EE5B51" w:rsidRPr="00EE5B51">
        <w:rPr>
          <w:rFonts w:ascii="Arial" w:hAnsi="Arial" w:cs="Arial"/>
          <w:color w:val="7B7B7B" w:themeColor="accent3" w:themeShade="BF"/>
          <w:sz w:val="22"/>
          <w:szCs w:val="22"/>
          <w:lang w:val="en-GB"/>
        </w:rPr>
        <w:t>non-transitory economic activity with human means and assets in 3-month period prior to the request to open main insolvency proceedings</w:t>
      </w:r>
      <w:r w:rsidR="003A0365">
        <w:rPr>
          <w:rFonts w:ascii="Arial" w:hAnsi="Arial" w:cs="Arial"/>
          <w:color w:val="7B7B7B" w:themeColor="accent3" w:themeShade="BF"/>
          <w:sz w:val="22"/>
          <w:szCs w:val="22"/>
          <w:lang w:val="en-GB"/>
        </w:rPr>
        <w:t xml:space="preserve">. </w:t>
      </w:r>
    </w:p>
    <w:p w14:paraId="750FD679" w14:textId="77777777" w:rsidR="00CA7609" w:rsidRDefault="00CA7609" w:rsidP="002A37BB">
      <w:pPr>
        <w:jc w:val="both"/>
        <w:rPr>
          <w:rFonts w:ascii="Arial" w:hAnsi="Arial" w:cs="Arial"/>
          <w:color w:val="7B7B7B" w:themeColor="accent3" w:themeShade="BF"/>
          <w:sz w:val="22"/>
          <w:szCs w:val="22"/>
          <w:lang w:val="en-GB"/>
        </w:rPr>
      </w:pPr>
    </w:p>
    <w:p w14:paraId="4A789E8A" w14:textId="43176F26" w:rsidR="00B5539A" w:rsidRDefault="00B5539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proofErr w:type="spellStart"/>
      <w:r w:rsidRPr="00B5539A">
        <w:rPr>
          <w:rFonts w:ascii="Arial" w:hAnsi="Arial" w:cs="Arial"/>
          <w:b/>
          <w:bCs/>
          <w:color w:val="7B7B7B" w:themeColor="accent3" w:themeShade="BF"/>
          <w:sz w:val="22"/>
          <w:szCs w:val="22"/>
          <w:u w:val="single"/>
          <w:lang w:val="en-GB"/>
        </w:rPr>
        <w:t>Interedil</w:t>
      </w:r>
      <w:proofErr w:type="spellEnd"/>
      <w:r>
        <w:rPr>
          <w:rFonts w:ascii="Arial" w:hAnsi="Arial" w:cs="Arial"/>
          <w:color w:val="7B7B7B" w:themeColor="accent3" w:themeShade="BF"/>
          <w:sz w:val="22"/>
          <w:szCs w:val="22"/>
          <w:lang w:val="en-GB"/>
        </w:rPr>
        <w:t>, the CJEU has defined the concept of establishment concern the pursuit of economic activity to the presence of human resources, a minimum level of organization and stability is required</w:t>
      </w:r>
      <w:r w:rsidR="00CA7609">
        <w:rPr>
          <w:rFonts w:ascii="Arial" w:hAnsi="Arial" w:cs="Arial"/>
          <w:color w:val="7B7B7B" w:themeColor="accent3" w:themeShade="BF"/>
          <w:sz w:val="22"/>
          <w:szCs w:val="22"/>
          <w:lang w:val="en-GB"/>
        </w:rPr>
        <w:t>, contrary to that the mere presence of bank account or goods alone is insufficient.</w:t>
      </w:r>
      <w:r>
        <w:rPr>
          <w:rFonts w:ascii="Arial" w:hAnsi="Arial" w:cs="Arial"/>
          <w:color w:val="7B7B7B" w:themeColor="accent3" w:themeShade="BF"/>
          <w:sz w:val="22"/>
          <w:szCs w:val="22"/>
          <w:lang w:val="en-GB"/>
        </w:rPr>
        <w:t xml:space="preserve"> </w:t>
      </w:r>
    </w:p>
    <w:p w14:paraId="5A5F1D20" w14:textId="77777777" w:rsidR="00B5539A" w:rsidRDefault="00B5539A" w:rsidP="002A37BB">
      <w:pPr>
        <w:jc w:val="both"/>
        <w:rPr>
          <w:rFonts w:ascii="Arial" w:hAnsi="Arial" w:cs="Arial"/>
          <w:color w:val="7B7B7B" w:themeColor="accent3" w:themeShade="BF"/>
          <w:sz w:val="22"/>
          <w:szCs w:val="22"/>
          <w:lang w:val="en-GB"/>
        </w:rPr>
      </w:pPr>
    </w:p>
    <w:p w14:paraId="77CE8695" w14:textId="73EE1BBD" w:rsidR="0077498C" w:rsidRPr="00C8604F" w:rsidRDefault="00CA7609"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In our case, a</w:t>
      </w:r>
      <w:r w:rsidR="003A0365">
        <w:rPr>
          <w:rFonts w:ascii="Arial" w:hAnsi="Arial" w:cs="Arial"/>
          <w:color w:val="7B7B7B" w:themeColor="accent3" w:themeShade="BF"/>
          <w:sz w:val="22"/>
          <w:szCs w:val="22"/>
          <w:lang w:val="en-GB"/>
        </w:rPr>
        <w:t>s the debtor have a warehouse in Milan, Italy since 2009</w:t>
      </w:r>
      <w:r>
        <w:rPr>
          <w:rFonts w:ascii="Arial" w:hAnsi="Arial" w:cs="Arial"/>
          <w:color w:val="7B7B7B" w:themeColor="accent3" w:themeShade="BF"/>
          <w:sz w:val="22"/>
          <w:szCs w:val="22"/>
          <w:lang w:val="en-GB"/>
        </w:rPr>
        <w:t xml:space="preserve">, </w:t>
      </w:r>
      <w:r w:rsidR="00C8604F">
        <w:rPr>
          <w:rFonts w:ascii="Arial" w:hAnsi="Arial" w:cs="Arial"/>
          <w:color w:val="7B7B7B" w:themeColor="accent3" w:themeShade="BF"/>
          <w:sz w:val="22"/>
          <w:szCs w:val="22"/>
          <w:lang w:val="en-GB"/>
        </w:rPr>
        <w:t>it shows that debtor’s</w:t>
      </w:r>
      <w:r>
        <w:rPr>
          <w:rFonts w:ascii="Arial" w:hAnsi="Arial" w:cs="Arial"/>
          <w:color w:val="7B7B7B" w:themeColor="accent3" w:themeShade="BF"/>
          <w:sz w:val="22"/>
          <w:szCs w:val="22"/>
          <w:lang w:val="en-GB"/>
        </w:rPr>
        <w:t xml:space="preserve"> warehouse</w:t>
      </w:r>
      <w:r w:rsidR="00C8604F">
        <w:rPr>
          <w:rFonts w:ascii="Arial" w:hAnsi="Arial" w:cs="Arial"/>
          <w:color w:val="7B7B7B" w:themeColor="accent3" w:themeShade="BF"/>
          <w:sz w:val="22"/>
          <w:szCs w:val="22"/>
          <w:lang w:val="en-GB"/>
        </w:rPr>
        <w:t xml:space="preserve"> in Milan</w:t>
      </w:r>
      <w:r>
        <w:rPr>
          <w:rFonts w:ascii="Arial" w:hAnsi="Arial" w:cs="Arial"/>
          <w:color w:val="7B7B7B" w:themeColor="accent3" w:themeShade="BF"/>
          <w:sz w:val="22"/>
          <w:szCs w:val="22"/>
          <w:lang w:val="en-GB"/>
        </w:rPr>
        <w:t xml:space="preserve"> is a place of operations where the debtor ha</w:t>
      </w:r>
      <w:r w:rsidR="00C8604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carried out non-transitory economic activity with human means and assets </w:t>
      </w:r>
      <w:r w:rsidR="00C8604F">
        <w:rPr>
          <w:rFonts w:ascii="Arial" w:hAnsi="Arial" w:cs="Arial"/>
          <w:color w:val="7B7B7B" w:themeColor="accent3" w:themeShade="BF"/>
          <w:sz w:val="22"/>
          <w:szCs w:val="22"/>
          <w:lang w:val="en-GB"/>
        </w:rPr>
        <w:t xml:space="preserve">within 3 months from the date of request to open main insolvency proceedings in Ireland. Moreover, debtor’s warehouse in Milan </w:t>
      </w:r>
      <w:r w:rsidR="00290E35">
        <w:rPr>
          <w:rFonts w:ascii="Arial" w:hAnsi="Arial" w:cs="Arial"/>
          <w:color w:val="7B7B7B" w:themeColor="accent3" w:themeShade="BF"/>
          <w:sz w:val="22"/>
          <w:szCs w:val="22"/>
          <w:lang w:val="en-GB"/>
        </w:rPr>
        <w:t>involves</w:t>
      </w:r>
      <w:r w:rsidR="00C8604F">
        <w:rPr>
          <w:rFonts w:ascii="Arial" w:hAnsi="Arial" w:cs="Arial"/>
          <w:color w:val="7B7B7B" w:themeColor="accent3" w:themeShade="BF"/>
          <w:sz w:val="22"/>
          <w:szCs w:val="22"/>
          <w:lang w:val="en-GB"/>
        </w:rPr>
        <w:t xml:space="preserve"> more than a minimum level of organization and stability in pursuit of economic activity to the </w:t>
      </w:r>
      <w:r w:rsidR="00C8604F">
        <w:rPr>
          <w:rFonts w:ascii="Arial" w:hAnsi="Arial" w:cs="Arial"/>
          <w:color w:val="7B7B7B" w:themeColor="accent3" w:themeShade="BF"/>
          <w:sz w:val="22"/>
          <w:szCs w:val="22"/>
          <w:lang w:val="en-GB"/>
        </w:rPr>
        <w:lastRenderedPageBreak/>
        <w:t>presence of human resources, which fulfil the definition as set out in</w:t>
      </w:r>
      <w:r w:rsidR="00370F86">
        <w:rPr>
          <w:rFonts w:ascii="Arial" w:hAnsi="Arial" w:cs="Arial"/>
          <w:color w:val="7B7B7B" w:themeColor="accent3" w:themeShade="BF"/>
          <w:sz w:val="22"/>
          <w:szCs w:val="22"/>
          <w:lang w:val="en-GB"/>
        </w:rPr>
        <w:t xml:space="preserve"> the said decision of</w:t>
      </w:r>
      <w:r w:rsidR="00C8604F">
        <w:rPr>
          <w:rFonts w:ascii="Arial" w:hAnsi="Arial" w:cs="Arial"/>
          <w:color w:val="7B7B7B" w:themeColor="accent3" w:themeShade="BF"/>
          <w:sz w:val="22"/>
          <w:szCs w:val="22"/>
          <w:lang w:val="en-GB"/>
        </w:rPr>
        <w:t xml:space="preserve"> </w:t>
      </w:r>
      <w:proofErr w:type="spellStart"/>
      <w:r w:rsidR="00C8604F" w:rsidRPr="00C8604F">
        <w:rPr>
          <w:rFonts w:ascii="Arial" w:hAnsi="Arial" w:cs="Arial"/>
          <w:b/>
          <w:bCs/>
          <w:color w:val="7B7B7B" w:themeColor="accent3" w:themeShade="BF"/>
          <w:sz w:val="22"/>
          <w:szCs w:val="22"/>
          <w:u w:val="single"/>
          <w:lang w:val="en-GB"/>
        </w:rPr>
        <w:t>Interedil</w:t>
      </w:r>
      <w:proofErr w:type="spellEnd"/>
      <w:r w:rsidR="00C8604F">
        <w:rPr>
          <w:rFonts w:ascii="Arial" w:hAnsi="Arial" w:cs="Arial"/>
          <w:color w:val="7B7B7B" w:themeColor="accent3" w:themeShade="BF"/>
          <w:sz w:val="22"/>
          <w:szCs w:val="22"/>
          <w:lang w:val="en-GB"/>
        </w:rPr>
        <w:t xml:space="preserve"> </w:t>
      </w:r>
      <w:r w:rsidR="00290E35">
        <w:rPr>
          <w:rFonts w:ascii="Arial" w:hAnsi="Arial" w:cs="Arial"/>
          <w:color w:val="7B7B7B" w:themeColor="accent3" w:themeShade="BF"/>
          <w:sz w:val="22"/>
          <w:szCs w:val="22"/>
          <w:lang w:val="en-GB"/>
        </w:rPr>
        <w:t xml:space="preserve">. Therefore, debtor’s warehouse in Italy </w:t>
      </w:r>
      <w:r w:rsidR="00370F86">
        <w:rPr>
          <w:rFonts w:ascii="Arial" w:hAnsi="Arial" w:cs="Arial"/>
          <w:color w:val="7B7B7B" w:themeColor="accent3" w:themeShade="BF"/>
          <w:sz w:val="22"/>
          <w:szCs w:val="22"/>
          <w:lang w:val="en-GB"/>
        </w:rPr>
        <w:t>fulfils</w:t>
      </w:r>
      <w:r w:rsidR="00290E35">
        <w:rPr>
          <w:rFonts w:ascii="Arial" w:hAnsi="Arial" w:cs="Arial"/>
          <w:color w:val="7B7B7B" w:themeColor="accent3" w:themeShade="BF"/>
          <w:sz w:val="22"/>
          <w:szCs w:val="22"/>
          <w:lang w:val="en-GB"/>
        </w:rPr>
        <w:t xml:space="preserve"> the definition of establishment in EIR Recast, accordingly secondary insolvency proceeding can be opened by the said Italy bank in Italy. </w:t>
      </w:r>
    </w:p>
    <w:p w14:paraId="35D8F287" w14:textId="77777777" w:rsidR="0077498C" w:rsidRPr="00C8604F"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B41A" w14:textId="77777777" w:rsidR="00821199" w:rsidRDefault="00821199" w:rsidP="00241B44">
      <w:r>
        <w:separator/>
      </w:r>
    </w:p>
  </w:endnote>
  <w:endnote w:type="continuationSeparator" w:id="0">
    <w:p w14:paraId="6E84698F" w14:textId="77777777" w:rsidR="00821199" w:rsidRDefault="008211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00BA543A">
          <w:rPr>
            <w:rStyle w:val="af1"/>
            <w:rFonts w:ascii="Arial" w:hAnsi="Arial" w:cs="Arial"/>
            <w:noProof/>
            <w:sz w:val="18"/>
            <w:szCs w:val="18"/>
          </w:rPr>
          <w:t>9</w:t>
        </w:r>
        <w:r w:rsidRPr="009B4976">
          <w:rPr>
            <w:rStyle w:val="af1"/>
            <w:rFonts w:ascii="Arial" w:hAnsi="Arial" w:cs="Arial"/>
            <w:sz w:val="18"/>
            <w:szCs w:val="18"/>
          </w:rPr>
          <w:fldChar w:fldCharType="end"/>
        </w:r>
      </w:p>
    </w:sdtContent>
  </w:sdt>
  <w:p w14:paraId="30F05E79" w14:textId="3ED1E4BD" w:rsidR="00D509A5" w:rsidRPr="009B4976" w:rsidRDefault="007C4FA9" w:rsidP="009B4976">
    <w:pPr>
      <w:pStyle w:val="af"/>
      <w:ind w:right="360"/>
      <w:rPr>
        <w:rFonts w:ascii="Arial" w:hAnsi="Arial" w:cs="Arial"/>
        <w:sz w:val="18"/>
        <w:szCs w:val="18"/>
        <w:lang w:val="en-GB"/>
      </w:rPr>
    </w:pPr>
    <w:r w:rsidRPr="007C4FA9">
      <w:rPr>
        <w:rFonts w:ascii="Arial" w:hAnsi="Arial" w:cs="Arial"/>
        <w:sz w:val="18"/>
        <w:szCs w:val="18"/>
        <w:lang w:val="en-GB"/>
      </w:rPr>
      <w:t>202021IFU-393</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463E" w14:textId="77777777" w:rsidR="00821199" w:rsidRDefault="00821199" w:rsidP="00241B44">
      <w:r>
        <w:separator/>
      </w:r>
    </w:p>
  </w:footnote>
  <w:footnote w:type="continuationSeparator" w:id="0">
    <w:p w14:paraId="5F50FE44" w14:textId="77777777" w:rsidR="00821199" w:rsidRDefault="0082119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833"/>
    <w:multiLevelType w:val="hybridMultilevel"/>
    <w:tmpl w:val="DD48A398"/>
    <w:lvl w:ilvl="0" w:tplc="7060A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9D85FB3"/>
    <w:multiLevelType w:val="hybridMultilevel"/>
    <w:tmpl w:val="4C96969E"/>
    <w:lvl w:ilvl="0" w:tplc="A7342262">
      <w:start w:val="1"/>
      <w:numFmt w:val="decimal"/>
      <w:lvlText w:val="(%1)"/>
      <w:lvlJc w:val="left"/>
      <w:pPr>
        <w:ind w:left="360" w:hanging="36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466FEB"/>
    <w:multiLevelType w:val="hybridMultilevel"/>
    <w:tmpl w:val="53AC61C8"/>
    <w:lvl w:ilvl="0" w:tplc="CBDEB110">
      <w:start w:val="1"/>
      <w:numFmt w:val="decimal"/>
      <w:lvlText w:val="(%1)"/>
      <w:lvlJc w:val="left"/>
      <w:pPr>
        <w:ind w:left="360" w:hanging="36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A71E3D"/>
    <w:multiLevelType w:val="hybridMultilevel"/>
    <w:tmpl w:val="3E942530"/>
    <w:lvl w:ilvl="0" w:tplc="8BF838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62302652">
    <w:abstractNumId w:val="2"/>
  </w:num>
  <w:num w:numId="2" w16cid:durableId="1556040762">
    <w:abstractNumId w:val="12"/>
  </w:num>
  <w:num w:numId="3" w16cid:durableId="1524434701">
    <w:abstractNumId w:val="4"/>
  </w:num>
  <w:num w:numId="4" w16cid:durableId="810637042">
    <w:abstractNumId w:val="14"/>
  </w:num>
  <w:num w:numId="5" w16cid:durableId="21830817">
    <w:abstractNumId w:val="11"/>
  </w:num>
  <w:num w:numId="6" w16cid:durableId="1539463810">
    <w:abstractNumId w:val="13"/>
  </w:num>
  <w:num w:numId="7" w16cid:durableId="1107046442">
    <w:abstractNumId w:val="1"/>
  </w:num>
  <w:num w:numId="8" w16cid:durableId="110324287">
    <w:abstractNumId w:val="9"/>
  </w:num>
  <w:num w:numId="9" w16cid:durableId="1039235653">
    <w:abstractNumId w:val="8"/>
  </w:num>
  <w:num w:numId="10" w16cid:durableId="1853909309">
    <w:abstractNumId w:val="3"/>
  </w:num>
  <w:num w:numId="11" w16cid:durableId="854998657">
    <w:abstractNumId w:val="10"/>
  </w:num>
  <w:num w:numId="12" w16cid:durableId="1746218084">
    <w:abstractNumId w:val="7"/>
  </w:num>
  <w:num w:numId="13" w16cid:durableId="329716465">
    <w:abstractNumId w:val="5"/>
  </w:num>
  <w:num w:numId="14" w16cid:durableId="1723207603">
    <w:abstractNumId w:val="6"/>
  </w:num>
  <w:num w:numId="15" w16cid:durableId="213073556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5F8F"/>
    <w:rsid w:val="00020557"/>
    <w:rsid w:val="0002476C"/>
    <w:rsid w:val="000250C7"/>
    <w:rsid w:val="00026F16"/>
    <w:rsid w:val="00037621"/>
    <w:rsid w:val="00041B32"/>
    <w:rsid w:val="00044D46"/>
    <w:rsid w:val="00045088"/>
    <w:rsid w:val="00045904"/>
    <w:rsid w:val="00050F19"/>
    <w:rsid w:val="00065166"/>
    <w:rsid w:val="00082609"/>
    <w:rsid w:val="000851CC"/>
    <w:rsid w:val="00087CD6"/>
    <w:rsid w:val="0009331B"/>
    <w:rsid w:val="00093BE8"/>
    <w:rsid w:val="00095776"/>
    <w:rsid w:val="00097BC7"/>
    <w:rsid w:val="000A68ED"/>
    <w:rsid w:val="000A7BF9"/>
    <w:rsid w:val="000B5175"/>
    <w:rsid w:val="000B5FF1"/>
    <w:rsid w:val="000B609F"/>
    <w:rsid w:val="000D55A8"/>
    <w:rsid w:val="000E4841"/>
    <w:rsid w:val="000F1677"/>
    <w:rsid w:val="000F2BC2"/>
    <w:rsid w:val="000F3D6C"/>
    <w:rsid w:val="00101707"/>
    <w:rsid w:val="00107BCE"/>
    <w:rsid w:val="001139B7"/>
    <w:rsid w:val="00113E29"/>
    <w:rsid w:val="0011473D"/>
    <w:rsid w:val="0011548B"/>
    <w:rsid w:val="00115C85"/>
    <w:rsid w:val="00123855"/>
    <w:rsid w:val="00126A4D"/>
    <w:rsid w:val="0013002C"/>
    <w:rsid w:val="001363CC"/>
    <w:rsid w:val="0014171F"/>
    <w:rsid w:val="0014622C"/>
    <w:rsid w:val="00152348"/>
    <w:rsid w:val="0015287F"/>
    <w:rsid w:val="0015456D"/>
    <w:rsid w:val="00155FA2"/>
    <w:rsid w:val="00161F1B"/>
    <w:rsid w:val="00162829"/>
    <w:rsid w:val="00174DC4"/>
    <w:rsid w:val="00175A7D"/>
    <w:rsid w:val="00180548"/>
    <w:rsid w:val="00180AC4"/>
    <w:rsid w:val="00180CCE"/>
    <w:rsid w:val="0018267A"/>
    <w:rsid w:val="00182779"/>
    <w:rsid w:val="001830DF"/>
    <w:rsid w:val="00187A34"/>
    <w:rsid w:val="00190886"/>
    <w:rsid w:val="001966D9"/>
    <w:rsid w:val="0019765F"/>
    <w:rsid w:val="001A7E9A"/>
    <w:rsid w:val="001B0F70"/>
    <w:rsid w:val="001B5016"/>
    <w:rsid w:val="001C45FC"/>
    <w:rsid w:val="001D0469"/>
    <w:rsid w:val="001D38BD"/>
    <w:rsid w:val="001D4862"/>
    <w:rsid w:val="001D6E1C"/>
    <w:rsid w:val="001E25B9"/>
    <w:rsid w:val="001E49E0"/>
    <w:rsid w:val="001E5F8A"/>
    <w:rsid w:val="001E7B5A"/>
    <w:rsid w:val="001F0D57"/>
    <w:rsid w:val="001F3023"/>
    <w:rsid w:val="001F7412"/>
    <w:rsid w:val="002024EA"/>
    <w:rsid w:val="00202DFE"/>
    <w:rsid w:val="00203720"/>
    <w:rsid w:val="0020725B"/>
    <w:rsid w:val="002110F1"/>
    <w:rsid w:val="00222FB5"/>
    <w:rsid w:val="0024116D"/>
    <w:rsid w:val="00241B44"/>
    <w:rsid w:val="00241FA3"/>
    <w:rsid w:val="00244C44"/>
    <w:rsid w:val="00245EFB"/>
    <w:rsid w:val="0025386E"/>
    <w:rsid w:val="002551DD"/>
    <w:rsid w:val="002609AA"/>
    <w:rsid w:val="002638B0"/>
    <w:rsid w:val="0026647A"/>
    <w:rsid w:val="002668D3"/>
    <w:rsid w:val="0027299F"/>
    <w:rsid w:val="00275586"/>
    <w:rsid w:val="00275F12"/>
    <w:rsid w:val="00284EBE"/>
    <w:rsid w:val="00290E35"/>
    <w:rsid w:val="0029433F"/>
    <w:rsid w:val="00294829"/>
    <w:rsid w:val="0029690F"/>
    <w:rsid w:val="00297C8A"/>
    <w:rsid w:val="002A0011"/>
    <w:rsid w:val="002A2A60"/>
    <w:rsid w:val="002A37BB"/>
    <w:rsid w:val="002B1C45"/>
    <w:rsid w:val="002C13C8"/>
    <w:rsid w:val="002C3547"/>
    <w:rsid w:val="002D0021"/>
    <w:rsid w:val="002D3473"/>
    <w:rsid w:val="002E4CF1"/>
    <w:rsid w:val="002F1956"/>
    <w:rsid w:val="002F3440"/>
    <w:rsid w:val="002F75A3"/>
    <w:rsid w:val="00303C2F"/>
    <w:rsid w:val="00303F66"/>
    <w:rsid w:val="003144EF"/>
    <w:rsid w:val="003252C2"/>
    <w:rsid w:val="00326292"/>
    <w:rsid w:val="00326415"/>
    <w:rsid w:val="00330937"/>
    <w:rsid w:val="00330F31"/>
    <w:rsid w:val="00331480"/>
    <w:rsid w:val="00334648"/>
    <w:rsid w:val="0033768C"/>
    <w:rsid w:val="00337938"/>
    <w:rsid w:val="00340769"/>
    <w:rsid w:val="00341AA6"/>
    <w:rsid w:val="0034705B"/>
    <w:rsid w:val="00351366"/>
    <w:rsid w:val="003520FC"/>
    <w:rsid w:val="003525B6"/>
    <w:rsid w:val="0035650E"/>
    <w:rsid w:val="00361A0A"/>
    <w:rsid w:val="00364836"/>
    <w:rsid w:val="003650E5"/>
    <w:rsid w:val="0036565C"/>
    <w:rsid w:val="0036625E"/>
    <w:rsid w:val="00366415"/>
    <w:rsid w:val="0036683D"/>
    <w:rsid w:val="00366E35"/>
    <w:rsid w:val="00370F86"/>
    <w:rsid w:val="0037465A"/>
    <w:rsid w:val="00375D11"/>
    <w:rsid w:val="00381E71"/>
    <w:rsid w:val="00382C98"/>
    <w:rsid w:val="0038533C"/>
    <w:rsid w:val="003864D1"/>
    <w:rsid w:val="00386568"/>
    <w:rsid w:val="00390B57"/>
    <w:rsid w:val="003948D5"/>
    <w:rsid w:val="00396821"/>
    <w:rsid w:val="00397D3A"/>
    <w:rsid w:val="003A0365"/>
    <w:rsid w:val="003A051E"/>
    <w:rsid w:val="003A1CB8"/>
    <w:rsid w:val="003B0A27"/>
    <w:rsid w:val="003B170F"/>
    <w:rsid w:val="003B17B3"/>
    <w:rsid w:val="003B17D1"/>
    <w:rsid w:val="003B3C5F"/>
    <w:rsid w:val="003C4342"/>
    <w:rsid w:val="003C4471"/>
    <w:rsid w:val="003C4BCB"/>
    <w:rsid w:val="003D0A6D"/>
    <w:rsid w:val="003D1974"/>
    <w:rsid w:val="003D321F"/>
    <w:rsid w:val="003D3C87"/>
    <w:rsid w:val="003E0B16"/>
    <w:rsid w:val="003E16B3"/>
    <w:rsid w:val="003E2B42"/>
    <w:rsid w:val="003E4DB0"/>
    <w:rsid w:val="003E67D1"/>
    <w:rsid w:val="00404329"/>
    <w:rsid w:val="00405DC1"/>
    <w:rsid w:val="00415F1F"/>
    <w:rsid w:val="004202D2"/>
    <w:rsid w:val="0042108F"/>
    <w:rsid w:val="0042495C"/>
    <w:rsid w:val="004261F5"/>
    <w:rsid w:val="00430FED"/>
    <w:rsid w:val="00434A8C"/>
    <w:rsid w:val="00437297"/>
    <w:rsid w:val="00444284"/>
    <w:rsid w:val="0044574C"/>
    <w:rsid w:val="00445CE6"/>
    <w:rsid w:val="004534C2"/>
    <w:rsid w:val="0045446F"/>
    <w:rsid w:val="004558DD"/>
    <w:rsid w:val="0045683E"/>
    <w:rsid w:val="00457CA3"/>
    <w:rsid w:val="00465BFF"/>
    <w:rsid w:val="00476DB5"/>
    <w:rsid w:val="00477C72"/>
    <w:rsid w:val="00491675"/>
    <w:rsid w:val="00493855"/>
    <w:rsid w:val="00495E79"/>
    <w:rsid w:val="0049649C"/>
    <w:rsid w:val="004A0692"/>
    <w:rsid w:val="004A1297"/>
    <w:rsid w:val="004A1386"/>
    <w:rsid w:val="004A57DD"/>
    <w:rsid w:val="004A7B51"/>
    <w:rsid w:val="004A7D71"/>
    <w:rsid w:val="004A7EF3"/>
    <w:rsid w:val="004B11FD"/>
    <w:rsid w:val="004B13DC"/>
    <w:rsid w:val="004B23A2"/>
    <w:rsid w:val="004B6A4B"/>
    <w:rsid w:val="004C00F3"/>
    <w:rsid w:val="004C0D03"/>
    <w:rsid w:val="004C0D33"/>
    <w:rsid w:val="004D1A5A"/>
    <w:rsid w:val="004D2FFF"/>
    <w:rsid w:val="004D3721"/>
    <w:rsid w:val="004D64F9"/>
    <w:rsid w:val="004E35F6"/>
    <w:rsid w:val="004E3A6B"/>
    <w:rsid w:val="004E622C"/>
    <w:rsid w:val="004F4AF9"/>
    <w:rsid w:val="004F5FDF"/>
    <w:rsid w:val="0050015D"/>
    <w:rsid w:val="00504293"/>
    <w:rsid w:val="005177FE"/>
    <w:rsid w:val="0052263B"/>
    <w:rsid w:val="00524728"/>
    <w:rsid w:val="005331CA"/>
    <w:rsid w:val="00537970"/>
    <w:rsid w:val="00540E3A"/>
    <w:rsid w:val="00544127"/>
    <w:rsid w:val="00544F6E"/>
    <w:rsid w:val="0054558E"/>
    <w:rsid w:val="005463A9"/>
    <w:rsid w:val="00553EB2"/>
    <w:rsid w:val="00560534"/>
    <w:rsid w:val="0056391B"/>
    <w:rsid w:val="00564001"/>
    <w:rsid w:val="005650E2"/>
    <w:rsid w:val="005652EA"/>
    <w:rsid w:val="00567AD7"/>
    <w:rsid w:val="00571F87"/>
    <w:rsid w:val="00575B2D"/>
    <w:rsid w:val="005833D0"/>
    <w:rsid w:val="005846F3"/>
    <w:rsid w:val="0058622F"/>
    <w:rsid w:val="00591280"/>
    <w:rsid w:val="00592F82"/>
    <w:rsid w:val="005A0CCA"/>
    <w:rsid w:val="005A726D"/>
    <w:rsid w:val="005B5E3C"/>
    <w:rsid w:val="005B67AC"/>
    <w:rsid w:val="005B79F4"/>
    <w:rsid w:val="005C6814"/>
    <w:rsid w:val="005D2CD6"/>
    <w:rsid w:val="005D43E0"/>
    <w:rsid w:val="005D58A3"/>
    <w:rsid w:val="005E1B79"/>
    <w:rsid w:val="005E3A41"/>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256"/>
    <w:rsid w:val="00630542"/>
    <w:rsid w:val="00632E44"/>
    <w:rsid w:val="00634622"/>
    <w:rsid w:val="00636808"/>
    <w:rsid w:val="00636C15"/>
    <w:rsid w:val="00640614"/>
    <w:rsid w:val="00641515"/>
    <w:rsid w:val="00654B27"/>
    <w:rsid w:val="00654C2F"/>
    <w:rsid w:val="00656DA7"/>
    <w:rsid w:val="00657087"/>
    <w:rsid w:val="006603F1"/>
    <w:rsid w:val="006639DB"/>
    <w:rsid w:val="006661EF"/>
    <w:rsid w:val="00677AEB"/>
    <w:rsid w:val="00680EF2"/>
    <w:rsid w:val="00685C18"/>
    <w:rsid w:val="00687A1D"/>
    <w:rsid w:val="0069016B"/>
    <w:rsid w:val="00696ED8"/>
    <w:rsid w:val="00697EA1"/>
    <w:rsid w:val="006A2646"/>
    <w:rsid w:val="006A3938"/>
    <w:rsid w:val="006A4384"/>
    <w:rsid w:val="006A6530"/>
    <w:rsid w:val="006B435A"/>
    <w:rsid w:val="006B4C64"/>
    <w:rsid w:val="006C5D28"/>
    <w:rsid w:val="006D217A"/>
    <w:rsid w:val="006D3DB1"/>
    <w:rsid w:val="006D4DEC"/>
    <w:rsid w:val="006D5D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500DB"/>
    <w:rsid w:val="007603F5"/>
    <w:rsid w:val="00763E67"/>
    <w:rsid w:val="00764DB0"/>
    <w:rsid w:val="007657DA"/>
    <w:rsid w:val="0076764D"/>
    <w:rsid w:val="0077498C"/>
    <w:rsid w:val="007772BD"/>
    <w:rsid w:val="007809BC"/>
    <w:rsid w:val="00782EE1"/>
    <w:rsid w:val="00784128"/>
    <w:rsid w:val="00793173"/>
    <w:rsid w:val="00797C89"/>
    <w:rsid w:val="007A107A"/>
    <w:rsid w:val="007A2A33"/>
    <w:rsid w:val="007A6B8D"/>
    <w:rsid w:val="007A7B20"/>
    <w:rsid w:val="007B60D8"/>
    <w:rsid w:val="007C1FCC"/>
    <w:rsid w:val="007C4FA9"/>
    <w:rsid w:val="007C50AA"/>
    <w:rsid w:val="007C6201"/>
    <w:rsid w:val="007D4A27"/>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119B8"/>
    <w:rsid w:val="00821199"/>
    <w:rsid w:val="0082483F"/>
    <w:rsid w:val="00825CB5"/>
    <w:rsid w:val="008279C0"/>
    <w:rsid w:val="00841051"/>
    <w:rsid w:val="008500BD"/>
    <w:rsid w:val="00860723"/>
    <w:rsid w:val="00871725"/>
    <w:rsid w:val="00872313"/>
    <w:rsid w:val="008723E6"/>
    <w:rsid w:val="008723F3"/>
    <w:rsid w:val="00874240"/>
    <w:rsid w:val="00881DE6"/>
    <w:rsid w:val="008837A6"/>
    <w:rsid w:val="0089145D"/>
    <w:rsid w:val="00894C1D"/>
    <w:rsid w:val="00897A78"/>
    <w:rsid w:val="008A1BF7"/>
    <w:rsid w:val="008A4DF2"/>
    <w:rsid w:val="008A6CFE"/>
    <w:rsid w:val="008B3C81"/>
    <w:rsid w:val="008B5333"/>
    <w:rsid w:val="008B6223"/>
    <w:rsid w:val="008C4AC6"/>
    <w:rsid w:val="008C66E0"/>
    <w:rsid w:val="008D62F7"/>
    <w:rsid w:val="008E0EC8"/>
    <w:rsid w:val="008E3339"/>
    <w:rsid w:val="008E7371"/>
    <w:rsid w:val="008F20FC"/>
    <w:rsid w:val="008F5FFE"/>
    <w:rsid w:val="00905A43"/>
    <w:rsid w:val="00912C79"/>
    <w:rsid w:val="00914A23"/>
    <w:rsid w:val="009212C8"/>
    <w:rsid w:val="00935A21"/>
    <w:rsid w:val="009364F7"/>
    <w:rsid w:val="00942123"/>
    <w:rsid w:val="0095207B"/>
    <w:rsid w:val="00957703"/>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C6E29"/>
    <w:rsid w:val="009D0811"/>
    <w:rsid w:val="009D0EE1"/>
    <w:rsid w:val="009E2AEB"/>
    <w:rsid w:val="009E2E27"/>
    <w:rsid w:val="009E39B2"/>
    <w:rsid w:val="009E4DE3"/>
    <w:rsid w:val="009E6326"/>
    <w:rsid w:val="009F275E"/>
    <w:rsid w:val="00A047EE"/>
    <w:rsid w:val="00A05035"/>
    <w:rsid w:val="00A07F44"/>
    <w:rsid w:val="00A11E80"/>
    <w:rsid w:val="00A17858"/>
    <w:rsid w:val="00A20289"/>
    <w:rsid w:val="00A2274A"/>
    <w:rsid w:val="00A235B7"/>
    <w:rsid w:val="00A244F3"/>
    <w:rsid w:val="00A27A7A"/>
    <w:rsid w:val="00A40111"/>
    <w:rsid w:val="00A4042F"/>
    <w:rsid w:val="00A407EF"/>
    <w:rsid w:val="00A46B4C"/>
    <w:rsid w:val="00A5117B"/>
    <w:rsid w:val="00A51AFD"/>
    <w:rsid w:val="00A54CB5"/>
    <w:rsid w:val="00A60074"/>
    <w:rsid w:val="00A620A6"/>
    <w:rsid w:val="00A62FDA"/>
    <w:rsid w:val="00A6627C"/>
    <w:rsid w:val="00A71019"/>
    <w:rsid w:val="00A81029"/>
    <w:rsid w:val="00A86AC8"/>
    <w:rsid w:val="00A96489"/>
    <w:rsid w:val="00AA1767"/>
    <w:rsid w:val="00AA5186"/>
    <w:rsid w:val="00AB1D57"/>
    <w:rsid w:val="00AB3D24"/>
    <w:rsid w:val="00AB685C"/>
    <w:rsid w:val="00AB6C2D"/>
    <w:rsid w:val="00AC08F7"/>
    <w:rsid w:val="00AC332D"/>
    <w:rsid w:val="00AC3839"/>
    <w:rsid w:val="00AC5D87"/>
    <w:rsid w:val="00AC7082"/>
    <w:rsid w:val="00AD2931"/>
    <w:rsid w:val="00AD513F"/>
    <w:rsid w:val="00AD6870"/>
    <w:rsid w:val="00AE1938"/>
    <w:rsid w:val="00AE2316"/>
    <w:rsid w:val="00AE5687"/>
    <w:rsid w:val="00AE5CD4"/>
    <w:rsid w:val="00AE5FD9"/>
    <w:rsid w:val="00AE74BA"/>
    <w:rsid w:val="00AE7D53"/>
    <w:rsid w:val="00AF228E"/>
    <w:rsid w:val="00B016A8"/>
    <w:rsid w:val="00B12499"/>
    <w:rsid w:val="00B12EF7"/>
    <w:rsid w:val="00B14048"/>
    <w:rsid w:val="00B146BE"/>
    <w:rsid w:val="00B14819"/>
    <w:rsid w:val="00B15E2F"/>
    <w:rsid w:val="00B17AA9"/>
    <w:rsid w:val="00B2724A"/>
    <w:rsid w:val="00B30AAB"/>
    <w:rsid w:val="00B30D9A"/>
    <w:rsid w:val="00B33FC5"/>
    <w:rsid w:val="00B44713"/>
    <w:rsid w:val="00B471AE"/>
    <w:rsid w:val="00B5539A"/>
    <w:rsid w:val="00B56103"/>
    <w:rsid w:val="00B56D4C"/>
    <w:rsid w:val="00B64929"/>
    <w:rsid w:val="00B736DF"/>
    <w:rsid w:val="00B743D6"/>
    <w:rsid w:val="00B74FBD"/>
    <w:rsid w:val="00B77F46"/>
    <w:rsid w:val="00B82586"/>
    <w:rsid w:val="00B829A3"/>
    <w:rsid w:val="00B86DB1"/>
    <w:rsid w:val="00B87869"/>
    <w:rsid w:val="00B93F16"/>
    <w:rsid w:val="00B96CE3"/>
    <w:rsid w:val="00BA543A"/>
    <w:rsid w:val="00BB0F2B"/>
    <w:rsid w:val="00BB38D1"/>
    <w:rsid w:val="00BB5A4E"/>
    <w:rsid w:val="00BC2422"/>
    <w:rsid w:val="00BD0E3C"/>
    <w:rsid w:val="00BD73DA"/>
    <w:rsid w:val="00BE4FF3"/>
    <w:rsid w:val="00BE62E7"/>
    <w:rsid w:val="00BF50F7"/>
    <w:rsid w:val="00C00B20"/>
    <w:rsid w:val="00C02F29"/>
    <w:rsid w:val="00C13D10"/>
    <w:rsid w:val="00C20AFE"/>
    <w:rsid w:val="00C22A25"/>
    <w:rsid w:val="00C34356"/>
    <w:rsid w:val="00C35156"/>
    <w:rsid w:val="00C35671"/>
    <w:rsid w:val="00C35B77"/>
    <w:rsid w:val="00C376EB"/>
    <w:rsid w:val="00C45AB0"/>
    <w:rsid w:val="00C46A92"/>
    <w:rsid w:val="00C46DF7"/>
    <w:rsid w:val="00C46EC1"/>
    <w:rsid w:val="00C52796"/>
    <w:rsid w:val="00C53E2C"/>
    <w:rsid w:val="00C550C8"/>
    <w:rsid w:val="00C56B61"/>
    <w:rsid w:val="00C606C3"/>
    <w:rsid w:val="00C60B85"/>
    <w:rsid w:val="00C620F4"/>
    <w:rsid w:val="00C63E03"/>
    <w:rsid w:val="00C64F40"/>
    <w:rsid w:val="00C72848"/>
    <w:rsid w:val="00C7729F"/>
    <w:rsid w:val="00C7736C"/>
    <w:rsid w:val="00C82D87"/>
    <w:rsid w:val="00C8604F"/>
    <w:rsid w:val="00C8712A"/>
    <w:rsid w:val="00C963D3"/>
    <w:rsid w:val="00C96D10"/>
    <w:rsid w:val="00CA6ED5"/>
    <w:rsid w:val="00CA7609"/>
    <w:rsid w:val="00CB1983"/>
    <w:rsid w:val="00CB2CBB"/>
    <w:rsid w:val="00CB7CAC"/>
    <w:rsid w:val="00CC5335"/>
    <w:rsid w:val="00CC5BA4"/>
    <w:rsid w:val="00CD4998"/>
    <w:rsid w:val="00CE1035"/>
    <w:rsid w:val="00CE6E50"/>
    <w:rsid w:val="00CF2819"/>
    <w:rsid w:val="00CF4F9D"/>
    <w:rsid w:val="00CF70DC"/>
    <w:rsid w:val="00CF7652"/>
    <w:rsid w:val="00D06EBD"/>
    <w:rsid w:val="00D06FB2"/>
    <w:rsid w:val="00D148DC"/>
    <w:rsid w:val="00D17FDC"/>
    <w:rsid w:val="00D21F62"/>
    <w:rsid w:val="00D26E26"/>
    <w:rsid w:val="00D41B78"/>
    <w:rsid w:val="00D429BE"/>
    <w:rsid w:val="00D43382"/>
    <w:rsid w:val="00D4714F"/>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5AEC"/>
    <w:rsid w:val="00DB6EF5"/>
    <w:rsid w:val="00DC3089"/>
    <w:rsid w:val="00DC4420"/>
    <w:rsid w:val="00DD022E"/>
    <w:rsid w:val="00DD0802"/>
    <w:rsid w:val="00DD2E11"/>
    <w:rsid w:val="00DD47EF"/>
    <w:rsid w:val="00DD5242"/>
    <w:rsid w:val="00DE01DC"/>
    <w:rsid w:val="00DE03AF"/>
    <w:rsid w:val="00DE121C"/>
    <w:rsid w:val="00DE6633"/>
    <w:rsid w:val="00DF0864"/>
    <w:rsid w:val="00DF7507"/>
    <w:rsid w:val="00DF75F8"/>
    <w:rsid w:val="00DF7A3A"/>
    <w:rsid w:val="00E00C00"/>
    <w:rsid w:val="00E03AF0"/>
    <w:rsid w:val="00E07C5A"/>
    <w:rsid w:val="00E15BA9"/>
    <w:rsid w:val="00E26E19"/>
    <w:rsid w:val="00E30C8A"/>
    <w:rsid w:val="00E315B7"/>
    <w:rsid w:val="00E31DF3"/>
    <w:rsid w:val="00E450A4"/>
    <w:rsid w:val="00E506BE"/>
    <w:rsid w:val="00E5201C"/>
    <w:rsid w:val="00E55547"/>
    <w:rsid w:val="00E604A1"/>
    <w:rsid w:val="00E6302B"/>
    <w:rsid w:val="00E6452F"/>
    <w:rsid w:val="00E64F45"/>
    <w:rsid w:val="00E6550D"/>
    <w:rsid w:val="00E6610C"/>
    <w:rsid w:val="00E6742D"/>
    <w:rsid w:val="00E71CB0"/>
    <w:rsid w:val="00E77C3D"/>
    <w:rsid w:val="00E81070"/>
    <w:rsid w:val="00E81160"/>
    <w:rsid w:val="00E83CE8"/>
    <w:rsid w:val="00E90991"/>
    <w:rsid w:val="00E909F0"/>
    <w:rsid w:val="00E90D47"/>
    <w:rsid w:val="00E93993"/>
    <w:rsid w:val="00E94B90"/>
    <w:rsid w:val="00E94C53"/>
    <w:rsid w:val="00E9597C"/>
    <w:rsid w:val="00EA0913"/>
    <w:rsid w:val="00EA5B00"/>
    <w:rsid w:val="00EB146B"/>
    <w:rsid w:val="00EB45AC"/>
    <w:rsid w:val="00EB5CA4"/>
    <w:rsid w:val="00EC00F9"/>
    <w:rsid w:val="00ED0BC4"/>
    <w:rsid w:val="00ED20E8"/>
    <w:rsid w:val="00ED472A"/>
    <w:rsid w:val="00ED54B6"/>
    <w:rsid w:val="00EE4971"/>
    <w:rsid w:val="00EE5B51"/>
    <w:rsid w:val="00EF090E"/>
    <w:rsid w:val="00F033DA"/>
    <w:rsid w:val="00F13FB1"/>
    <w:rsid w:val="00F17339"/>
    <w:rsid w:val="00F17F49"/>
    <w:rsid w:val="00F27CD8"/>
    <w:rsid w:val="00F30351"/>
    <w:rsid w:val="00F3323E"/>
    <w:rsid w:val="00F341F4"/>
    <w:rsid w:val="00F34F9D"/>
    <w:rsid w:val="00F35CCE"/>
    <w:rsid w:val="00F5524B"/>
    <w:rsid w:val="00F60538"/>
    <w:rsid w:val="00F61DD2"/>
    <w:rsid w:val="00F66AFF"/>
    <w:rsid w:val="00F71433"/>
    <w:rsid w:val="00F76CD4"/>
    <w:rsid w:val="00F77B29"/>
    <w:rsid w:val="00F814B4"/>
    <w:rsid w:val="00F82328"/>
    <w:rsid w:val="00F83464"/>
    <w:rsid w:val="00F93BE7"/>
    <w:rsid w:val="00F973C1"/>
    <w:rsid w:val="00F97C5B"/>
    <w:rsid w:val="00FA3D50"/>
    <w:rsid w:val="00FB7FBD"/>
    <w:rsid w:val="00FC374A"/>
    <w:rsid w:val="00FC48D8"/>
    <w:rsid w:val="00FC7B47"/>
    <w:rsid w:val="00FD035C"/>
    <w:rsid w:val="00FD1A35"/>
    <w:rsid w:val="00FD36C5"/>
    <w:rsid w:val="00FD4118"/>
    <w:rsid w:val="00FD6310"/>
    <w:rsid w:val="00FD63BD"/>
    <w:rsid w:val="00FD7C7B"/>
    <w:rsid w:val="00FD7E9C"/>
    <w:rsid w:val="00FE1D12"/>
    <w:rsid w:val="00FE2122"/>
    <w:rsid w:val="00FE2A86"/>
    <w:rsid w:val="00FE2DE2"/>
    <w:rsid w:val="00FE563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12</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taichung.shen@gmail.com</cp:lastModifiedBy>
  <cp:revision>113</cp:revision>
  <cp:lastPrinted>2019-08-27T05:42:00Z</cp:lastPrinted>
  <dcterms:created xsi:type="dcterms:W3CDTF">2022-07-31T04:14:00Z</dcterms:created>
  <dcterms:modified xsi:type="dcterms:W3CDTF">2022-07-31T20:55:00Z</dcterms:modified>
</cp:coreProperties>
</file>