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6D3EB1" w:rsidRDefault="0050157D" w:rsidP="00A212A5">
      <w:pPr>
        <w:pStyle w:val="ListParagraph"/>
        <w:numPr>
          <w:ilvl w:val="0"/>
          <w:numId w:val="1"/>
        </w:numPr>
        <w:ind w:left="426"/>
        <w:jc w:val="both"/>
        <w:rPr>
          <w:rFonts w:ascii="Arial" w:hAnsi="Arial" w:cs="Arial"/>
          <w:sz w:val="22"/>
          <w:szCs w:val="22"/>
          <w:lang w:val="en-GB"/>
        </w:rPr>
      </w:pPr>
      <w:bookmarkStart w:id="0" w:name="_Hlk1391126"/>
      <w:r w:rsidRPr="006D3EB1">
        <w:rPr>
          <w:rFonts w:ascii="Arial" w:hAnsi="Arial" w:cs="Arial"/>
          <w:sz w:val="22"/>
          <w:szCs w:val="22"/>
          <w:lang w:val="en-GB"/>
        </w:rPr>
        <w:t>The Model Law provides effective mechanisms for dealing with cases of cross-border insolvency so as to promote a number of objectives</w:t>
      </w:r>
      <w:r w:rsidR="00A83CB5" w:rsidRPr="006D3EB1">
        <w:rPr>
          <w:rFonts w:ascii="Arial" w:hAnsi="Arial" w:cs="Arial"/>
          <w:sz w:val="22"/>
          <w:szCs w:val="22"/>
          <w:lang w:val="en-GB"/>
        </w:rPr>
        <w:t>,</w:t>
      </w:r>
      <w:r w:rsidRPr="006D3EB1">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6D3EB1" w:rsidRDefault="0050157D" w:rsidP="00A212A5">
      <w:pPr>
        <w:pStyle w:val="ListParagraph"/>
        <w:numPr>
          <w:ilvl w:val="0"/>
          <w:numId w:val="1"/>
        </w:numPr>
        <w:ind w:left="426"/>
        <w:jc w:val="both"/>
        <w:rPr>
          <w:rFonts w:ascii="Arial" w:hAnsi="Arial" w:cs="Arial"/>
          <w:sz w:val="22"/>
          <w:szCs w:val="22"/>
          <w:highlight w:val="yellow"/>
          <w:lang w:val="en-GB"/>
        </w:rPr>
      </w:pPr>
      <w:r w:rsidRPr="006D3EB1">
        <w:rPr>
          <w:rFonts w:ascii="Arial" w:hAnsi="Arial" w:cs="Arial"/>
          <w:sz w:val="22"/>
          <w:szCs w:val="22"/>
          <w:highlight w:val="yellow"/>
          <w:lang w:val="en-GB"/>
        </w:rPr>
        <w:t>The Model Law provides effective mechanisms for dealing with cases of cross-border insolvency so as to promote a number of objectives</w:t>
      </w:r>
      <w:r w:rsidR="00B61419" w:rsidRPr="006D3EB1">
        <w:rPr>
          <w:rFonts w:ascii="Arial" w:hAnsi="Arial" w:cs="Arial"/>
          <w:sz w:val="22"/>
          <w:szCs w:val="22"/>
          <w:highlight w:val="yellow"/>
          <w:lang w:val="en-GB"/>
        </w:rPr>
        <w:t>,</w:t>
      </w:r>
      <w:r w:rsidRPr="006D3EB1">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A212A5">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A212A5">
      <w:pPr>
        <w:pStyle w:val="ListParagraph"/>
        <w:numPr>
          <w:ilvl w:val="0"/>
          <w:numId w:val="1"/>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A212A5">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4200E0" w:rsidRDefault="005F21F4" w:rsidP="00A212A5">
      <w:pPr>
        <w:pStyle w:val="ListParagraph"/>
        <w:numPr>
          <w:ilvl w:val="0"/>
          <w:numId w:val="2"/>
        </w:numPr>
        <w:ind w:left="426"/>
        <w:jc w:val="both"/>
        <w:rPr>
          <w:rFonts w:ascii="Arial" w:hAnsi="Arial" w:cs="Arial"/>
          <w:sz w:val="22"/>
          <w:szCs w:val="22"/>
          <w:lang w:val="en-GB"/>
        </w:rPr>
      </w:pPr>
      <w:r w:rsidRPr="004200E0">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A212A5">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4200E0" w:rsidRDefault="005F21F4" w:rsidP="00A212A5">
      <w:pPr>
        <w:pStyle w:val="ListParagraph"/>
        <w:numPr>
          <w:ilvl w:val="0"/>
          <w:numId w:val="2"/>
        </w:numPr>
        <w:ind w:left="426"/>
        <w:jc w:val="both"/>
        <w:rPr>
          <w:rFonts w:ascii="Arial" w:hAnsi="Arial" w:cs="Arial"/>
          <w:sz w:val="22"/>
          <w:szCs w:val="22"/>
          <w:highlight w:val="yellow"/>
          <w:lang w:val="en-GB"/>
        </w:rPr>
      </w:pPr>
      <w:bookmarkStart w:id="2" w:name="_Hlk47080588"/>
      <w:r w:rsidRPr="004200E0">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A212A5">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A212A5">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4200E0" w:rsidRDefault="00853A74" w:rsidP="00A212A5">
      <w:pPr>
        <w:pStyle w:val="ListParagraph"/>
        <w:numPr>
          <w:ilvl w:val="0"/>
          <w:numId w:val="3"/>
        </w:numPr>
        <w:ind w:left="426"/>
        <w:jc w:val="both"/>
        <w:rPr>
          <w:rFonts w:ascii="Arial" w:hAnsi="Arial" w:cs="Arial"/>
          <w:sz w:val="22"/>
          <w:szCs w:val="22"/>
          <w:highlight w:val="yellow"/>
          <w:lang w:val="en-GB"/>
        </w:rPr>
      </w:pPr>
      <w:r w:rsidRPr="004200E0">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A212A5">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4200E0" w:rsidRDefault="00E57410" w:rsidP="00A212A5">
      <w:pPr>
        <w:pStyle w:val="ListParagraph"/>
        <w:numPr>
          <w:ilvl w:val="0"/>
          <w:numId w:val="4"/>
        </w:numPr>
        <w:ind w:left="426"/>
        <w:jc w:val="both"/>
        <w:rPr>
          <w:rFonts w:ascii="Arial" w:hAnsi="Arial" w:cs="Arial"/>
          <w:sz w:val="22"/>
          <w:szCs w:val="22"/>
          <w:lang w:val="en-GB"/>
        </w:rPr>
      </w:pPr>
      <w:r w:rsidRPr="004200E0">
        <w:rPr>
          <w:rFonts w:ascii="Arial" w:hAnsi="Arial" w:cs="Arial"/>
          <w:sz w:val="22"/>
          <w:szCs w:val="22"/>
          <w:lang w:val="en-GB"/>
        </w:rPr>
        <w:t xml:space="preserve">The </w:t>
      </w:r>
      <w:r w:rsidRPr="004200E0">
        <w:rPr>
          <w:rFonts w:ascii="Arial" w:hAnsi="Arial" w:cs="Arial"/>
          <w:i/>
          <w:iCs/>
          <w:sz w:val="22"/>
          <w:szCs w:val="22"/>
          <w:lang w:val="en-GB"/>
        </w:rPr>
        <w:t>locus standi</w:t>
      </w:r>
      <w:r w:rsidRPr="004200E0">
        <w:rPr>
          <w:rFonts w:ascii="Arial" w:hAnsi="Arial" w:cs="Arial"/>
          <w:sz w:val="22"/>
          <w:szCs w:val="22"/>
          <w:lang w:val="en-GB"/>
        </w:rPr>
        <w:t xml:space="preserve"> access rules.</w:t>
      </w:r>
    </w:p>
    <w:p w14:paraId="19E5DE57" w14:textId="77777777" w:rsidR="00322F3B" w:rsidRPr="004200E0" w:rsidRDefault="00322F3B" w:rsidP="00322F3B">
      <w:pPr>
        <w:jc w:val="both"/>
        <w:rPr>
          <w:rFonts w:ascii="Arial" w:hAnsi="Arial" w:cs="Arial"/>
          <w:sz w:val="22"/>
          <w:szCs w:val="22"/>
          <w:lang w:val="en-GB"/>
        </w:rPr>
      </w:pPr>
    </w:p>
    <w:p w14:paraId="0C2A1A7D" w14:textId="228F81F4" w:rsidR="00E57410" w:rsidRPr="004200E0" w:rsidRDefault="00E57410" w:rsidP="00A212A5">
      <w:pPr>
        <w:pStyle w:val="ListParagraph"/>
        <w:numPr>
          <w:ilvl w:val="0"/>
          <w:numId w:val="4"/>
        </w:numPr>
        <w:ind w:left="426"/>
        <w:jc w:val="both"/>
        <w:rPr>
          <w:rFonts w:ascii="Arial" w:hAnsi="Arial" w:cs="Arial"/>
          <w:sz w:val="22"/>
          <w:szCs w:val="22"/>
          <w:lang w:val="en-GB"/>
        </w:rPr>
      </w:pPr>
      <w:r w:rsidRPr="004200E0">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A212A5">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4200E0" w:rsidRDefault="00E57410" w:rsidP="00A212A5">
      <w:pPr>
        <w:pStyle w:val="ListParagraph"/>
        <w:numPr>
          <w:ilvl w:val="0"/>
          <w:numId w:val="4"/>
        </w:numPr>
        <w:ind w:left="426"/>
        <w:jc w:val="both"/>
        <w:rPr>
          <w:rFonts w:ascii="Arial" w:hAnsi="Arial" w:cs="Arial"/>
          <w:sz w:val="22"/>
          <w:szCs w:val="22"/>
          <w:highlight w:val="yellow"/>
          <w:lang w:val="en-GB"/>
        </w:rPr>
      </w:pPr>
      <w:r w:rsidRPr="004200E0">
        <w:rPr>
          <w:rFonts w:ascii="Arial" w:hAnsi="Arial" w:cs="Arial"/>
          <w:sz w:val="22"/>
          <w:szCs w:val="22"/>
          <w:highlight w:val="yellow"/>
          <w:lang w:val="en-GB"/>
        </w:rPr>
        <w:t xml:space="preserve">The </w:t>
      </w:r>
      <w:r w:rsidR="001747C2" w:rsidRPr="004200E0">
        <w:rPr>
          <w:rFonts w:ascii="Arial" w:hAnsi="Arial" w:cs="Arial"/>
          <w:sz w:val="22"/>
          <w:szCs w:val="22"/>
          <w:highlight w:val="yellow"/>
          <w:lang w:val="en-GB"/>
        </w:rPr>
        <w:t>“</w:t>
      </w:r>
      <w:r w:rsidRPr="004200E0">
        <w:rPr>
          <w:rFonts w:ascii="Arial" w:hAnsi="Arial" w:cs="Arial"/>
          <w:sz w:val="22"/>
          <w:szCs w:val="22"/>
          <w:highlight w:val="yellow"/>
          <w:lang w:val="en-GB"/>
        </w:rPr>
        <w:t>hotchpot</w:t>
      </w:r>
      <w:r w:rsidR="001747C2" w:rsidRPr="004200E0">
        <w:rPr>
          <w:rFonts w:ascii="Arial" w:hAnsi="Arial" w:cs="Arial"/>
          <w:sz w:val="22"/>
          <w:szCs w:val="22"/>
          <w:highlight w:val="yellow"/>
          <w:lang w:val="en-GB"/>
        </w:rPr>
        <w:t>”</w:t>
      </w:r>
      <w:r w:rsidRPr="004200E0">
        <w:rPr>
          <w:rFonts w:ascii="Arial" w:hAnsi="Arial" w:cs="Arial"/>
          <w:sz w:val="22"/>
          <w:szCs w:val="22"/>
          <w:highlight w:val="yellow"/>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w:t>
      </w:r>
      <w:r w:rsidRPr="004200E0">
        <w:rPr>
          <w:rFonts w:ascii="Arial" w:hAnsi="Arial" w:cs="Arial"/>
          <w:sz w:val="22"/>
          <w:szCs w:val="22"/>
          <w:highlight w:val="yellow"/>
          <w:lang w:val="en-GB"/>
        </w:rPr>
        <w:t>Please note that South Africa has implemented the Model Law subject to the so-called principle of reciprocity (based on country designation),</w:t>
      </w:r>
      <w:r w:rsidRPr="009B5832">
        <w:rPr>
          <w:rFonts w:ascii="Arial" w:hAnsi="Arial" w:cs="Arial"/>
          <w:sz w:val="22"/>
          <w:szCs w:val="22"/>
          <w:lang w:val="en-GB"/>
        </w:rPr>
        <w:t xml:space="preserve">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A212A5">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656B37" w:rsidRDefault="00C504E5" w:rsidP="00A212A5">
      <w:pPr>
        <w:pStyle w:val="ListParagraph"/>
        <w:numPr>
          <w:ilvl w:val="0"/>
          <w:numId w:val="5"/>
        </w:numPr>
        <w:ind w:left="426"/>
        <w:jc w:val="both"/>
        <w:rPr>
          <w:rFonts w:ascii="Arial" w:hAnsi="Arial" w:cs="Arial"/>
          <w:sz w:val="22"/>
          <w:szCs w:val="22"/>
          <w:lang w:val="en-GB"/>
        </w:rPr>
      </w:pPr>
      <w:r w:rsidRPr="00656B37">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4200E0" w:rsidRDefault="00C504E5" w:rsidP="00A212A5">
      <w:pPr>
        <w:pStyle w:val="ListParagraph"/>
        <w:numPr>
          <w:ilvl w:val="0"/>
          <w:numId w:val="5"/>
        </w:numPr>
        <w:ind w:left="426"/>
        <w:jc w:val="both"/>
        <w:rPr>
          <w:rFonts w:ascii="Arial" w:hAnsi="Arial" w:cs="Arial"/>
          <w:sz w:val="22"/>
          <w:szCs w:val="22"/>
          <w:highlight w:val="yellow"/>
          <w:lang w:val="en-GB"/>
        </w:rPr>
      </w:pPr>
      <w:r w:rsidRPr="004200E0">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A212A5">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A212A5">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4200E0" w:rsidRDefault="00B72F5F" w:rsidP="00A212A5">
      <w:pPr>
        <w:pStyle w:val="ListParagraph"/>
        <w:numPr>
          <w:ilvl w:val="0"/>
          <w:numId w:val="6"/>
        </w:numPr>
        <w:ind w:left="426"/>
        <w:jc w:val="both"/>
        <w:rPr>
          <w:rFonts w:ascii="Arial" w:hAnsi="Arial" w:cs="Arial"/>
          <w:sz w:val="22"/>
          <w:szCs w:val="22"/>
          <w:highlight w:val="yellow"/>
          <w:lang w:val="en-GB"/>
        </w:rPr>
      </w:pPr>
      <w:r w:rsidRPr="004200E0">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A212A5">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A212A5">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A212A5">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A212A5">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A212A5">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A212A5">
      <w:pPr>
        <w:pStyle w:val="ListParagraph"/>
        <w:numPr>
          <w:ilvl w:val="0"/>
          <w:numId w:val="7"/>
        </w:numPr>
        <w:ind w:left="426"/>
        <w:jc w:val="both"/>
        <w:rPr>
          <w:rFonts w:ascii="Arial" w:hAnsi="Arial" w:cs="Arial"/>
          <w:sz w:val="22"/>
          <w:szCs w:val="22"/>
          <w:lang w:val="en-GB"/>
        </w:rPr>
      </w:pPr>
      <w:r w:rsidRPr="004200E0">
        <w:rPr>
          <w:rFonts w:ascii="Arial" w:hAnsi="Arial" w:cs="Arial"/>
          <w:sz w:val="22"/>
          <w:szCs w:val="22"/>
          <w:highlight w:val="yellow"/>
          <w:lang w:val="en-GB"/>
        </w:rPr>
        <w:t xml:space="preserve">Neither </w:t>
      </w:r>
      <w:r w:rsidR="00E73529" w:rsidRPr="004200E0">
        <w:rPr>
          <w:rFonts w:ascii="Arial" w:hAnsi="Arial" w:cs="Arial"/>
          <w:sz w:val="22"/>
          <w:szCs w:val="22"/>
          <w:highlight w:val="yellow"/>
          <w:lang w:val="en-GB"/>
        </w:rPr>
        <w:t>(</w:t>
      </w:r>
      <w:r w:rsidRPr="004200E0">
        <w:rPr>
          <w:rFonts w:ascii="Arial" w:hAnsi="Arial" w:cs="Arial"/>
          <w:sz w:val="22"/>
          <w:szCs w:val="22"/>
          <w:highlight w:val="yellow"/>
          <w:lang w:val="en-GB"/>
        </w:rPr>
        <w:t>a</w:t>
      </w:r>
      <w:r w:rsidR="00E73529" w:rsidRPr="004200E0">
        <w:rPr>
          <w:rFonts w:ascii="Arial" w:hAnsi="Arial" w:cs="Arial"/>
          <w:sz w:val="22"/>
          <w:szCs w:val="22"/>
          <w:highlight w:val="yellow"/>
          <w:lang w:val="en-GB"/>
        </w:rPr>
        <w:t>)</w:t>
      </w:r>
      <w:r w:rsidRPr="004200E0">
        <w:rPr>
          <w:rFonts w:ascii="Arial" w:hAnsi="Arial" w:cs="Arial"/>
          <w:sz w:val="22"/>
          <w:szCs w:val="22"/>
          <w:highlight w:val="yellow"/>
          <w:lang w:val="en-GB"/>
        </w:rPr>
        <w:t xml:space="preserve"> nor </w:t>
      </w:r>
      <w:r w:rsidR="00E73529" w:rsidRPr="004200E0">
        <w:rPr>
          <w:rFonts w:ascii="Arial" w:hAnsi="Arial" w:cs="Arial"/>
          <w:sz w:val="22"/>
          <w:szCs w:val="22"/>
          <w:highlight w:val="yellow"/>
          <w:lang w:val="en-GB"/>
        </w:rPr>
        <w:t>(</w:t>
      </w:r>
      <w:r w:rsidRPr="004200E0">
        <w:rPr>
          <w:rFonts w:ascii="Arial" w:hAnsi="Arial" w:cs="Arial"/>
          <w:sz w:val="22"/>
          <w:szCs w:val="22"/>
          <w:highlight w:val="yellow"/>
          <w:lang w:val="en-GB"/>
        </w:rPr>
        <w:t>b</w:t>
      </w:r>
      <w:r w:rsidR="00E73529" w:rsidRPr="004200E0">
        <w:rPr>
          <w:rFonts w:ascii="Arial" w:hAnsi="Arial" w:cs="Arial"/>
          <w:sz w:val="22"/>
          <w:szCs w:val="22"/>
          <w:highlight w:val="yellow"/>
          <w:lang w:val="en-GB"/>
        </w:rPr>
        <w:t>)</w:t>
      </w:r>
      <w:r w:rsidRPr="004200E0">
        <w:rPr>
          <w:rFonts w:ascii="Arial" w:hAnsi="Arial" w:cs="Arial"/>
          <w:sz w:val="22"/>
          <w:szCs w:val="22"/>
          <w:highlight w:val="yellow"/>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4200E0" w:rsidRDefault="004E0549" w:rsidP="00A212A5">
      <w:pPr>
        <w:pStyle w:val="ListParagraph"/>
        <w:numPr>
          <w:ilvl w:val="0"/>
          <w:numId w:val="8"/>
        </w:numPr>
        <w:ind w:left="426"/>
        <w:jc w:val="both"/>
        <w:rPr>
          <w:rFonts w:ascii="Arial" w:hAnsi="Arial" w:cs="Arial"/>
          <w:sz w:val="22"/>
          <w:szCs w:val="22"/>
          <w:lang w:val="en-GB"/>
        </w:rPr>
      </w:pPr>
      <w:r w:rsidRPr="004200E0">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4200E0" w:rsidRDefault="004E0549" w:rsidP="00A212A5">
      <w:pPr>
        <w:pStyle w:val="ListParagraph"/>
        <w:numPr>
          <w:ilvl w:val="0"/>
          <w:numId w:val="8"/>
        </w:numPr>
        <w:ind w:left="426"/>
        <w:jc w:val="both"/>
        <w:rPr>
          <w:rFonts w:ascii="Arial" w:hAnsi="Arial" w:cs="Arial"/>
          <w:sz w:val="22"/>
          <w:szCs w:val="22"/>
          <w:highlight w:val="yellow"/>
          <w:lang w:val="en-GB"/>
        </w:rPr>
      </w:pPr>
      <w:r w:rsidRPr="004200E0">
        <w:rPr>
          <w:rFonts w:ascii="Arial" w:hAnsi="Arial" w:cs="Arial"/>
          <w:sz w:val="22"/>
          <w:szCs w:val="22"/>
          <w:highlight w:val="yellow"/>
          <w:lang w:val="en-GB"/>
        </w:rPr>
        <w:t>For a corporate debtor, the Model Law does contain a rebuttable presumption that the debtor</w:t>
      </w:r>
      <w:r w:rsidR="001747C2" w:rsidRPr="004200E0">
        <w:rPr>
          <w:rFonts w:ascii="Arial" w:hAnsi="Arial" w:cs="Arial"/>
          <w:sz w:val="22"/>
          <w:szCs w:val="22"/>
          <w:highlight w:val="yellow"/>
          <w:lang w:val="en-GB"/>
        </w:rPr>
        <w:t>’</w:t>
      </w:r>
      <w:r w:rsidRPr="004200E0">
        <w:rPr>
          <w:rFonts w:ascii="Arial" w:hAnsi="Arial" w:cs="Arial"/>
          <w:sz w:val="22"/>
          <w:szCs w:val="22"/>
          <w:highlight w:val="yellow"/>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A212A5">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A212A5">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151A5A">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A212A5">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A212A5">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A212A5">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FC266C" w:rsidRDefault="00573E73" w:rsidP="00A212A5">
      <w:pPr>
        <w:pStyle w:val="ListParagraph"/>
        <w:numPr>
          <w:ilvl w:val="0"/>
          <w:numId w:val="9"/>
        </w:numPr>
        <w:ind w:left="426"/>
        <w:jc w:val="both"/>
        <w:rPr>
          <w:rFonts w:ascii="Arial" w:hAnsi="Arial" w:cs="Arial"/>
          <w:sz w:val="22"/>
          <w:szCs w:val="22"/>
          <w:highlight w:val="yellow"/>
          <w:lang w:val="en-GB"/>
        </w:rPr>
      </w:pPr>
      <w:r w:rsidRPr="00FC266C">
        <w:rPr>
          <w:rFonts w:ascii="Arial" w:hAnsi="Arial" w:cs="Arial"/>
          <w:sz w:val="22"/>
          <w:szCs w:val="22"/>
          <w:highlight w:val="yellow"/>
          <w:lang w:val="en-GB"/>
        </w:rPr>
        <w:t xml:space="preserve">Neither </w:t>
      </w:r>
      <w:r w:rsidR="00114082" w:rsidRPr="00FC266C">
        <w:rPr>
          <w:rFonts w:ascii="Arial" w:hAnsi="Arial" w:cs="Arial"/>
          <w:sz w:val="22"/>
          <w:szCs w:val="22"/>
          <w:highlight w:val="yellow"/>
          <w:lang w:val="en-GB"/>
        </w:rPr>
        <w:t>(</w:t>
      </w:r>
      <w:r w:rsidRPr="00FC266C">
        <w:rPr>
          <w:rFonts w:ascii="Arial" w:hAnsi="Arial" w:cs="Arial"/>
          <w:sz w:val="22"/>
          <w:szCs w:val="22"/>
          <w:highlight w:val="yellow"/>
          <w:lang w:val="en-GB"/>
        </w:rPr>
        <w:t>a</w:t>
      </w:r>
      <w:r w:rsidR="00114082" w:rsidRPr="00FC266C">
        <w:rPr>
          <w:rFonts w:ascii="Arial" w:hAnsi="Arial" w:cs="Arial"/>
          <w:sz w:val="22"/>
          <w:szCs w:val="22"/>
          <w:highlight w:val="yellow"/>
          <w:lang w:val="en-GB"/>
        </w:rPr>
        <w:t>)</w:t>
      </w:r>
      <w:r w:rsidRPr="00FC266C">
        <w:rPr>
          <w:rFonts w:ascii="Arial" w:hAnsi="Arial" w:cs="Arial"/>
          <w:sz w:val="22"/>
          <w:szCs w:val="22"/>
          <w:highlight w:val="yellow"/>
          <w:lang w:val="en-GB"/>
        </w:rPr>
        <w:t xml:space="preserve"> nor </w:t>
      </w:r>
      <w:r w:rsidR="00114082" w:rsidRPr="00FC266C">
        <w:rPr>
          <w:rFonts w:ascii="Arial" w:hAnsi="Arial" w:cs="Arial"/>
          <w:sz w:val="22"/>
          <w:szCs w:val="22"/>
          <w:highlight w:val="yellow"/>
          <w:lang w:val="en-GB"/>
        </w:rPr>
        <w:t>(</w:t>
      </w:r>
      <w:r w:rsidRPr="00FC266C">
        <w:rPr>
          <w:rFonts w:ascii="Arial" w:hAnsi="Arial" w:cs="Arial"/>
          <w:sz w:val="22"/>
          <w:szCs w:val="22"/>
          <w:highlight w:val="yellow"/>
          <w:lang w:val="en-GB"/>
        </w:rPr>
        <w:t>b</w:t>
      </w:r>
      <w:r w:rsidR="00114082" w:rsidRPr="00FC266C">
        <w:rPr>
          <w:rFonts w:ascii="Arial" w:hAnsi="Arial" w:cs="Arial"/>
          <w:sz w:val="22"/>
          <w:szCs w:val="22"/>
          <w:highlight w:val="yellow"/>
          <w:lang w:val="en-GB"/>
        </w:rPr>
        <w:t>)</w:t>
      </w:r>
      <w:r w:rsidRPr="00FC266C">
        <w:rPr>
          <w:rFonts w:ascii="Arial" w:hAnsi="Arial" w:cs="Arial"/>
          <w:sz w:val="22"/>
          <w:szCs w:val="22"/>
          <w:highlight w:val="yellow"/>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0E485C10" w:rsidR="00E9597C" w:rsidRPr="009B5832" w:rsidRDefault="00E9597C" w:rsidP="00707FC8">
      <w:pPr>
        <w:spacing w:line="276" w:lineRule="auto"/>
        <w:jc w:val="both"/>
        <w:rPr>
          <w:rFonts w:ascii="Arial" w:hAnsi="Arial" w:cs="Arial"/>
          <w:sz w:val="22"/>
          <w:szCs w:val="22"/>
          <w:lang w:val="en-GB"/>
        </w:rPr>
      </w:pPr>
      <w:r w:rsidRPr="00C2777A">
        <w:rPr>
          <w:rFonts w:ascii="Arial" w:hAnsi="Arial" w:cs="Arial"/>
          <w:b/>
          <w:bCs/>
          <w:sz w:val="22"/>
          <w:szCs w:val="22"/>
          <w:lang w:val="en-GB"/>
        </w:rPr>
        <w:t>Question 1.10</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A212A5">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A212A5">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A212A5">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463F9B" w:rsidRDefault="00114082" w:rsidP="00A212A5">
      <w:pPr>
        <w:pStyle w:val="ListParagraph"/>
        <w:numPr>
          <w:ilvl w:val="0"/>
          <w:numId w:val="10"/>
        </w:numPr>
        <w:spacing w:line="276" w:lineRule="auto"/>
        <w:ind w:left="426"/>
        <w:jc w:val="both"/>
        <w:rPr>
          <w:rFonts w:ascii="Arial" w:hAnsi="Arial" w:cs="Arial"/>
          <w:b/>
          <w:sz w:val="22"/>
          <w:szCs w:val="22"/>
          <w:highlight w:val="yellow"/>
          <w:lang w:val="en-GB"/>
        </w:rPr>
      </w:pPr>
      <w:r w:rsidRPr="00463F9B">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1DBA62FF" w14:textId="77777777" w:rsidR="00656B37" w:rsidRDefault="00656B37" w:rsidP="00656B37">
      <w:pPr>
        <w:jc w:val="both"/>
        <w:rPr>
          <w:rFonts w:ascii="Arial" w:hAnsi="Arial" w:cs="Arial"/>
          <w:sz w:val="22"/>
          <w:szCs w:val="22"/>
        </w:rPr>
      </w:pPr>
    </w:p>
    <w:p w14:paraId="12748DDB" w14:textId="77777777" w:rsidR="00656B37" w:rsidRDefault="00656B37" w:rsidP="00656B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appropriate date refers to the date of the commencement of the foreign proceedings. This date is used to determine the </w:t>
      </w:r>
      <w:r w:rsidRPr="009A3198">
        <w:rPr>
          <w:rFonts w:ascii="Arial" w:hAnsi="Arial" w:cs="Arial"/>
          <w:color w:val="7B7B7B" w:themeColor="accent3" w:themeShade="BF"/>
          <w:sz w:val="22"/>
          <w:szCs w:val="22"/>
          <w:lang w:val="en-GB"/>
        </w:rPr>
        <w:t>COMI</w:t>
      </w:r>
      <w:r>
        <w:rPr>
          <w:rFonts w:ascii="Arial" w:hAnsi="Arial" w:cs="Arial"/>
          <w:color w:val="7B7B7B" w:themeColor="accent3" w:themeShade="BF"/>
          <w:sz w:val="22"/>
          <w:szCs w:val="22"/>
          <w:lang w:val="en-GB"/>
        </w:rPr>
        <w:t xml:space="preserve"> of the debtor</w:t>
      </w:r>
      <w:r w:rsidRPr="009A3198">
        <w:rPr>
          <w:rFonts w:ascii="Arial" w:hAnsi="Arial" w:cs="Arial"/>
          <w:color w:val="7B7B7B" w:themeColor="accent3" w:themeShade="BF"/>
          <w:sz w:val="22"/>
          <w:szCs w:val="22"/>
          <w:lang w:val="en-GB"/>
        </w:rPr>
        <w:t xml:space="preserve"> or whether an establishment exists</w:t>
      </w:r>
      <w:r>
        <w:rPr>
          <w:rFonts w:ascii="Arial" w:hAnsi="Arial" w:cs="Arial"/>
          <w:color w:val="7B7B7B" w:themeColor="accent3" w:themeShade="BF"/>
          <w:sz w:val="22"/>
          <w:szCs w:val="22"/>
          <w:lang w:val="en-GB"/>
        </w:rPr>
        <w:t>.</w:t>
      </w:r>
      <w:r w:rsidRPr="009A319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This date is of importance since the COMI of the debtor can be shifted to another location.</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lastRenderedPageBreak/>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342D2490" w14:textId="77777777" w:rsidR="00962FC6" w:rsidRDefault="00962FC6" w:rsidP="00962FC6">
      <w:pPr>
        <w:pStyle w:val="ListParagraph"/>
        <w:numPr>
          <w:ilvl w:val="0"/>
          <w:numId w:val="15"/>
        </w:numPr>
        <w:ind w:left="709" w:hanging="709"/>
        <w:jc w:val="both"/>
        <w:rPr>
          <w:rFonts w:ascii="Arial" w:hAnsi="Arial" w:cs="Arial"/>
          <w:color w:val="7B7B7B" w:themeColor="accent3" w:themeShade="BF"/>
          <w:sz w:val="22"/>
          <w:szCs w:val="22"/>
          <w:lang w:val="en-GB"/>
        </w:rPr>
      </w:pPr>
      <w:r w:rsidRPr="00A82CFD">
        <w:rPr>
          <w:rFonts w:ascii="Arial" w:hAnsi="Arial" w:cs="Arial"/>
          <w:color w:val="7B7B7B" w:themeColor="accent3" w:themeShade="BF"/>
          <w:sz w:val="22"/>
          <w:szCs w:val="22"/>
          <w:u w:val="single"/>
          <w:lang w:val="en-GB"/>
        </w:rPr>
        <w:t>Statement 1</w:t>
      </w:r>
      <w:r w:rsidRPr="00A82CFD">
        <w:rPr>
          <w:rFonts w:ascii="Arial" w:hAnsi="Arial" w:cs="Arial"/>
          <w:color w:val="7B7B7B" w:themeColor="accent3" w:themeShade="BF"/>
          <w:sz w:val="22"/>
          <w:szCs w:val="22"/>
          <w:lang w:val="en-GB"/>
        </w:rPr>
        <w:t xml:space="preserve">: This statement is about the hierarchy of proceedings and </w:t>
      </w:r>
      <w:r>
        <w:rPr>
          <w:rFonts w:ascii="Arial" w:hAnsi="Arial" w:cs="Arial"/>
          <w:color w:val="7B7B7B" w:themeColor="accent3" w:themeShade="BF"/>
          <w:sz w:val="22"/>
          <w:szCs w:val="22"/>
          <w:lang w:val="en-GB"/>
        </w:rPr>
        <w:t xml:space="preserve">it </w:t>
      </w:r>
      <w:r w:rsidRPr="00A82CFD">
        <w:rPr>
          <w:rFonts w:ascii="Arial" w:hAnsi="Arial" w:cs="Arial"/>
          <w:color w:val="7B7B7B" w:themeColor="accent3" w:themeShade="BF"/>
          <w:sz w:val="22"/>
          <w:szCs w:val="22"/>
          <w:lang w:val="en-GB"/>
        </w:rPr>
        <w:t xml:space="preserve">stipulates that if a foreign main or non-main proceeding and a domestic insolvency proceeding in the enacting State are opened, primacy will </w:t>
      </w:r>
      <w:r>
        <w:rPr>
          <w:rFonts w:ascii="Arial" w:hAnsi="Arial" w:cs="Arial"/>
          <w:color w:val="7B7B7B" w:themeColor="accent3" w:themeShade="BF"/>
          <w:sz w:val="22"/>
          <w:szCs w:val="22"/>
          <w:lang w:val="en-GB"/>
        </w:rPr>
        <w:t xml:space="preserve">be </w:t>
      </w:r>
      <w:r w:rsidRPr="00A82CFD">
        <w:rPr>
          <w:rFonts w:ascii="Arial" w:hAnsi="Arial" w:cs="Arial"/>
          <w:color w:val="7B7B7B" w:themeColor="accent3" w:themeShade="BF"/>
          <w:sz w:val="22"/>
          <w:szCs w:val="22"/>
          <w:lang w:val="en-GB"/>
        </w:rPr>
        <w:t>given to the domestic proceeding (Articles 29</w:t>
      </w:r>
      <w:r>
        <w:rPr>
          <w:rFonts w:ascii="Arial" w:hAnsi="Arial" w:cs="Arial"/>
          <w:color w:val="7B7B7B" w:themeColor="accent3" w:themeShade="BF"/>
          <w:sz w:val="22"/>
          <w:szCs w:val="22"/>
          <w:lang w:val="en-GB"/>
        </w:rPr>
        <w:t xml:space="preserve"> of the Model Law</w:t>
      </w:r>
      <w:r w:rsidRPr="00A82CF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42E0805A" w14:textId="77777777" w:rsidR="00962FC6" w:rsidRDefault="00962FC6" w:rsidP="00962FC6">
      <w:pPr>
        <w:pStyle w:val="ListParagraph"/>
        <w:ind w:left="709"/>
        <w:jc w:val="both"/>
        <w:rPr>
          <w:rFonts w:ascii="Arial" w:hAnsi="Arial" w:cs="Arial"/>
          <w:color w:val="7B7B7B" w:themeColor="accent3" w:themeShade="BF"/>
          <w:sz w:val="22"/>
          <w:szCs w:val="22"/>
          <w:lang w:val="en-GB"/>
        </w:rPr>
      </w:pPr>
    </w:p>
    <w:p w14:paraId="39A8E6F2" w14:textId="77777777" w:rsidR="00962FC6" w:rsidRDefault="00962FC6" w:rsidP="00962FC6">
      <w:pPr>
        <w:pStyle w:val="ListParagraph"/>
        <w:numPr>
          <w:ilvl w:val="0"/>
          <w:numId w:val="15"/>
        </w:numPr>
        <w:ind w:left="709" w:hanging="709"/>
        <w:jc w:val="both"/>
        <w:rPr>
          <w:rFonts w:ascii="Arial" w:hAnsi="Arial" w:cs="Arial"/>
          <w:color w:val="7B7B7B" w:themeColor="accent3" w:themeShade="BF"/>
          <w:sz w:val="22"/>
          <w:szCs w:val="22"/>
          <w:lang w:val="en-GB"/>
        </w:rPr>
      </w:pPr>
      <w:r w:rsidRPr="00F92920">
        <w:rPr>
          <w:rFonts w:ascii="Arial" w:hAnsi="Arial" w:cs="Arial"/>
          <w:color w:val="7B7B7B" w:themeColor="accent3" w:themeShade="BF"/>
          <w:sz w:val="22"/>
          <w:szCs w:val="22"/>
          <w:u w:val="single"/>
          <w:lang w:val="en-GB"/>
        </w:rPr>
        <w:t>Statement 2</w:t>
      </w:r>
      <w:r w:rsidRPr="00F92920">
        <w:rPr>
          <w:rFonts w:ascii="Arial" w:hAnsi="Arial" w:cs="Arial"/>
          <w:color w:val="7B7B7B" w:themeColor="accent3" w:themeShade="BF"/>
          <w:sz w:val="22"/>
          <w:szCs w:val="22"/>
          <w:lang w:val="en-GB"/>
        </w:rPr>
        <w:t>: This statement is about the right of foreign creditors to be treated like creditors of the enacted State. Foreign creditors have the same rights regarding the commencement of, and participation in, a proceeding under the law of the enacted State as creditors in this State. The right of foreign creditors does not affect the ranking of their claims in the enacted State, but it also precises that claim of a foreign creditor shall not be given a lower priority than that of general unsecured claims solely because the holder of such claim is a foreign creditor. Anti-discrimination principle (Article 13 of the Model Law</w:t>
      </w:r>
      <w:r>
        <w:rPr>
          <w:rFonts w:ascii="Arial" w:hAnsi="Arial" w:cs="Arial"/>
          <w:color w:val="7B7B7B" w:themeColor="accent3" w:themeShade="BF"/>
          <w:sz w:val="22"/>
          <w:szCs w:val="22"/>
          <w:lang w:val="en-GB"/>
        </w:rPr>
        <w:t>)</w:t>
      </w:r>
    </w:p>
    <w:p w14:paraId="1FB09B1F" w14:textId="77777777" w:rsidR="00962FC6" w:rsidRPr="007752BD" w:rsidRDefault="00962FC6" w:rsidP="00962FC6">
      <w:pPr>
        <w:pStyle w:val="ListParagraph"/>
        <w:rPr>
          <w:rFonts w:ascii="Arial" w:hAnsi="Arial" w:cs="Arial"/>
          <w:color w:val="7B7B7B" w:themeColor="accent3" w:themeShade="BF"/>
          <w:sz w:val="22"/>
          <w:szCs w:val="22"/>
        </w:rPr>
      </w:pPr>
    </w:p>
    <w:p w14:paraId="553BB97F" w14:textId="77777777" w:rsidR="00962FC6" w:rsidRDefault="00962FC6" w:rsidP="00962FC6">
      <w:pPr>
        <w:pStyle w:val="ListParagraph"/>
        <w:numPr>
          <w:ilvl w:val="0"/>
          <w:numId w:val="15"/>
        </w:numPr>
        <w:ind w:left="0" w:firstLine="0"/>
        <w:rPr>
          <w:rFonts w:ascii="Arial" w:hAnsi="Arial" w:cs="Arial"/>
          <w:color w:val="7B7B7B" w:themeColor="accent3" w:themeShade="BF"/>
          <w:sz w:val="22"/>
          <w:szCs w:val="22"/>
        </w:rPr>
      </w:pPr>
      <w:r w:rsidRPr="007752BD">
        <w:rPr>
          <w:rFonts w:ascii="Arial" w:hAnsi="Arial" w:cs="Arial"/>
          <w:color w:val="7B7B7B" w:themeColor="accent3" w:themeShade="BF"/>
          <w:sz w:val="22"/>
          <w:szCs w:val="22"/>
          <w:u w:val="single"/>
        </w:rPr>
        <w:t>Statement 3</w:t>
      </w:r>
      <w:r w:rsidRPr="007752BD">
        <w:rPr>
          <w:rFonts w:ascii="Arial" w:hAnsi="Arial" w:cs="Arial"/>
          <w:color w:val="7B7B7B" w:themeColor="accent3" w:themeShade="BF"/>
          <w:sz w:val="22"/>
          <w:szCs w:val="22"/>
        </w:rPr>
        <w:t>: The Model Law does not define the term COMI. However, Article 1</w:t>
      </w:r>
      <w:r>
        <w:rPr>
          <w:rFonts w:ascii="Arial" w:hAnsi="Arial" w:cs="Arial"/>
          <w:color w:val="7B7B7B" w:themeColor="accent3" w:themeShade="BF"/>
          <w:sz w:val="22"/>
          <w:szCs w:val="22"/>
        </w:rPr>
        <w:t>6</w:t>
      </w:r>
    </w:p>
    <w:p w14:paraId="6F4810AE" w14:textId="77777777" w:rsidR="00962FC6" w:rsidRPr="00E60F17" w:rsidRDefault="00962FC6" w:rsidP="00962FC6">
      <w:pPr>
        <w:pStyle w:val="ListParagraph"/>
        <w:rPr>
          <w:rFonts w:ascii="Arial" w:hAnsi="Arial" w:cs="Arial"/>
          <w:color w:val="7B7B7B" w:themeColor="accent3" w:themeShade="BF"/>
          <w:sz w:val="22"/>
          <w:szCs w:val="22"/>
        </w:rPr>
      </w:pPr>
      <w:r w:rsidRPr="007752BD">
        <w:rPr>
          <w:rFonts w:ascii="Arial" w:hAnsi="Arial" w:cs="Arial"/>
          <w:color w:val="7B7B7B" w:themeColor="accent3" w:themeShade="BF"/>
          <w:sz w:val="22"/>
          <w:szCs w:val="22"/>
        </w:rPr>
        <w:t xml:space="preserve">para 3 of the Model Law presume, in the absence of proof to the contrary, that the debtor’s registered office, or habitual residence in the case of an individual, is the debtor’s COMI. </w:t>
      </w:r>
    </w:p>
    <w:p w14:paraId="79961E83" w14:textId="77777777" w:rsidR="00D17FDC" w:rsidRPr="00A82CFD" w:rsidRDefault="00D17FDC" w:rsidP="00707FC8">
      <w:pPr>
        <w:ind w:left="720" w:hanging="720"/>
        <w:jc w:val="both"/>
        <w:rPr>
          <w:rFonts w:ascii="Arial" w:hAnsi="Arial" w:cs="Arial"/>
          <w:sz w:val="22"/>
          <w:szCs w:val="22"/>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w:t>
      </w:r>
      <w:r w:rsidRPr="00C466BD">
        <w:rPr>
          <w:rFonts w:ascii="Arial" w:hAnsi="Arial" w:cs="Arial"/>
          <w:sz w:val="22"/>
          <w:szCs w:val="22"/>
          <w:lang w:val="en-GB"/>
        </w:rPr>
        <w:t xml:space="preserve">Continuation. </w:t>
      </w:r>
      <w:r w:rsidRPr="00C466BD">
        <w:rPr>
          <w:rFonts w:ascii="Arial" w:hAnsi="Arial" w:cs="Arial"/>
          <w:b/>
          <w:bCs/>
          <w:sz w:val="22"/>
          <w:szCs w:val="22"/>
          <w:u w:val="single"/>
          <w:lang w:val="en-GB"/>
        </w:rPr>
        <w:t>Please explain</w:t>
      </w:r>
      <w:r w:rsidRPr="00C466BD">
        <w:rPr>
          <w:rFonts w:ascii="Arial" w:hAnsi="Arial" w:cs="Arial"/>
          <w:sz w:val="22"/>
          <w:szCs w:val="22"/>
          <w:lang w:val="en-GB"/>
        </w:rPr>
        <w:t>.</w:t>
      </w:r>
    </w:p>
    <w:p w14:paraId="168EBB52" w14:textId="7B08F954" w:rsidR="00C82D87" w:rsidRPr="004E66C3" w:rsidRDefault="00C82D87" w:rsidP="004E66C3">
      <w:pPr>
        <w:ind w:left="720" w:hanging="720"/>
        <w:jc w:val="both"/>
        <w:rPr>
          <w:rFonts w:ascii="Arial" w:hAnsi="Arial" w:cs="Arial"/>
          <w:sz w:val="22"/>
          <w:szCs w:val="22"/>
          <w:lang w:val="en-AT"/>
        </w:rPr>
      </w:pPr>
    </w:p>
    <w:p w14:paraId="66C002EB" w14:textId="77777777" w:rsidR="00C466BD" w:rsidRPr="004E66C3" w:rsidRDefault="00C466BD" w:rsidP="00C466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4E66C3">
        <w:rPr>
          <w:rFonts w:ascii="Arial" w:hAnsi="Arial" w:cs="Arial"/>
          <w:color w:val="7B7B7B" w:themeColor="accent3" w:themeShade="BF"/>
          <w:sz w:val="22"/>
          <w:szCs w:val="22"/>
          <w:lang w:val="en-GB"/>
        </w:rPr>
        <w:t>he English Court of Appeal upheld the decision of the court arguing that an English court could only properly grant the indefinite Moratorium Continuation if it were satisfied of two things: first</w:t>
      </w:r>
      <w:r>
        <w:rPr>
          <w:rFonts w:ascii="Arial" w:hAnsi="Arial" w:cs="Arial"/>
          <w:color w:val="7B7B7B" w:themeColor="accent3" w:themeShade="BF"/>
          <w:sz w:val="22"/>
          <w:szCs w:val="22"/>
          <w:lang w:val="en-GB"/>
        </w:rPr>
        <w:t>ly</w:t>
      </w:r>
      <w:r w:rsidRPr="004E66C3">
        <w:rPr>
          <w:rFonts w:ascii="Arial" w:hAnsi="Arial" w:cs="Arial"/>
          <w:color w:val="7B7B7B" w:themeColor="accent3" w:themeShade="BF"/>
          <w:sz w:val="22"/>
          <w:szCs w:val="22"/>
          <w:lang w:val="en-GB"/>
        </w:rPr>
        <w:t xml:space="preserve">, the stay would have to be necessary to protect the interests of IBA’s creditors and, secondly, the stay would have to be an appropriate way of achieving such protection. The Court of Appeal held that neither of these conditions had been satisfied. </w:t>
      </w:r>
    </w:p>
    <w:p w14:paraId="383B5930" w14:textId="56662508" w:rsidR="00C550C8" w:rsidRPr="009B5832" w:rsidRDefault="00C550C8" w:rsidP="00707FC8">
      <w:pPr>
        <w:jc w:val="both"/>
        <w:rPr>
          <w:rFonts w:ascii="Arial" w:hAnsi="Arial" w:cs="Arial"/>
          <w:b/>
          <w:sz w:val="22"/>
          <w:szCs w:val="22"/>
          <w:lang w:val="en-GB"/>
        </w:rPr>
      </w:pPr>
    </w:p>
    <w:p w14:paraId="41AAD286" w14:textId="188385F7" w:rsidR="00F17C87" w:rsidRPr="00716C61" w:rsidRDefault="00F17C87" w:rsidP="00707FC8">
      <w:pPr>
        <w:ind w:left="720" w:hanging="720"/>
        <w:jc w:val="both"/>
        <w:rPr>
          <w:rFonts w:ascii="Arial" w:hAnsi="Arial" w:cs="Arial"/>
          <w:b/>
          <w:bCs/>
          <w:sz w:val="22"/>
          <w:szCs w:val="22"/>
          <w:lang w:val="de-DE"/>
        </w:rPr>
      </w:pPr>
      <w:proofErr w:type="spellStart"/>
      <w:r w:rsidRPr="00F92747">
        <w:rPr>
          <w:rFonts w:ascii="Arial" w:hAnsi="Arial" w:cs="Arial"/>
          <w:b/>
          <w:bCs/>
          <w:sz w:val="22"/>
          <w:szCs w:val="22"/>
          <w:lang w:val="de-DE"/>
        </w:rPr>
        <w:t>Question</w:t>
      </w:r>
      <w:proofErr w:type="spellEnd"/>
      <w:r w:rsidRPr="00F92747">
        <w:rPr>
          <w:rFonts w:ascii="Arial" w:hAnsi="Arial" w:cs="Arial"/>
          <w:b/>
          <w:bCs/>
          <w:sz w:val="22"/>
          <w:szCs w:val="22"/>
          <w:lang w:val="de-DE"/>
        </w:rPr>
        <w:t xml:space="preserve"> 2.4</w:t>
      </w:r>
      <w:r w:rsidRPr="00F92747">
        <w:rPr>
          <w:rFonts w:ascii="Arial" w:hAnsi="Arial" w:cs="Arial"/>
          <w:b/>
          <w:bCs/>
          <w:sz w:val="22"/>
          <w:szCs w:val="22"/>
          <w:lang w:val="de-DE"/>
        </w:rPr>
        <w:tab/>
        <w:t>[</w:t>
      </w:r>
      <w:r w:rsidR="00067A88" w:rsidRPr="00F92747">
        <w:rPr>
          <w:rFonts w:ascii="Arial" w:hAnsi="Arial" w:cs="Arial"/>
          <w:b/>
          <w:bCs/>
          <w:sz w:val="22"/>
          <w:szCs w:val="22"/>
          <w:lang w:val="de-DE"/>
        </w:rPr>
        <w:t>2</w:t>
      </w:r>
      <w:r w:rsidRPr="00F92747">
        <w:rPr>
          <w:rFonts w:ascii="Arial" w:hAnsi="Arial" w:cs="Arial"/>
          <w:b/>
          <w:bCs/>
          <w:sz w:val="22"/>
          <w:szCs w:val="22"/>
          <w:lang w:val="de-DE"/>
        </w:rPr>
        <w:t xml:space="preserve"> </w:t>
      </w:r>
      <w:proofErr w:type="spellStart"/>
      <w:r w:rsidRPr="00F92747">
        <w:rPr>
          <w:rFonts w:ascii="Arial" w:hAnsi="Arial" w:cs="Arial"/>
          <w:b/>
          <w:bCs/>
          <w:sz w:val="22"/>
          <w:szCs w:val="22"/>
          <w:lang w:val="de-DE"/>
        </w:rPr>
        <w:t>marks</w:t>
      </w:r>
      <w:proofErr w:type="spellEnd"/>
      <w:r w:rsidRPr="00F92747">
        <w:rPr>
          <w:rFonts w:ascii="Arial" w:hAnsi="Arial" w:cs="Arial"/>
          <w:b/>
          <w:bCs/>
          <w:sz w:val="22"/>
          <w:szCs w:val="22"/>
          <w:lang w:val="de-DE"/>
        </w:rPr>
        <w:t xml:space="preserve">] </w:t>
      </w:r>
    </w:p>
    <w:p w14:paraId="27A79340" w14:textId="62C8D4F1" w:rsidR="00F17C87" w:rsidRPr="00716C61" w:rsidRDefault="00F17C87" w:rsidP="00707FC8">
      <w:pPr>
        <w:jc w:val="both"/>
        <w:rPr>
          <w:rFonts w:ascii="Arial" w:hAnsi="Arial" w:cs="Arial"/>
          <w:bCs/>
          <w:sz w:val="22"/>
          <w:szCs w:val="22"/>
          <w:lang w:val="de-DE"/>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716C61" w:rsidRDefault="0041139B" w:rsidP="00707FC8">
      <w:pPr>
        <w:jc w:val="both"/>
        <w:rPr>
          <w:rFonts w:ascii="Arial" w:hAnsi="Arial" w:cs="Arial"/>
          <w:color w:val="7B7B7B" w:themeColor="accent3" w:themeShade="BF"/>
          <w:sz w:val="22"/>
          <w:szCs w:val="22"/>
          <w:lang w:val="en-GB"/>
        </w:rPr>
      </w:pPr>
    </w:p>
    <w:p w14:paraId="4C29002E" w14:textId="77777777" w:rsidR="005323E7" w:rsidRDefault="005323E7" w:rsidP="005323E7">
      <w:pPr>
        <w:pStyle w:val="ListParagraph"/>
        <w:numPr>
          <w:ilvl w:val="0"/>
          <w:numId w:val="16"/>
        </w:numPr>
        <w:ind w:left="709" w:hanging="709"/>
        <w:jc w:val="both"/>
        <w:rPr>
          <w:rFonts w:ascii="Arial" w:hAnsi="Arial" w:cs="Arial"/>
          <w:color w:val="7B7B7B" w:themeColor="accent3" w:themeShade="BF"/>
          <w:sz w:val="22"/>
          <w:szCs w:val="22"/>
          <w:lang w:val="en-GB"/>
        </w:rPr>
      </w:pPr>
      <w:r w:rsidRPr="00716C61">
        <w:rPr>
          <w:rFonts w:ascii="Arial" w:hAnsi="Arial" w:cs="Arial"/>
          <w:color w:val="7B7B7B" w:themeColor="accent3" w:themeShade="BF"/>
          <w:sz w:val="22"/>
          <w:szCs w:val="22"/>
          <w:lang w:val="en-GB"/>
        </w:rPr>
        <w:t>After recognition of the foreign proceedings as main proceedings, the enacted State must issue an automatic mandatory relief in accordance with Article 20 of the Model law.</w:t>
      </w:r>
    </w:p>
    <w:p w14:paraId="5BF8C5F7" w14:textId="77777777" w:rsidR="005323E7" w:rsidRDefault="005323E7" w:rsidP="005323E7">
      <w:pPr>
        <w:pStyle w:val="ListParagraph"/>
        <w:ind w:left="709"/>
        <w:jc w:val="both"/>
        <w:rPr>
          <w:rFonts w:ascii="Arial" w:hAnsi="Arial" w:cs="Arial"/>
          <w:color w:val="7B7B7B" w:themeColor="accent3" w:themeShade="BF"/>
          <w:sz w:val="22"/>
          <w:szCs w:val="22"/>
          <w:lang w:val="en-GB"/>
        </w:rPr>
      </w:pPr>
    </w:p>
    <w:p w14:paraId="71CF8C17" w14:textId="3637834F" w:rsidR="005323E7" w:rsidRDefault="005323E7" w:rsidP="005323E7">
      <w:pPr>
        <w:pStyle w:val="ListParagraph"/>
        <w:numPr>
          <w:ilvl w:val="0"/>
          <w:numId w:val="16"/>
        </w:numPr>
        <w:ind w:left="709" w:hanging="709"/>
        <w:jc w:val="both"/>
        <w:rPr>
          <w:rFonts w:ascii="Arial" w:hAnsi="Arial" w:cs="Arial"/>
          <w:color w:val="7B7B7B" w:themeColor="accent3" w:themeShade="BF"/>
          <w:sz w:val="22"/>
          <w:szCs w:val="22"/>
          <w:lang w:val="en-GB"/>
        </w:rPr>
      </w:pPr>
      <w:r w:rsidRPr="00716C61">
        <w:rPr>
          <w:rFonts w:ascii="Arial" w:hAnsi="Arial" w:cs="Arial"/>
          <w:color w:val="7B7B7B" w:themeColor="accent3" w:themeShade="BF"/>
          <w:sz w:val="22"/>
          <w:szCs w:val="22"/>
          <w:lang w:val="en-GB"/>
        </w:rPr>
        <w:t xml:space="preserve">Article 25(1) </w:t>
      </w:r>
      <w:r>
        <w:rPr>
          <w:rFonts w:ascii="Arial" w:hAnsi="Arial" w:cs="Arial"/>
          <w:color w:val="7B7B7B" w:themeColor="accent3" w:themeShade="BF"/>
          <w:sz w:val="22"/>
          <w:szCs w:val="22"/>
          <w:lang w:val="en-GB"/>
        </w:rPr>
        <w:t xml:space="preserve">of the Model Law concerns the </w:t>
      </w:r>
      <w:r w:rsidRPr="00716C61">
        <w:rPr>
          <w:rFonts w:ascii="Arial" w:hAnsi="Arial" w:cs="Arial"/>
          <w:color w:val="7B7B7B" w:themeColor="accent3" w:themeShade="BF"/>
          <w:sz w:val="22"/>
          <w:szCs w:val="22"/>
          <w:lang w:val="en-GB"/>
        </w:rPr>
        <w:t>co-operat</w:t>
      </w:r>
      <w:r>
        <w:rPr>
          <w:rFonts w:ascii="Arial" w:hAnsi="Arial" w:cs="Arial"/>
          <w:color w:val="7B7B7B" w:themeColor="accent3" w:themeShade="BF"/>
          <w:sz w:val="22"/>
          <w:szCs w:val="22"/>
          <w:lang w:val="en-GB"/>
        </w:rPr>
        <w:t xml:space="preserve">ion between courts. According to this provision, courts should cooperate </w:t>
      </w:r>
      <w:r w:rsidRPr="00716C61">
        <w:rPr>
          <w:rFonts w:ascii="Arial" w:hAnsi="Arial" w:cs="Arial"/>
          <w:color w:val="7B7B7B" w:themeColor="accent3" w:themeShade="BF"/>
          <w:sz w:val="22"/>
          <w:szCs w:val="22"/>
          <w:lang w:val="en-GB"/>
        </w:rPr>
        <w:t>to the maximum extent possible with foreign courts or foreign representatives.</w:t>
      </w:r>
    </w:p>
    <w:p w14:paraId="0AB5315D" w14:textId="77777777" w:rsidR="005323E7" w:rsidRPr="005323E7" w:rsidRDefault="005323E7" w:rsidP="005323E7">
      <w:pPr>
        <w:jc w:val="both"/>
        <w:rPr>
          <w:rFonts w:ascii="Arial" w:hAnsi="Arial" w:cs="Arial"/>
          <w:color w:val="7B7B7B" w:themeColor="accent3" w:themeShade="BF"/>
          <w:sz w:val="22"/>
          <w:szCs w:val="22"/>
          <w:lang w:val="en-GB"/>
        </w:rPr>
      </w:pPr>
    </w:p>
    <w:p w14:paraId="423E35C2" w14:textId="77777777" w:rsidR="005323E7" w:rsidRPr="007D50C4" w:rsidRDefault="005323E7" w:rsidP="005323E7">
      <w:pPr>
        <w:pStyle w:val="ListParagraph"/>
        <w:numPr>
          <w:ilvl w:val="0"/>
          <w:numId w:val="16"/>
        </w:num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716C61">
        <w:rPr>
          <w:rFonts w:ascii="Arial" w:hAnsi="Arial" w:cs="Arial"/>
          <w:color w:val="7B7B7B" w:themeColor="accent3" w:themeShade="BF"/>
          <w:sz w:val="22"/>
          <w:szCs w:val="22"/>
          <w:lang w:val="en-GB"/>
        </w:rPr>
        <w:t xml:space="preserve">he court in the enacting State is entitled to communicate directly with, or to request information or assistance directly from, foreign courts and foreign representatives. Co-operation is available not only in respect of applications for assistance made in the enacting State, but also applications from proceedings in the enacting State for assistance elsewhere. As co-operation is not limited to foreign proceedings that would </w:t>
      </w:r>
      <w:r w:rsidRPr="00716C61">
        <w:rPr>
          <w:rFonts w:ascii="Arial" w:hAnsi="Arial" w:cs="Arial"/>
          <w:color w:val="7B7B7B" w:themeColor="accent3" w:themeShade="BF"/>
          <w:sz w:val="22"/>
          <w:szCs w:val="22"/>
          <w:lang w:val="en-GB"/>
        </w:rPr>
        <w:lastRenderedPageBreak/>
        <w:t>qualify for recognition under Article 17 of the Model Law, co-operation may also be available with respect to proceedings that are neither foreign main nor non-main proceedings on the basis of presence of assets.</w:t>
      </w:r>
      <w:r w:rsidRPr="00716C61">
        <w:rPr>
          <w:rFonts w:ascii="AvenirNext" w:hAnsi="AvenirNext"/>
          <w:szCs w:val="20"/>
        </w:rPr>
        <w:t xml:space="preserve"> </w:t>
      </w:r>
    </w:p>
    <w:p w14:paraId="76D18D9C" w14:textId="77777777" w:rsidR="00716C61" w:rsidRPr="00716C61" w:rsidRDefault="00716C61" w:rsidP="00707FC8">
      <w:pPr>
        <w:jc w:val="both"/>
        <w:rPr>
          <w:rFonts w:ascii="Arial" w:hAnsi="Arial" w:cs="Arial"/>
          <w:color w:val="7B7B7B" w:themeColor="accent3" w:themeShade="BF"/>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680566" w:rsidRDefault="00C550C8" w:rsidP="00707FC8">
      <w:pPr>
        <w:jc w:val="both"/>
        <w:rPr>
          <w:rFonts w:ascii="Arial" w:hAnsi="Arial" w:cs="Arial"/>
          <w:color w:val="7B7B7B" w:themeColor="accent3" w:themeShade="BF"/>
          <w:sz w:val="22"/>
          <w:szCs w:val="22"/>
          <w:lang w:val="en-GB"/>
        </w:rPr>
      </w:pPr>
    </w:p>
    <w:p w14:paraId="4E20C7BB" w14:textId="77777777" w:rsidR="005323E7" w:rsidRDefault="005323E7" w:rsidP="005323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and coordination rights in State A can only be benefit for the foreign representative since these would permit him to gather detailed information on the proceedings and thus ensure more transparency in the proceedings. It will also enable him to obtain </w:t>
      </w:r>
      <w:r w:rsidRPr="00680566">
        <w:rPr>
          <w:rFonts w:ascii="Arial" w:hAnsi="Arial" w:cs="Arial"/>
          <w:color w:val="7B7B7B" w:themeColor="accent3" w:themeShade="BF"/>
          <w:sz w:val="22"/>
          <w:szCs w:val="22"/>
          <w:lang w:val="en-GB"/>
        </w:rPr>
        <w:t>temporary “breathing space”</w:t>
      </w:r>
      <w:r>
        <w:rPr>
          <w:rFonts w:ascii="Arial" w:hAnsi="Arial" w:cs="Arial"/>
          <w:color w:val="7B7B7B" w:themeColor="accent3" w:themeShade="BF"/>
          <w:sz w:val="22"/>
          <w:szCs w:val="22"/>
          <w:lang w:val="en-GB"/>
        </w:rPr>
        <w:t xml:space="preserve">. The court respectively the insolvency office-holder in State A would also have the obligation under Article 25 respectively Article 26 to </w:t>
      </w:r>
      <w:r w:rsidRPr="006C40D3">
        <w:rPr>
          <w:rFonts w:ascii="Arial" w:hAnsi="Arial" w:cs="Arial"/>
          <w:color w:val="7B7B7B" w:themeColor="accent3" w:themeShade="BF"/>
          <w:sz w:val="22"/>
          <w:szCs w:val="22"/>
          <w:lang w:val="en-GB"/>
        </w:rPr>
        <w:t xml:space="preserve">co-operate to the maximum extent possible with </w:t>
      </w:r>
      <w:r>
        <w:rPr>
          <w:rFonts w:ascii="Arial" w:hAnsi="Arial" w:cs="Arial"/>
          <w:color w:val="7B7B7B" w:themeColor="accent3" w:themeShade="BF"/>
          <w:sz w:val="22"/>
          <w:szCs w:val="22"/>
          <w:lang w:val="en-GB"/>
        </w:rPr>
        <w:t>the</w:t>
      </w:r>
      <w:r w:rsidRPr="006C40D3">
        <w:rPr>
          <w:rFonts w:ascii="Arial" w:hAnsi="Arial" w:cs="Arial"/>
          <w:color w:val="7B7B7B" w:themeColor="accent3" w:themeShade="BF"/>
          <w:sz w:val="22"/>
          <w:szCs w:val="22"/>
          <w:lang w:val="en-GB"/>
        </w:rPr>
        <w:t xml:space="preserve"> foreign representative.</w:t>
      </w:r>
    </w:p>
    <w:p w14:paraId="5D5A1FA5" w14:textId="77777777" w:rsidR="00D17FDC" w:rsidRPr="009B5832" w:rsidRDefault="00D17FDC" w:rsidP="00F603DF">
      <w:pPr>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133E6E"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 xml:space="preserve">foreign </w:t>
      </w:r>
      <w:r w:rsidRPr="00133E6E">
        <w:rPr>
          <w:rFonts w:ascii="Arial" w:hAnsi="Arial" w:cs="Arial"/>
          <w:sz w:val="22"/>
          <w:szCs w:val="22"/>
          <w:lang w:val="en-GB"/>
        </w:rPr>
        <w:t>representative</w:t>
      </w:r>
      <w:r w:rsidR="001747C2" w:rsidRPr="00133E6E">
        <w:rPr>
          <w:rFonts w:ascii="Arial" w:hAnsi="Arial" w:cs="Arial"/>
          <w:sz w:val="22"/>
          <w:szCs w:val="22"/>
          <w:lang w:val="en-GB"/>
        </w:rPr>
        <w:t>”</w:t>
      </w:r>
      <w:r w:rsidRPr="00133E6E">
        <w:rPr>
          <w:rFonts w:ascii="Arial" w:hAnsi="Arial" w:cs="Arial"/>
          <w:sz w:val="22"/>
          <w:szCs w:val="22"/>
          <w:lang w:val="en-GB"/>
        </w:rPr>
        <w:t xml:space="preserve"> must qualify as a foreign representative within the meaning of article 2(d) </w:t>
      </w:r>
      <w:r w:rsidR="00201874" w:rsidRPr="00133E6E">
        <w:rPr>
          <w:rFonts w:ascii="Arial" w:hAnsi="Arial" w:cs="Arial"/>
          <w:sz w:val="22"/>
          <w:szCs w:val="22"/>
          <w:lang w:val="en-GB"/>
        </w:rPr>
        <w:t xml:space="preserve">of the </w:t>
      </w:r>
      <w:r w:rsidRPr="00133E6E">
        <w:rPr>
          <w:rFonts w:ascii="Arial" w:hAnsi="Arial" w:cs="Arial"/>
          <w:sz w:val="22"/>
          <w:szCs w:val="22"/>
          <w:lang w:val="en-GB"/>
        </w:rPr>
        <w:t xml:space="preserve">MLCBI. Assuming both qualify as such, list and briefly explain (with reference to </w:t>
      </w:r>
      <w:r w:rsidR="0003619C" w:rsidRPr="00133E6E">
        <w:rPr>
          <w:rFonts w:ascii="Arial" w:hAnsi="Arial" w:cs="Arial"/>
          <w:sz w:val="22"/>
          <w:szCs w:val="22"/>
          <w:lang w:val="en-GB"/>
        </w:rPr>
        <w:t xml:space="preserve">the </w:t>
      </w:r>
      <w:r w:rsidRPr="00133E6E">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133E6E" w:rsidRDefault="00622C2B" w:rsidP="00707FC8">
      <w:pPr>
        <w:jc w:val="both"/>
        <w:rPr>
          <w:rFonts w:ascii="Arial" w:hAnsi="Arial" w:cs="Arial"/>
          <w:sz w:val="22"/>
          <w:szCs w:val="22"/>
          <w:lang w:val="en-GB"/>
        </w:rPr>
      </w:pPr>
    </w:p>
    <w:p w14:paraId="7C8D00DE" w14:textId="77777777" w:rsidR="005323E7" w:rsidRDefault="005323E7" w:rsidP="005323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recognition of foreign proceedings will be granted in accordance with Article 17 Model law if </w:t>
      </w:r>
      <w:r w:rsidRPr="008B64A0">
        <w:rPr>
          <w:rFonts w:ascii="Arial" w:hAnsi="Arial" w:cs="Arial"/>
          <w:color w:val="7B7B7B" w:themeColor="accent3" w:themeShade="BF"/>
          <w:sz w:val="22"/>
          <w:szCs w:val="22"/>
          <w:lang w:val="en-GB"/>
        </w:rPr>
        <w:t>the following requirements set in Article 15 of the Model law are fulfilled</w:t>
      </w:r>
      <w:r>
        <w:rPr>
          <w:rFonts w:ascii="Arial" w:hAnsi="Arial" w:cs="Arial"/>
          <w:color w:val="7B7B7B" w:themeColor="accent3" w:themeShade="BF"/>
          <w:sz w:val="22"/>
          <w:szCs w:val="22"/>
          <w:lang w:val="en-GB"/>
        </w:rPr>
        <w:t xml:space="preserve"> respectively the following evidence is presented</w:t>
      </w:r>
      <w:r w:rsidRPr="008B64A0">
        <w:rPr>
          <w:rFonts w:ascii="Arial" w:hAnsi="Arial" w:cs="Arial"/>
          <w:color w:val="7B7B7B" w:themeColor="accent3" w:themeShade="BF"/>
          <w:sz w:val="22"/>
          <w:szCs w:val="22"/>
          <w:lang w:val="en-GB"/>
        </w:rPr>
        <w:t>:</w:t>
      </w:r>
    </w:p>
    <w:p w14:paraId="48674FA4" w14:textId="77777777" w:rsidR="005323E7" w:rsidRPr="008B64A0" w:rsidRDefault="005323E7" w:rsidP="005323E7">
      <w:pPr>
        <w:jc w:val="both"/>
        <w:rPr>
          <w:rFonts w:ascii="Arial" w:hAnsi="Arial" w:cs="Arial"/>
          <w:color w:val="7B7B7B" w:themeColor="accent3" w:themeShade="BF"/>
          <w:sz w:val="22"/>
          <w:szCs w:val="22"/>
          <w:lang w:val="en-GB"/>
        </w:rPr>
      </w:pPr>
    </w:p>
    <w:p w14:paraId="3E671E52" w14:textId="77777777" w:rsidR="005323E7" w:rsidRPr="008B64A0" w:rsidRDefault="005323E7" w:rsidP="005323E7">
      <w:pPr>
        <w:pStyle w:val="ListParagraph"/>
        <w:numPr>
          <w:ilvl w:val="0"/>
          <w:numId w:val="20"/>
        </w:numPr>
        <w:ind w:left="709" w:hanging="720"/>
        <w:jc w:val="both"/>
        <w:rPr>
          <w:rFonts w:ascii="Arial" w:hAnsi="Arial" w:cs="Arial"/>
          <w:color w:val="7B7B7B" w:themeColor="accent3" w:themeShade="BF"/>
          <w:sz w:val="22"/>
          <w:szCs w:val="22"/>
          <w:lang w:val="en-GB"/>
        </w:rPr>
      </w:pPr>
      <w:r w:rsidRPr="008B64A0">
        <w:rPr>
          <w:rFonts w:ascii="Arial" w:hAnsi="Arial" w:cs="Arial"/>
          <w:color w:val="7B7B7B" w:themeColor="accent3" w:themeShade="BF"/>
          <w:sz w:val="22"/>
          <w:szCs w:val="22"/>
          <w:lang w:val="en-GB"/>
        </w:rPr>
        <w:t>certified copy of the decision related to the foreign proceedings and the appointment of the foreign representative; or</w:t>
      </w:r>
    </w:p>
    <w:p w14:paraId="1502FE2B" w14:textId="77777777" w:rsidR="005323E7" w:rsidRPr="008B64A0" w:rsidRDefault="005323E7" w:rsidP="005323E7">
      <w:pPr>
        <w:pStyle w:val="ListParagraph"/>
        <w:numPr>
          <w:ilvl w:val="0"/>
          <w:numId w:val="20"/>
        </w:numPr>
        <w:ind w:left="709" w:hanging="720"/>
        <w:jc w:val="both"/>
        <w:rPr>
          <w:rFonts w:ascii="Arial" w:hAnsi="Arial" w:cs="Arial"/>
          <w:color w:val="7B7B7B" w:themeColor="accent3" w:themeShade="BF"/>
          <w:sz w:val="22"/>
          <w:szCs w:val="22"/>
          <w:lang w:val="en-GB"/>
        </w:rPr>
      </w:pPr>
      <w:r w:rsidRPr="008B64A0">
        <w:rPr>
          <w:rFonts w:ascii="Arial" w:hAnsi="Arial" w:cs="Arial"/>
          <w:color w:val="7B7B7B" w:themeColor="accent3" w:themeShade="BF"/>
          <w:sz w:val="22"/>
          <w:szCs w:val="22"/>
          <w:lang w:val="en-GB"/>
        </w:rPr>
        <w:t>a certificate from the foreign court affirming the existing of the foreign proceedings and the appointment of the foreign representative; or</w:t>
      </w:r>
    </w:p>
    <w:p w14:paraId="2EDD6AF3" w14:textId="77777777" w:rsidR="005323E7" w:rsidRPr="008B64A0" w:rsidRDefault="005323E7" w:rsidP="005323E7">
      <w:pPr>
        <w:pStyle w:val="ListParagraph"/>
        <w:numPr>
          <w:ilvl w:val="0"/>
          <w:numId w:val="20"/>
        </w:numPr>
        <w:ind w:left="709" w:hanging="720"/>
        <w:jc w:val="both"/>
        <w:rPr>
          <w:rFonts w:ascii="Arial" w:hAnsi="Arial" w:cs="Arial"/>
          <w:color w:val="7B7B7B" w:themeColor="accent3" w:themeShade="BF"/>
          <w:sz w:val="22"/>
          <w:szCs w:val="22"/>
          <w:lang w:val="en-GB"/>
        </w:rPr>
      </w:pPr>
      <w:r w:rsidRPr="008B64A0">
        <w:rPr>
          <w:rFonts w:ascii="Arial" w:hAnsi="Arial" w:cs="Arial"/>
          <w:color w:val="7B7B7B" w:themeColor="accent3" w:themeShade="BF"/>
          <w:sz w:val="22"/>
          <w:szCs w:val="22"/>
          <w:lang w:val="en-GB"/>
        </w:rPr>
        <w:t>other evidence if those mentioned in item</w:t>
      </w:r>
      <w:r>
        <w:rPr>
          <w:rFonts w:ascii="Arial" w:hAnsi="Arial" w:cs="Arial"/>
          <w:color w:val="7B7B7B" w:themeColor="accent3" w:themeShade="BF"/>
          <w:sz w:val="22"/>
          <w:szCs w:val="22"/>
          <w:lang w:val="en-GB"/>
        </w:rPr>
        <w:t>s</w:t>
      </w:r>
      <w:r w:rsidRPr="008B64A0">
        <w:rPr>
          <w:rFonts w:ascii="Arial" w:hAnsi="Arial" w:cs="Arial"/>
          <w:color w:val="7B7B7B" w:themeColor="accent3" w:themeShade="BF"/>
          <w:sz w:val="22"/>
          <w:szCs w:val="22"/>
          <w:lang w:val="en-GB"/>
        </w:rPr>
        <w:t xml:space="preserve"> (a) and (b) are not available.</w:t>
      </w:r>
    </w:p>
    <w:p w14:paraId="7F5CB002" w14:textId="77777777" w:rsidR="005323E7" w:rsidRDefault="005323E7" w:rsidP="005323E7">
      <w:pPr>
        <w:jc w:val="both"/>
        <w:rPr>
          <w:rFonts w:ascii="Arial" w:hAnsi="Arial" w:cs="Arial"/>
          <w:color w:val="7B7B7B" w:themeColor="accent3" w:themeShade="BF"/>
          <w:sz w:val="22"/>
          <w:szCs w:val="22"/>
          <w:lang w:val="en-GB"/>
        </w:rPr>
      </w:pPr>
    </w:p>
    <w:p w14:paraId="21D944B9" w14:textId="77777777" w:rsidR="005323E7" w:rsidRDefault="005323E7" w:rsidP="005323E7">
      <w:pPr>
        <w:jc w:val="both"/>
        <w:rPr>
          <w:rFonts w:ascii="Arial" w:hAnsi="Arial" w:cs="Arial"/>
          <w:color w:val="7B7B7B" w:themeColor="accent3" w:themeShade="BF"/>
          <w:sz w:val="22"/>
          <w:szCs w:val="22"/>
          <w:lang w:val="en-GB"/>
        </w:rPr>
      </w:pPr>
      <w:r w:rsidRPr="008B64A0">
        <w:rPr>
          <w:rFonts w:ascii="Arial" w:hAnsi="Arial" w:cs="Arial"/>
          <w:color w:val="7B7B7B" w:themeColor="accent3" w:themeShade="BF"/>
          <w:sz w:val="22"/>
          <w:szCs w:val="22"/>
          <w:lang w:val="en-GB"/>
        </w:rPr>
        <w:t>The application must also contain information related to all known foreign proceedings. A translation of the documents may be requested.</w:t>
      </w:r>
      <w:r>
        <w:rPr>
          <w:rFonts w:ascii="Arial" w:hAnsi="Arial" w:cs="Arial"/>
          <w:color w:val="7B7B7B" w:themeColor="accent3" w:themeShade="BF"/>
          <w:sz w:val="22"/>
          <w:szCs w:val="22"/>
          <w:lang w:val="en-GB"/>
        </w:rPr>
        <w:t xml:space="preserve"> </w:t>
      </w:r>
      <w:r w:rsidRPr="008B64A0">
        <w:rPr>
          <w:rFonts w:ascii="Arial" w:hAnsi="Arial" w:cs="Arial"/>
          <w:color w:val="7B7B7B" w:themeColor="accent3" w:themeShade="BF"/>
          <w:sz w:val="22"/>
          <w:szCs w:val="22"/>
          <w:lang w:val="en-GB"/>
        </w:rPr>
        <w:t>These documents will</w:t>
      </w:r>
      <w:r>
        <w:rPr>
          <w:rFonts w:ascii="Arial" w:hAnsi="Arial" w:cs="Arial"/>
          <w:color w:val="7B7B7B" w:themeColor="accent3" w:themeShade="BF"/>
          <w:sz w:val="22"/>
          <w:szCs w:val="22"/>
          <w:lang w:val="en-GB"/>
        </w:rPr>
        <w:t xml:space="preserve"> be</w:t>
      </w:r>
      <w:r w:rsidRPr="008B64A0">
        <w:rPr>
          <w:rFonts w:ascii="Arial" w:hAnsi="Arial" w:cs="Arial"/>
          <w:color w:val="7B7B7B" w:themeColor="accent3" w:themeShade="BF"/>
          <w:sz w:val="22"/>
          <w:szCs w:val="22"/>
          <w:lang w:val="en-GB"/>
        </w:rPr>
        <w:t xml:space="preserve"> presumed as authentic by the court according to Article 16 of the Mod</w:t>
      </w:r>
      <w:r>
        <w:rPr>
          <w:rFonts w:ascii="Arial" w:hAnsi="Arial" w:cs="Arial"/>
          <w:color w:val="7B7B7B" w:themeColor="accent3" w:themeShade="BF"/>
          <w:sz w:val="22"/>
          <w:szCs w:val="22"/>
          <w:lang w:val="en-GB"/>
        </w:rPr>
        <w:t>el</w:t>
      </w:r>
      <w:r w:rsidRPr="008B64A0">
        <w:rPr>
          <w:rFonts w:ascii="Arial" w:hAnsi="Arial" w:cs="Arial"/>
          <w:color w:val="7B7B7B" w:themeColor="accent3" w:themeShade="BF"/>
          <w:sz w:val="22"/>
          <w:szCs w:val="22"/>
          <w:lang w:val="en-GB"/>
        </w:rPr>
        <w:t xml:space="preserve"> law. Further, the application has to be submitted to competent court </w:t>
      </w:r>
      <w:r>
        <w:rPr>
          <w:rFonts w:ascii="Arial" w:hAnsi="Arial" w:cs="Arial"/>
          <w:color w:val="7B7B7B" w:themeColor="accent3" w:themeShade="BF"/>
          <w:sz w:val="22"/>
          <w:szCs w:val="22"/>
          <w:lang w:val="en-GB"/>
        </w:rPr>
        <w:t xml:space="preserve">of the enacted State </w:t>
      </w:r>
      <w:r w:rsidRPr="008B64A0">
        <w:rPr>
          <w:rFonts w:ascii="Arial" w:hAnsi="Arial" w:cs="Arial"/>
          <w:color w:val="7B7B7B" w:themeColor="accent3" w:themeShade="BF"/>
          <w:sz w:val="22"/>
          <w:szCs w:val="22"/>
          <w:lang w:val="en-GB"/>
        </w:rPr>
        <w:t>referred to in Article 4 of the Model Law.</w:t>
      </w:r>
    </w:p>
    <w:p w14:paraId="272E3AC2" w14:textId="77777777" w:rsidR="005323E7" w:rsidRDefault="005323E7" w:rsidP="005323E7">
      <w:pPr>
        <w:jc w:val="both"/>
        <w:rPr>
          <w:rFonts w:ascii="Arial" w:hAnsi="Arial" w:cs="Arial"/>
          <w:color w:val="7B7B7B" w:themeColor="accent3" w:themeShade="BF"/>
          <w:sz w:val="22"/>
          <w:szCs w:val="22"/>
          <w:lang w:val="en-GB"/>
        </w:rPr>
      </w:pPr>
    </w:p>
    <w:p w14:paraId="3390FE3E" w14:textId="77777777" w:rsidR="005323E7" w:rsidRPr="008A2746" w:rsidRDefault="005323E7" w:rsidP="005323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all the requirements set in Article 15 of the Model Law are met and no </w:t>
      </w:r>
      <w:r w:rsidRPr="004058D3">
        <w:rPr>
          <w:rFonts w:ascii="Arial" w:hAnsi="Arial" w:cs="Arial"/>
          <w:color w:val="7B7B7B" w:themeColor="accent3" w:themeShade="BF"/>
          <w:sz w:val="22"/>
          <w:szCs w:val="22"/>
          <w:lang w:val="en-GB"/>
        </w:rPr>
        <w:t xml:space="preserve">public policy grounds in the enacting State for denying </w:t>
      </w:r>
      <w:r>
        <w:rPr>
          <w:rFonts w:ascii="Arial" w:hAnsi="Arial" w:cs="Arial"/>
          <w:color w:val="7B7B7B" w:themeColor="accent3" w:themeShade="BF"/>
          <w:sz w:val="22"/>
          <w:szCs w:val="22"/>
          <w:lang w:val="en-GB"/>
        </w:rPr>
        <w:t xml:space="preserve">the application are given, recognition shall be granted. </w:t>
      </w:r>
    </w:p>
    <w:p w14:paraId="713C0C0F" w14:textId="29C05C21" w:rsidR="0017257C" w:rsidRDefault="0017257C" w:rsidP="00707FC8">
      <w:pPr>
        <w:jc w:val="both"/>
        <w:rPr>
          <w:rFonts w:ascii="Arial" w:hAnsi="Arial" w:cs="Arial"/>
          <w:sz w:val="22"/>
          <w:szCs w:val="22"/>
          <w:shd w:val="clear" w:color="auto" w:fill="FFFFFF"/>
          <w:lang w:val="en-GB"/>
        </w:rPr>
      </w:pPr>
    </w:p>
    <w:p w14:paraId="539B2791" w14:textId="0249CDC1" w:rsidR="005323E7" w:rsidRDefault="005323E7" w:rsidP="00707FC8">
      <w:pPr>
        <w:jc w:val="both"/>
        <w:rPr>
          <w:rFonts w:ascii="Arial" w:hAnsi="Arial" w:cs="Arial"/>
          <w:sz w:val="22"/>
          <w:szCs w:val="22"/>
          <w:shd w:val="clear" w:color="auto" w:fill="FFFFFF"/>
          <w:lang w:val="en-GB"/>
        </w:rPr>
      </w:pPr>
    </w:p>
    <w:p w14:paraId="6467240D" w14:textId="77777777" w:rsidR="005323E7" w:rsidRPr="009B5832" w:rsidRDefault="005323E7"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E30435">
        <w:rPr>
          <w:rFonts w:ascii="Arial" w:hAnsi="Arial" w:cs="Arial"/>
          <w:sz w:val="22"/>
          <w:szCs w:val="22"/>
          <w:lang w:val="en-GB"/>
        </w:rPr>
        <w:t xml:space="preserve">As far as relief is concerned, briefly explain (with reference to </w:t>
      </w:r>
      <w:r w:rsidR="00201874" w:rsidRPr="00E30435">
        <w:rPr>
          <w:rFonts w:ascii="Arial" w:hAnsi="Arial" w:cs="Arial"/>
          <w:sz w:val="22"/>
          <w:szCs w:val="22"/>
          <w:lang w:val="en-GB"/>
        </w:rPr>
        <w:t xml:space="preserve">the </w:t>
      </w:r>
      <w:r w:rsidRPr="00E30435">
        <w:rPr>
          <w:rFonts w:ascii="Arial" w:hAnsi="Arial" w:cs="Arial"/>
          <w:sz w:val="22"/>
          <w:szCs w:val="22"/>
          <w:lang w:val="en-GB"/>
        </w:rPr>
        <w:t>relevant MLCBI articles) what pre- and post-recognition relief can be considered in the context of the MLCBI, as well as any restrictions, limitations or conditions that</w:t>
      </w:r>
      <w:r w:rsidRPr="009B5832">
        <w:rPr>
          <w:rFonts w:ascii="Arial" w:hAnsi="Arial" w:cs="Arial"/>
          <w:sz w:val="22"/>
          <w:szCs w:val="22"/>
          <w:lang w:val="en-GB"/>
        </w:rPr>
        <w:t xml:space="preserve">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771E80AC" w14:textId="77777777" w:rsidR="00DB35CB" w:rsidRPr="009B5832" w:rsidRDefault="00DB35CB" w:rsidP="00DB35CB">
      <w:pPr>
        <w:jc w:val="both"/>
        <w:rPr>
          <w:rFonts w:ascii="Arial" w:hAnsi="Arial" w:cs="Arial"/>
          <w:sz w:val="22"/>
          <w:szCs w:val="22"/>
          <w:lang w:val="en-GB"/>
        </w:rPr>
      </w:pPr>
    </w:p>
    <w:p w14:paraId="683B3A52" w14:textId="77777777" w:rsidR="00DB35CB" w:rsidRPr="00ED42F3" w:rsidRDefault="00DB35CB" w:rsidP="00DB35CB">
      <w:pPr>
        <w:pStyle w:val="ListParagraph"/>
        <w:numPr>
          <w:ilvl w:val="0"/>
          <w:numId w:val="17"/>
        </w:numPr>
        <w:ind w:left="709" w:hanging="709"/>
        <w:jc w:val="both"/>
        <w:rPr>
          <w:rFonts w:ascii="Arial" w:hAnsi="Arial" w:cs="Arial"/>
          <w:color w:val="7B7B7B" w:themeColor="accent3" w:themeShade="BF"/>
          <w:sz w:val="22"/>
          <w:szCs w:val="22"/>
          <w:lang w:val="en-GB"/>
        </w:rPr>
      </w:pPr>
      <w:r w:rsidRPr="00ED42F3">
        <w:rPr>
          <w:rFonts w:ascii="Arial" w:hAnsi="Arial" w:cs="Arial"/>
          <w:color w:val="7B7B7B" w:themeColor="accent3" w:themeShade="BF"/>
          <w:sz w:val="22"/>
          <w:szCs w:val="22"/>
          <w:lang w:val="en-GB"/>
        </w:rPr>
        <w:t>Pre-recognition relief</w:t>
      </w:r>
    </w:p>
    <w:p w14:paraId="43395519" w14:textId="77777777" w:rsidR="00DB35CB" w:rsidRPr="00B32C70" w:rsidRDefault="00DB35CB" w:rsidP="00DB35CB">
      <w:pPr>
        <w:jc w:val="both"/>
        <w:rPr>
          <w:rFonts w:ascii="Arial" w:hAnsi="Arial" w:cs="Arial"/>
          <w:color w:val="7B7B7B" w:themeColor="accent3" w:themeShade="BF"/>
          <w:sz w:val="22"/>
          <w:szCs w:val="22"/>
          <w:lang w:val="en-GB"/>
        </w:rPr>
      </w:pPr>
    </w:p>
    <w:p w14:paraId="09827CD9" w14:textId="77777777" w:rsidR="00DB35CB" w:rsidRPr="00B32C70" w:rsidRDefault="00DB35CB" w:rsidP="00DB35CB">
      <w:pPr>
        <w:ind w:left="709"/>
        <w:jc w:val="both"/>
        <w:rPr>
          <w:rFonts w:ascii="Arial" w:hAnsi="Arial" w:cs="Arial"/>
          <w:color w:val="7B7B7B" w:themeColor="accent3" w:themeShade="BF"/>
          <w:sz w:val="22"/>
          <w:szCs w:val="22"/>
          <w:lang w:val="en-GB"/>
        </w:rPr>
      </w:pPr>
      <w:r w:rsidRPr="00B32C70">
        <w:rPr>
          <w:rFonts w:ascii="Arial" w:hAnsi="Arial" w:cs="Arial"/>
          <w:color w:val="7B7B7B" w:themeColor="accent3" w:themeShade="BF"/>
          <w:sz w:val="22"/>
          <w:szCs w:val="22"/>
          <w:lang w:val="en-GB"/>
        </w:rPr>
        <w:t>Article 19 of the Model Law concerns the pre-recognition relief. A pre-recognition relief is an urgent measure that can be granted by the enacted court prior to the commencement of the recognition proceedings, but after the application for recognition of the foreign proceedings has been filed. As a requirement, the measure should aim at protecting the assets of the debtor and the interest of the creditors. Pre-recognition relief includes, among others, the following measures:</w:t>
      </w:r>
    </w:p>
    <w:p w14:paraId="6DFC3F5C" w14:textId="77777777" w:rsidR="00DB35CB" w:rsidRPr="00ED42F3" w:rsidRDefault="00DB35CB" w:rsidP="00DB35CB">
      <w:pPr>
        <w:pStyle w:val="ListParagraph"/>
        <w:numPr>
          <w:ilvl w:val="0"/>
          <w:numId w:val="18"/>
        </w:numPr>
        <w:jc w:val="both"/>
        <w:rPr>
          <w:rFonts w:ascii="Arial" w:hAnsi="Arial" w:cs="Arial"/>
          <w:i/>
          <w:iCs/>
          <w:color w:val="7B7B7B" w:themeColor="accent3" w:themeShade="BF"/>
          <w:sz w:val="22"/>
          <w:szCs w:val="22"/>
          <w:lang w:val="en-GB"/>
        </w:rPr>
      </w:pPr>
      <w:r w:rsidRPr="00ED42F3">
        <w:rPr>
          <w:rFonts w:ascii="Arial" w:hAnsi="Arial" w:cs="Arial"/>
          <w:i/>
          <w:iCs/>
          <w:color w:val="7B7B7B" w:themeColor="accent3" w:themeShade="BF"/>
          <w:sz w:val="22"/>
          <w:szCs w:val="22"/>
          <w:lang w:val="en-GB"/>
        </w:rPr>
        <w:t xml:space="preserve">a stay of execution against the debtor’s assets; </w:t>
      </w:r>
    </w:p>
    <w:p w14:paraId="0117A4E9" w14:textId="77777777" w:rsidR="00DB35CB" w:rsidRPr="00ED42F3" w:rsidRDefault="00DB35CB" w:rsidP="00DB35CB">
      <w:pPr>
        <w:pStyle w:val="ListParagraph"/>
        <w:numPr>
          <w:ilvl w:val="0"/>
          <w:numId w:val="18"/>
        </w:numPr>
        <w:jc w:val="both"/>
        <w:rPr>
          <w:rFonts w:ascii="Arial" w:hAnsi="Arial" w:cs="Arial"/>
          <w:i/>
          <w:iCs/>
          <w:color w:val="7B7B7B" w:themeColor="accent3" w:themeShade="BF"/>
          <w:sz w:val="22"/>
          <w:szCs w:val="22"/>
          <w:lang w:val="en-GB"/>
        </w:rPr>
      </w:pPr>
      <w:r w:rsidRPr="00ED42F3">
        <w:rPr>
          <w:rFonts w:ascii="Arial" w:hAnsi="Arial" w:cs="Arial"/>
          <w:i/>
          <w:iCs/>
          <w:color w:val="7B7B7B" w:themeColor="accent3" w:themeShade="BF"/>
          <w:sz w:val="22"/>
          <w:szCs w:val="22"/>
          <w:lang w:val="en-GB"/>
        </w:rPr>
        <w:t>entrusting the administration or realisation of all or part of the debtor’s assets located in the enacting State to the foreign representative</w:t>
      </w:r>
      <w:r>
        <w:rPr>
          <w:rFonts w:ascii="Arial" w:hAnsi="Arial" w:cs="Arial"/>
          <w:i/>
          <w:iCs/>
          <w:color w:val="7B7B7B" w:themeColor="accent3" w:themeShade="BF"/>
          <w:sz w:val="22"/>
          <w:szCs w:val="22"/>
          <w:lang w:val="en-GB"/>
        </w:rPr>
        <w:t>,</w:t>
      </w:r>
      <w:r w:rsidRPr="00ED42F3">
        <w:rPr>
          <w:rFonts w:ascii="Arial" w:hAnsi="Arial" w:cs="Arial"/>
          <w:i/>
          <w:iCs/>
          <w:color w:val="7B7B7B" w:themeColor="accent3" w:themeShade="BF"/>
          <w:sz w:val="22"/>
          <w:szCs w:val="22"/>
          <w:lang w:val="en-GB"/>
        </w:rPr>
        <w:t xml:space="preserve"> or another person designated by the court, in order to protect and preserve the value of assets that, by their nature or because of other circumstances, are perishable, susceptible to devaluation or otherwise in jeopardy; </w:t>
      </w:r>
    </w:p>
    <w:p w14:paraId="031E351F" w14:textId="77777777" w:rsidR="00DB35CB" w:rsidRPr="009B48CC" w:rsidRDefault="00DB35CB" w:rsidP="00DB35CB">
      <w:pPr>
        <w:pStyle w:val="ListParagraph"/>
        <w:numPr>
          <w:ilvl w:val="0"/>
          <w:numId w:val="18"/>
        </w:numPr>
        <w:jc w:val="both"/>
        <w:rPr>
          <w:rFonts w:ascii="Arial" w:hAnsi="Arial" w:cs="Arial"/>
          <w:i/>
          <w:iCs/>
          <w:color w:val="7B7B7B" w:themeColor="accent3" w:themeShade="BF"/>
          <w:sz w:val="22"/>
          <w:szCs w:val="22"/>
          <w:lang w:val="en-GB"/>
        </w:rPr>
      </w:pPr>
      <w:r w:rsidRPr="00ED42F3">
        <w:rPr>
          <w:rFonts w:ascii="Arial" w:hAnsi="Arial" w:cs="Arial"/>
          <w:i/>
          <w:iCs/>
          <w:color w:val="7B7B7B" w:themeColor="accent3" w:themeShade="BF"/>
          <w:sz w:val="22"/>
          <w:szCs w:val="22"/>
          <w:lang w:val="en-GB"/>
        </w:rPr>
        <w:t xml:space="preserve">any of the following post-recognition relief provided for in Article 21 of the Model Law: (aa) suspending the right to transfer, encumber or otherwise dispose of any assets of the debtor; (bb) providing for the examination of witnesses, the taking of evidence or the delivery of information concerning the debtor’s assets, affairs, rights, obligations or liabilities; and (cc) granting any additional relief that may be available to a domestic liquidator </w:t>
      </w:r>
      <w:r>
        <w:rPr>
          <w:rFonts w:ascii="Arial" w:hAnsi="Arial" w:cs="Arial"/>
          <w:i/>
          <w:iCs/>
          <w:color w:val="7B7B7B" w:themeColor="accent3" w:themeShade="BF"/>
          <w:sz w:val="22"/>
          <w:szCs w:val="22"/>
          <w:lang w:val="en-GB"/>
        </w:rPr>
        <w:t>or</w:t>
      </w:r>
      <w:r w:rsidRPr="00ED42F3">
        <w:rPr>
          <w:rFonts w:ascii="Arial" w:hAnsi="Arial" w:cs="Arial"/>
          <w:i/>
          <w:iCs/>
          <w:color w:val="7B7B7B" w:themeColor="accent3" w:themeShade="BF"/>
          <w:sz w:val="22"/>
          <w:szCs w:val="22"/>
          <w:lang w:val="en-GB"/>
        </w:rPr>
        <w:t xml:space="preserve"> officeholder under the laws of the enacting State. </w:t>
      </w:r>
    </w:p>
    <w:p w14:paraId="38E89BC3" w14:textId="77777777" w:rsidR="00DB35CB" w:rsidRDefault="00DB35CB" w:rsidP="00DB35CB">
      <w:pPr>
        <w:pStyle w:val="ListParagraph"/>
        <w:ind w:left="709"/>
        <w:jc w:val="both"/>
        <w:rPr>
          <w:rFonts w:ascii="Arial" w:hAnsi="Arial" w:cs="Arial"/>
          <w:sz w:val="22"/>
          <w:szCs w:val="22"/>
          <w:lang w:val="en-GB"/>
        </w:rPr>
      </w:pPr>
    </w:p>
    <w:p w14:paraId="4EAC6157" w14:textId="77777777" w:rsidR="00DB35CB" w:rsidRPr="009B48CC" w:rsidRDefault="00DB35CB" w:rsidP="00DB35CB">
      <w:pPr>
        <w:pStyle w:val="ListParagraph"/>
        <w:numPr>
          <w:ilvl w:val="0"/>
          <w:numId w:val="17"/>
        </w:numPr>
        <w:ind w:left="709" w:hanging="709"/>
        <w:jc w:val="both"/>
        <w:rPr>
          <w:rFonts w:ascii="Arial" w:hAnsi="Arial" w:cs="Arial"/>
          <w:color w:val="7B7B7B" w:themeColor="accent3" w:themeShade="BF"/>
          <w:sz w:val="22"/>
          <w:szCs w:val="22"/>
          <w:lang w:val="en-GB"/>
        </w:rPr>
      </w:pPr>
      <w:r w:rsidRPr="009B48CC">
        <w:rPr>
          <w:rFonts w:ascii="Arial" w:hAnsi="Arial" w:cs="Arial"/>
          <w:color w:val="7B7B7B" w:themeColor="accent3" w:themeShade="BF"/>
          <w:sz w:val="22"/>
          <w:szCs w:val="22"/>
          <w:lang w:val="en-GB"/>
        </w:rPr>
        <w:t>Post-recognition relief</w:t>
      </w:r>
    </w:p>
    <w:p w14:paraId="461F1B80" w14:textId="77777777" w:rsidR="00DB35CB" w:rsidRDefault="00DB35CB" w:rsidP="00DB35CB">
      <w:pPr>
        <w:ind w:left="720" w:hanging="720"/>
        <w:jc w:val="both"/>
        <w:rPr>
          <w:rFonts w:ascii="Arial" w:hAnsi="Arial" w:cs="Arial"/>
          <w:sz w:val="22"/>
          <w:szCs w:val="22"/>
          <w:lang w:val="en-GB"/>
        </w:rPr>
      </w:pPr>
    </w:p>
    <w:p w14:paraId="326ECF9F" w14:textId="77777777" w:rsidR="00DB35CB" w:rsidRDefault="00DB35CB" w:rsidP="00DB35CB">
      <w:pPr>
        <w:ind w:left="709"/>
        <w:jc w:val="both"/>
        <w:rPr>
          <w:rFonts w:ascii="Arial" w:hAnsi="Arial" w:cs="Arial"/>
          <w:color w:val="7B7B7B" w:themeColor="accent3" w:themeShade="BF"/>
          <w:sz w:val="22"/>
          <w:szCs w:val="22"/>
          <w:lang w:val="en-GB"/>
        </w:rPr>
      </w:pPr>
      <w:r w:rsidRPr="00EE3F08">
        <w:rPr>
          <w:rFonts w:ascii="Arial" w:hAnsi="Arial" w:cs="Arial"/>
          <w:color w:val="7B7B7B" w:themeColor="accent3" w:themeShade="BF"/>
          <w:sz w:val="22"/>
          <w:szCs w:val="22"/>
          <w:lang w:val="en-GB"/>
        </w:rPr>
        <w:t>After recognition of foreign proceedings</w:t>
      </w:r>
      <w:r>
        <w:rPr>
          <w:rFonts w:ascii="Arial" w:hAnsi="Arial" w:cs="Arial"/>
          <w:color w:val="7B7B7B" w:themeColor="accent3" w:themeShade="BF"/>
          <w:sz w:val="22"/>
          <w:szCs w:val="22"/>
          <w:lang w:val="en-GB"/>
        </w:rPr>
        <w:t>,</w:t>
      </w:r>
      <w:r w:rsidRPr="00EE3F08">
        <w:rPr>
          <w:rFonts w:ascii="Arial" w:hAnsi="Arial" w:cs="Arial"/>
          <w:color w:val="7B7B7B" w:themeColor="accent3" w:themeShade="BF"/>
          <w:sz w:val="22"/>
          <w:szCs w:val="22"/>
          <w:lang w:val="en-GB"/>
        </w:rPr>
        <w:t xml:space="preserve"> the enacted court may issue a post-recognition relief if such a relief is necessary to protect the assets of the debtor and the creditors’ interests</w:t>
      </w:r>
      <w:r>
        <w:rPr>
          <w:rFonts w:ascii="Arial" w:hAnsi="Arial" w:cs="Arial"/>
          <w:color w:val="7B7B7B" w:themeColor="accent3" w:themeShade="BF"/>
          <w:sz w:val="22"/>
          <w:szCs w:val="22"/>
          <w:lang w:val="en-GB"/>
        </w:rPr>
        <w:t xml:space="preserve"> in accordance with Article 21 of the Model Law.</w:t>
      </w:r>
    </w:p>
    <w:p w14:paraId="601FE399" w14:textId="77777777" w:rsidR="00DB35CB" w:rsidRDefault="00DB35CB" w:rsidP="00DB35CB">
      <w:pPr>
        <w:ind w:left="709"/>
        <w:jc w:val="both"/>
        <w:rPr>
          <w:rFonts w:ascii="Arial" w:hAnsi="Arial" w:cs="Arial"/>
          <w:color w:val="7B7B7B" w:themeColor="accent3" w:themeShade="BF"/>
          <w:sz w:val="22"/>
          <w:szCs w:val="22"/>
          <w:lang w:val="en-GB"/>
        </w:rPr>
      </w:pPr>
    </w:p>
    <w:p w14:paraId="426B4072" w14:textId="77777777" w:rsidR="00DB35CB" w:rsidRPr="00E30435" w:rsidRDefault="00DB35CB" w:rsidP="00DB35CB">
      <w:pPr>
        <w:ind w:left="709"/>
        <w:jc w:val="both"/>
        <w:rPr>
          <w:rFonts w:ascii="Arial" w:hAnsi="Arial" w:cs="Arial"/>
          <w:color w:val="7B7B7B" w:themeColor="accent3" w:themeShade="BF"/>
          <w:sz w:val="22"/>
          <w:szCs w:val="22"/>
          <w:lang w:val="en-GB"/>
        </w:rPr>
      </w:pPr>
      <w:r w:rsidRPr="00E30435">
        <w:rPr>
          <w:rFonts w:ascii="Arial" w:hAnsi="Arial" w:cs="Arial"/>
          <w:color w:val="7B7B7B" w:themeColor="accent3" w:themeShade="BF"/>
          <w:sz w:val="22"/>
          <w:szCs w:val="22"/>
          <w:lang w:val="en-GB"/>
        </w:rPr>
        <w:t xml:space="preserve">In cases where the debtor only has an establishment in the jurisdiction where the foreign proceedings are opened, the proceedings are to be considered as non-main proceedings and no automatic relief will be issued, but only discretionary post- recognition relief </w:t>
      </w:r>
    </w:p>
    <w:p w14:paraId="2794236B" w14:textId="77777777" w:rsidR="00DB35CB" w:rsidRDefault="00DB35CB" w:rsidP="00DB35CB">
      <w:pPr>
        <w:ind w:left="709"/>
        <w:jc w:val="both"/>
        <w:rPr>
          <w:rFonts w:ascii="Arial" w:hAnsi="Arial" w:cs="Arial"/>
          <w:color w:val="7B7B7B" w:themeColor="accent3" w:themeShade="BF"/>
          <w:sz w:val="22"/>
          <w:szCs w:val="22"/>
          <w:lang w:val="en-GB"/>
        </w:rPr>
      </w:pPr>
    </w:p>
    <w:p w14:paraId="791F76B7" w14:textId="77777777" w:rsidR="00DB35CB" w:rsidRDefault="00DB35CB" w:rsidP="00DB35CB">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relief includes, among others, the following measures:</w:t>
      </w:r>
    </w:p>
    <w:p w14:paraId="471A492F" w14:textId="77777777" w:rsidR="00DB35CB" w:rsidRPr="00C005A6" w:rsidRDefault="00DB35CB" w:rsidP="00DB35CB">
      <w:pPr>
        <w:pStyle w:val="ListParagraph"/>
        <w:numPr>
          <w:ilvl w:val="0"/>
          <w:numId w:val="19"/>
        </w:numPr>
        <w:jc w:val="both"/>
        <w:rPr>
          <w:rFonts w:ascii="Arial" w:hAnsi="Arial" w:cs="Arial"/>
          <w:i/>
          <w:iCs/>
          <w:color w:val="7B7B7B" w:themeColor="accent3" w:themeShade="BF"/>
          <w:sz w:val="22"/>
          <w:szCs w:val="22"/>
          <w:lang w:val="en-GB"/>
        </w:rPr>
      </w:pPr>
      <w:r w:rsidRPr="00C005A6">
        <w:rPr>
          <w:rFonts w:ascii="Arial" w:hAnsi="Arial" w:cs="Arial"/>
          <w:i/>
          <w:iCs/>
          <w:color w:val="7B7B7B" w:themeColor="accent3" w:themeShade="BF"/>
          <w:sz w:val="22"/>
          <w:szCs w:val="22"/>
          <w:lang w:val="en-GB"/>
        </w:rPr>
        <w:t>staying the commencement or continuation of individual actions or individual proceedings concerning the debtor’s assets, rights, obligations or liabilities, to the extent they have not been (automatically) stayed under Article 20(1)(a) of the Model Law;</w:t>
      </w:r>
    </w:p>
    <w:p w14:paraId="56DAA834" w14:textId="77777777" w:rsidR="00B32C70" w:rsidRDefault="00DB35CB" w:rsidP="00DB35CB">
      <w:pPr>
        <w:pStyle w:val="ListParagraph"/>
        <w:numPr>
          <w:ilvl w:val="0"/>
          <w:numId w:val="19"/>
        </w:numPr>
        <w:jc w:val="both"/>
        <w:rPr>
          <w:rFonts w:ascii="Arial" w:hAnsi="Arial" w:cs="Arial"/>
          <w:i/>
          <w:iCs/>
          <w:color w:val="7B7B7B" w:themeColor="accent3" w:themeShade="BF"/>
          <w:sz w:val="22"/>
          <w:szCs w:val="22"/>
          <w:lang w:val="en-GB"/>
        </w:rPr>
      </w:pPr>
      <w:r w:rsidRPr="00C005A6">
        <w:rPr>
          <w:rFonts w:ascii="Arial" w:hAnsi="Arial" w:cs="Arial"/>
          <w:i/>
          <w:iCs/>
          <w:color w:val="7B7B7B" w:themeColor="accent3" w:themeShade="BF"/>
          <w:sz w:val="22"/>
          <w:szCs w:val="22"/>
          <w:lang w:val="en-GB"/>
        </w:rPr>
        <w:t>staying execution against the debtor’s assets to the extent it has not been stayed (automatically) under Article 20(1)(b) of the Model Law;</w:t>
      </w:r>
    </w:p>
    <w:p w14:paraId="111EA170" w14:textId="718C3708" w:rsidR="00D17FDC" w:rsidRDefault="00DB35CB" w:rsidP="00DB35CB">
      <w:pPr>
        <w:pStyle w:val="ListParagraph"/>
        <w:numPr>
          <w:ilvl w:val="0"/>
          <w:numId w:val="19"/>
        </w:numPr>
        <w:jc w:val="both"/>
        <w:rPr>
          <w:rFonts w:ascii="Arial" w:hAnsi="Arial" w:cs="Arial"/>
          <w:i/>
          <w:iCs/>
          <w:color w:val="7B7B7B" w:themeColor="accent3" w:themeShade="BF"/>
          <w:sz w:val="22"/>
          <w:szCs w:val="22"/>
          <w:lang w:val="en-GB"/>
        </w:rPr>
      </w:pPr>
      <w:r w:rsidRPr="00B32C70">
        <w:rPr>
          <w:rFonts w:ascii="Arial" w:hAnsi="Arial" w:cs="Arial"/>
          <w:i/>
          <w:iCs/>
          <w:color w:val="7B7B7B" w:themeColor="accent3" w:themeShade="BF"/>
          <w:sz w:val="22"/>
          <w:szCs w:val="22"/>
          <w:lang w:val="en-GB"/>
        </w:rPr>
        <w:t>suspending the right to transfer, encumber or otherwise dispose of any assets of the debtor to the extent this right has not been (automatically) suspended under Article 20(1)(c) of the Model Law.</w:t>
      </w:r>
    </w:p>
    <w:p w14:paraId="2B281755" w14:textId="77777777" w:rsidR="00E51157" w:rsidRPr="00B32C70" w:rsidRDefault="00E51157" w:rsidP="00E51157">
      <w:pPr>
        <w:pStyle w:val="ListParagraph"/>
        <w:ind w:left="1069"/>
        <w:jc w:val="both"/>
        <w:rPr>
          <w:rFonts w:ascii="Arial" w:hAnsi="Arial" w:cs="Arial"/>
          <w:i/>
          <w:iCs/>
          <w:color w:val="7B7B7B" w:themeColor="accent3" w:themeShade="BF"/>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70742B">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197F91F8" w14:textId="77777777" w:rsidR="003C1C5C" w:rsidRPr="009B5832" w:rsidRDefault="003C1C5C" w:rsidP="003C1C5C">
      <w:pPr>
        <w:jc w:val="both"/>
        <w:rPr>
          <w:rFonts w:ascii="Arial" w:hAnsi="Arial" w:cs="Arial"/>
          <w:sz w:val="22"/>
          <w:szCs w:val="22"/>
          <w:lang w:val="en-GB"/>
        </w:rPr>
      </w:pPr>
      <w:r>
        <w:rPr>
          <w:rFonts w:ascii="Arial" w:hAnsi="Arial" w:cs="Arial"/>
          <w:color w:val="7B7B7B" w:themeColor="accent3" w:themeShade="BF"/>
          <w:sz w:val="22"/>
          <w:szCs w:val="22"/>
          <w:lang w:val="en-GB"/>
        </w:rPr>
        <w:t>Once the protection objective of the pre-recognition relief is achieved, there is no need to apply for the post-recognition one. In this case, the foreign court and/or foreign representative will dispose of the frozen assets once the foreign proceedings have been recognized. Thus, there will be no need for a post-recognition relief.</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An affidavit (the Affidavit) sets out a detailed summary of the legislation of </w:t>
      </w:r>
      <w:r w:rsidRPr="000F1195">
        <w:rPr>
          <w:rFonts w:ascii="Arial" w:hAnsi="Arial" w:cs="Arial"/>
          <w:color w:val="000000"/>
          <w:sz w:val="22"/>
          <w:szCs w:val="22"/>
          <w:shd w:val="clear" w:color="auto" w:fill="FFFF00"/>
          <w:lang w:val="en-GB" w:eastAsia="en-GB"/>
        </w:rPr>
        <w:t>Country A</w:t>
      </w:r>
      <w:r w:rsidR="001747C2" w:rsidRPr="000F1195">
        <w:rPr>
          <w:rFonts w:ascii="Arial" w:hAnsi="Arial" w:cs="Arial"/>
          <w:color w:val="000000"/>
          <w:sz w:val="22"/>
          <w:szCs w:val="22"/>
          <w:shd w:val="clear" w:color="auto" w:fill="FFFF00"/>
          <w:lang w:val="en-GB" w:eastAsia="en-GB"/>
        </w:rPr>
        <w:t>’</w:t>
      </w:r>
      <w:r w:rsidR="00346B16" w:rsidRPr="000F1195">
        <w:rPr>
          <w:rFonts w:ascii="Arial" w:hAnsi="Arial" w:cs="Arial"/>
          <w:color w:val="000000"/>
          <w:sz w:val="22"/>
          <w:szCs w:val="22"/>
          <w:shd w:val="clear" w:color="auto" w:fill="FFFF00"/>
          <w:lang w:val="en-GB" w:eastAsia="en-GB"/>
        </w:rPr>
        <w:t>s</w:t>
      </w:r>
      <w:r w:rsidRPr="000F1195">
        <w:rPr>
          <w:rFonts w:ascii="Arial" w:hAnsi="Arial" w:cs="Arial"/>
          <w:color w:val="000000"/>
          <w:sz w:val="22"/>
          <w:szCs w:val="22"/>
          <w:shd w:val="clear" w:color="auto" w:fill="FFFF00"/>
          <w:lang w:val="en-GB" w:eastAsia="en-GB"/>
        </w:rPr>
        <w:t xml:space="preserve"> specific insolvency procedure for Banks. </w:t>
      </w:r>
      <w:r w:rsidRPr="009B5832">
        <w:rPr>
          <w:rFonts w:ascii="Arial" w:hAnsi="Arial" w:cs="Arial"/>
          <w:color w:val="000000"/>
          <w:sz w:val="22"/>
          <w:szCs w:val="22"/>
          <w:lang w:val="en-GB" w:eastAsia="en-GB"/>
        </w:rPr>
        <w:t>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A212A5">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A212A5">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A212A5">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0F1195">
        <w:rPr>
          <w:rFonts w:ascii="Arial" w:hAnsi="Arial" w:cs="Arial"/>
          <w:color w:val="000000"/>
          <w:sz w:val="22"/>
          <w:szCs w:val="22"/>
          <w:highlight w:val="yellow"/>
          <w:lang w:val="en-GB" w:eastAsia="en-GB"/>
        </w:rPr>
        <w:t xml:space="preserve">The NB has the ability to classify a bank as insolvent without necessarily needing </w:t>
      </w:r>
      <w:r w:rsidR="00860E61" w:rsidRPr="000F1195">
        <w:rPr>
          <w:rFonts w:ascii="Arial" w:hAnsi="Arial" w:cs="Arial"/>
          <w:color w:val="000000"/>
          <w:sz w:val="22"/>
          <w:szCs w:val="22"/>
          <w:highlight w:val="yellow"/>
          <w:lang w:val="en-GB" w:eastAsia="en-GB"/>
        </w:rPr>
        <w:t xml:space="preserve">to </w:t>
      </w:r>
      <w:r w:rsidRPr="000F1195">
        <w:rPr>
          <w:rFonts w:ascii="Arial" w:hAnsi="Arial" w:cs="Arial"/>
          <w:color w:val="000000"/>
          <w:sz w:val="22"/>
          <w:szCs w:val="22"/>
          <w:highlight w:val="yellow"/>
          <w:lang w:val="en-GB" w:eastAsia="en-GB"/>
        </w:rPr>
        <w:t xml:space="preserve">first go through the troubled stage. Article 77 </w:t>
      </w:r>
      <w:r w:rsidR="0050682B" w:rsidRPr="000F1195">
        <w:rPr>
          <w:rFonts w:ascii="Arial" w:hAnsi="Arial" w:cs="Arial"/>
          <w:color w:val="000000"/>
          <w:sz w:val="22"/>
          <w:szCs w:val="22"/>
          <w:highlight w:val="yellow"/>
          <w:lang w:val="en-GB" w:eastAsia="en-GB"/>
        </w:rPr>
        <w:t xml:space="preserve">of the </w:t>
      </w:r>
      <w:r w:rsidRPr="000F1195">
        <w:rPr>
          <w:rFonts w:ascii="Arial" w:hAnsi="Arial" w:cs="Arial"/>
          <w:color w:val="000000"/>
          <w:sz w:val="22"/>
          <w:szCs w:val="22"/>
          <w:highlight w:val="yellow"/>
          <w:lang w:val="en-GB" w:eastAsia="en-GB"/>
        </w:rPr>
        <w:t>LBBA accordingly provides that a bank can be liquidated by the NB directly</w:t>
      </w:r>
      <w:r w:rsidR="00860E61" w:rsidRPr="000F1195">
        <w:rPr>
          <w:rFonts w:ascii="Arial" w:hAnsi="Arial" w:cs="Arial"/>
          <w:color w:val="000000"/>
          <w:sz w:val="22"/>
          <w:szCs w:val="22"/>
          <w:highlight w:val="yellow"/>
          <w:lang w:val="en-GB" w:eastAsia="en-GB"/>
        </w:rPr>
        <w:t>,</w:t>
      </w:r>
      <w:r w:rsidRPr="000F1195">
        <w:rPr>
          <w:rFonts w:ascii="Arial" w:hAnsi="Arial" w:cs="Arial"/>
          <w:color w:val="000000"/>
          <w:sz w:val="22"/>
          <w:szCs w:val="22"/>
          <w:highlight w:val="yellow"/>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457218">
        <w:rPr>
          <w:rFonts w:ascii="Arial" w:hAnsi="Arial" w:cs="Arial"/>
          <w:color w:val="000000"/>
          <w:sz w:val="22"/>
          <w:szCs w:val="22"/>
          <w:highlight w:val="yellow"/>
          <w:lang w:val="en-GB" w:eastAsia="en-GB"/>
        </w:rPr>
        <w:t>The Deposit Guarantee Fund (DGF) is a governmental body of Cou</w:t>
      </w:r>
      <w:r w:rsidRPr="000604A3">
        <w:rPr>
          <w:rFonts w:ascii="Arial" w:hAnsi="Arial" w:cs="Arial"/>
          <w:color w:val="000000"/>
          <w:sz w:val="22"/>
          <w:szCs w:val="22"/>
          <w:highlight w:val="yellow"/>
          <w:lang w:val="en-GB" w:eastAsia="en-GB"/>
        </w:rPr>
        <w:t>ntry A tasked principally with providing deposit insurance to bank depositors in Country A.</w:t>
      </w:r>
      <w:r w:rsidRPr="009B5832">
        <w:rPr>
          <w:rFonts w:ascii="Arial" w:hAnsi="Arial" w:cs="Arial"/>
          <w:color w:val="000000"/>
          <w:sz w:val="22"/>
          <w:szCs w:val="22"/>
          <w:lang w:val="en-GB" w:eastAsia="en-GB"/>
        </w:rPr>
        <w:t xml:space="preserve">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A212A5">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A212A5">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457218">
        <w:rPr>
          <w:rFonts w:ascii="Arial" w:hAnsi="Arial" w:cs="Arial"/>
          <w:color w:val="000000"/>
          <w:sz w:val="22"/>
          <w:szCs w:val="22"/>
          <w:highlight w:val="yellow"/>
          <w:lang w:val="en-GB" w:eastAsia="en-GB"/>
        </w:rPr>
        <w:t>Article 77 of the LBBA</w:t>
      </w:r>
      <w:r w:rsidRPr="009B5832">
        <w:rPr>
          <w:rFonts w:ascii="Arial" w:hAnsi="Arial" w:cs="Arial"/>
          <w:color w:val="000000"/>
          <w:sz w:val="22"/>
          <w:szCs w:val="22"/>
          <w:lang w:val="en-GB" w:eastAsia="en-GB"/>
        </w:rPr>
        <w:t xml:space="preserve">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A212A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A212A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A212A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A212A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A212A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A212A5">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457218" w:rsidRDefault="0040710D" w:rsidP="0040710D">
      <w:pPr>
        <w:jc w:val="both"/>
        <w:rPr>
          <w:rFonts w:ascii="Arial" w:hAnsi="Arial" w:cs="Arial"/>
          <w:color w:val="000000"/>
          <w:sz w:val="22"/>
          <w:szCs w:val="22"/>
          <w:highlight w:val="yellow"/>
          <w:lang w:val="en-GB" w:eastAsia="en-GB"/>
        </w:rPr>
      </w:pPr>
      <w:r w:rsidRPr="00457218">
        <w:rPr>
          <w:rFonts w:ascii="Arial" w:hAnsi="Arial" w:cs="Arial"/>
          <w:b/>
          <w:bCs/>
          <w:color w:val="000000"/>
          <w:sz w:val="22"/>
          <w:szCs w:val="22"/>
          <w:highlight w:val="yellow"/>
          <w:lang w:val="en-GB" w:eastAsia="en-GB"/>
        </w:rPr>
        <w:t>(2)</w:t>
      </w:r>
      <w:r w:rsidRPr="00457218">
        <w:rPr>
          <w:rFonts w:ascii="Arial" w:hAnsi="Arial" w:cs="Arial"/>
          <w:b/>
          <w:bCs/>
          <w:color w:val="000000"/>
          <w:sz w:val="22"/>
          <w:szCs w:val="22"/>
          <w:highlight w:val="yellow"/>
          <w:lang w:val="en-GB" w:eastAsia="en-GB"/>
        </w:rPr>
        <w:tab/>
      </w:r>
      <w:r w:rsidR="008A7470" w:rsidRPr="00457218">
        <w:rPr>
          <w:rFonts w:ascii="Arial" w:hAnsi="Arial" w:cs="Arial"/>
          <w:b/>
          <w:bCs/>
          <w:color w:val="000000"/>
          <w:sz w:val="22"/>
          <w:szCs w:val="22"/>
          <w:highlight w:val="yellow"/>
          <w:lang w:val="en-GB" w:eastAsia="en-GB"/>
        </w:rPr>
        <w:t>The Bank</w:t>
      </w:r>
      <w:r w:rsidR="001747C2" w:rsidRPr="00457218">
        <w:rPr>
          <w:rFonts w:ascii="Arial" w:hAnsi="Arial" w:cs="Arial"/>
          <w:b/>
          <w:bCs/>
          <w:color w:val="000000"/>
          <w:sz w:val="22"/>
          <w:szCs w:val="22"/>
          <w:highlight w:val="yellow"/>
          <w:lang w:val="en-GB" w:eastAsia="en-GB"/>
        </w:rPr>
        <w:t>’</w:t>
      </w:r>
      <w:r w:rsidR="008A7470" w:rsidRPr="00457218">
        <w:rPr>
          <w:rFonts w:ascii="Arial" w:hAnsi="Arial" w:cs="Arial"/>
          <w:b/>
          <w:bCs/>
          <w:color w:val="000000"/>
          <w:sz w:val="22"/>
          <w:szCs w:val="22"/>
          <w:highlight w:val="yellow"/>
          <w:lang w:val="en-GB" w:eastAsia="en-GB"/>
        </w:rPr>
        <w:t>s liquidation</w:t>
      </w:r>
    </w:p>
    <w:p w14:paraId="2D811E6B" w14:textId="77777777" w:rsidR="0040710D" w:rsidRPr="00457218" w:rsidRDefault="0040710D" w:rsidP="0040710D">
      <w:pPr>
        <w:jc w:val="both"/>
        <w:rPr>
          <w:rFonts w:ascii="Arial" w:hAnsi="Arial" w:cs="Arial"/>
          <w:color w:val="000000"/>
          <w:sz w:val="22"/>
          <w:szCs w:val="22"/>
          <w:highlight w:val="yellow"/>
          <w:lang w:val="en-GB" w:eastAsia="en-GB"/>
        </w:rPr>
      </w:pPr>
      <w:bookmarkStart w:id="25" w:name="para37"/>
    </w:p>
    <w:p w14:paraId="2139901C" w14:textId="7680E8AB" w:rsidR="008A7470" w:rsidRPr="00457218" w:rsidRDefault="008A7470" w:rsidP="0040710D">
      <w:pPr>
        <w:jc w:val="both"/>
        <w:rPr>
          <w:rFonts w:ascii="Arial" w:hAnsi="Arial" w:cs="Arial"/>
          <w:color w:val="000000"/>
          <w:sz w:val="22"/>
          <w:szCs w:val="22"/>
          <w:highlight w:val="yellow"/>
          <w:lang w:val="en-GB" w:eastAsia="en-GB"/>
        </w:rPr>
      </w:pPr>
      <w:r w:rsidRPr="00457218">
        <w:rPr>
          <w:rFonts w:ascii="Arial" w:hAnsi="Arial" w:cs="Arial"/>
          <w:color w:val="000000"/>
          <w:sz w:val="22"/>
          <w:szCs w:val="22"/>
          <w:highlight w:val="yellow"/>
          <w:lang w:val="en-GB" w:eastAsia="en-GB"/>
        </w:rPr>
        <w:t xml:space="preserve">The Bank was formally classified by the NB as </w:t>
      </w:r>
      <w:r w:rsidR="001747C2" w:rsidRPr="00457218">
        <w:rPr>
          <w:rFonts w:ascii="Arial" w:hAnsi="Arial" w:cs="Arial"/>
          <w:color w:val="000000"/>
          <w:sz w:val="22"/>
          <w:szCs w:val="22"/>
          <w:highlight w:val="yellow"/>
          <w:lang w:val="en-GB" w:eastAsia="en-GB"/>
        </w:rPr>
        <w:t>“</w:t>
      </w:r>
      <w:r w:rsidRPr="00457218">
        <w:rPr>
          <w:rFonts w:ascii="Arial" w:hAnsi="Arial" w:cs="Arial"/>
          <w:color w:val="000000"/>
          <w:sz w:val="22"/>
          <w:szCs w:val="22"/>
          <w:highlight w:val="yellow"/>
          <w:lang w:val="en-GB" w:eastAsia="en-GB"/>
        </w:rPr>
        <w:t>troubled</w:t>
      </w:r>
      <w:r w:rsidR="001747C2" w:rsidRPr="00457218">
        <w:rPr>
          <w:rFonts w:ascii="Arial" w:hAnsi="Arial" w:cs="Arial"/>
          <w:color w:val="000000"/>
          <w:sz w:val="22"/>
          <w:szCs w:val="22"/>
          <w:highlight w:val="yellow"/>
          <w:lang w:val="en-GB" w:eastAsia="en-GB"/>
        </w:rPr>
        <w:t>”</w:t>
      </w:r>
      <w:r w:rsidRPr="00457218">
        <w:rPr>
          <w:rFonts w:ascii="Arial" w:hAnsi="Arial" w:cs="Arial"/>
          <w:color w:val="000000"/>
          <w:sz w:val="22"/>
          <w:szCs w:val="22"/>
          <w:highlight w:val="yellow"/>
          <w:lang w:val="en-GB" w:eastAsia="en-GB"/>
        </w:rPr>
        <w:t xml:space="preserve"> on 19 January 2015. The translated NB resolution records:</w:t>
      </w:r>
      <w:bookmarkEnd w:id="25"/>
    </w:p>
    <w:p w14:paraId="2BE434DF" w14:textId="77777777" w:rsidR="0040710D" w:rsidRPr="00457218" w:rsidRDefault="0040710D" w:rsidP="0040710D">
      <w:pPr>
        <w:jc w:val="both"/>
        <w:rPr>
          <w:rFonts w:ascii="Arial" w:hAnsi="Arial" w:cs="Arial"/>
          <w:color w:val="000000"/>
          <w:sz w:val="22"/>
          <w:szCs w:val="22"/>
          <w:highlight w:val="yellow"/>
          <w:lang w:val="en-GB" w:eastAsia="en-GB"/>
        </w:rPr>
      </w:pPr>
    </w:p>
    <w:p w14:paraId="385A3799" w14:textId="0DB11A64" w:rsidR="008A7470" w:rsidRPr="00457218" w:rsidRDefault="001747C2" w:rsidP="0040710D">
      <w:pPr>
        <w:ind w:left="851" w:right="851"/>
        <w:jc w:val="both"/>
        <w:rPr>
          <w:rFonts w:ascii="Arial" w:hAnsi="Arial" w:cs="Arial"/>
          <w:color w:val="000000"/>
          <w:sz w:val="22"/>
          <w:szCs w:val="22"/>
          <w:highlight w:val="yellow"/>
          <w:lang w:val="en-GB" w:eastAsia="en-GB"/>
        </w:rPr>
      </w:pPr>
      <w:r w:rsidRPr="00457218">
        <w:rPr>
          <w:rFonts w:ascii="Arial" w:hAnsi="Arial" w:cs="Arial"/>
          <w:color w:val="000000"/>
          <w:sz w:val="22"/>
          <w:szCs w:val="22"/>
          <w:highlight w:val="yellow"/>
          <w:lang w:val="en-GB" w:eastAsia="en-GB"/>
        </w:rPr>
        <w:t>“</w:t>
      </w:r>
      <w:r w:rsidR="008A7470" w:rsidRPr="00457218">
        <w:rPr>
          <w:rFonts w:ascii="Arial" w:hAnsi="Arial" w:cs="Arial"/>
          <w:color w:val="000000"/>
          <w:sz w:val="22"/>
          <w:szCs w:val="22"/>
          <w:highlight w:val="yellow"/>
          <w:lang w:val="en-GB" w:eastAsia="en-GB"/>
        </w:rPr>
        <w:t>The statistical reports-based analysis of the Bank</w:t>
      </w:r>
      <w:r w:rsidRPr="00457218">
        <w:rPr>
          <w:rFonts w:ascii="Arial" w:hAnsi="Arial" w:cs="Arial"/>
          <w:color w:val="000000"/>
          <w:sz w:val="22"/>
          <w:szCs w:val="22"/>
          <w:highlight w:val="yellow"/>
          <w:lang w:val="en-GB" w:eastAsia="en-GB"/>
        </w:rPr>
        <w:t>’</w:t>
      </w:r>
      <w:r w:rsidR="008A7470" w:rsidRPr="00457218">
        <w:rPr>
          <w:rFonts w:ascii="Arial" w:hAnsi="Arial" w:cs="Arial"/>
          <w:color w:val="000000"/>
          <w:sz w:val="22"/>
          <w:szCs w:val="22"/>
          <w:highlight w:val="yellow"/>
          <w:lang w:val="en-GB" w:eastAsia="en-GB"/>
        </w:rPr>
        <w:t>s compliance with the banking law requirements has found that the Bank has been engaged in risky operations</w:t>
      </w:r>
      <w:r w:rsidR="003B1310" w:rsidRPr="00457218">
        <w:rPr>
          <w:rFonts w:ascii="Arial" w:hAnsi="Arial" w:cs="Arial"/>
          <w:color w:val="000000"/>
          <w:sz w:val="22"/>
          <w:szCs w:val="22"/>
          <w:highlight w:val="yellow"/>
          <w:lang w:val="en-GB" w:eastAsia="en-GB"/>
        </w:rPr>
        <w:t>.</w:t>
      </w:r>
      <w:r w:rsidRPr="00457218">
        <w:rPr>
          <w:rFonts w:ascii="Arial" w:hAnsi="Arial" w:cs="Arial"/>
          <w:color w:val="000000"/>
          <w:sz w:val="22"/>
          <w:szCs w:val="22"/>
          <w:highlight w:val="yellow"/>
          <w:lang w:val="en-GB" w:eastAsia="en-GB"/>
        </w:rPr>
        <w:t>”</w:t>
      </w:r>
    </w:p>
    <w:p w14:paraId="36CAECFD" w14:textId="77777777" w:rsidR="0040710D" w:rsidRPr="00457218" w:rsidRDefault="0040710D" w:rsidP="0040710D">
      <w:pPr>
        <w:jc w:val="both"/>
        <w:rPr>
          <w:rFonts w:ascii="Arial" w:hAnsi="Arial" w:cs="Arial"/>
          <w:color w:val="000000"/>
          <w:sz w:val="22"/>
          <w:szCs w:val="22"/>
          <w:highlight w:val="yellow"/>
          <w:lang w:val="en-GB" w:eastAsia="en-GB"/>
        </w:rPr>
      </w:pPr>
      <w:bookmarkStart w:id="26" w:name="para38"/>
    </w:p>
    <w:p w14:paraId="7813AF9C" w14:textId="3F78BB40" w:rsidR="008A7470" w:rsidRPr="00457218" w:rsidRDefault="008A7470" w:rsidP="0040710D">
      <w:pPr>
        <w:jc w:val="both"/>
        <w:rPr>
          <w:rFonts w:ascii="Arial" w:hAnsi="Arial" w:cs="Arial"/>
          <w:color w:val="000000"/>
          <w:sz w:val="22"/>
          <w:szCs w:val="22"/>
          <w:highlight w:val="yellow"/>
          <w:lang w:val="en-GB" w:eastAsia="en-GB"/>
        </w:rPr>
      </w:pPr>
      <w:r w:rsidRPr="00457218">
        <w:rPr>
          <w:rFonts w:ascii="Arial" w:hAnsi="Arial" w:cs="Arial"/>
          <w:color w:val="000000"/>
          <w:sz w:val="22"/>
          <w:szCs w:val="22"/>
          <w:highlight w:val="yellow"/>
          <w:lang w:val="en-GB" w:eastAsia="en-GB"/>
        </w:rPr>
        <w:t>Those operations included:</w:t>
      </w:r>
      <w:bookmarkEnd w:id="26"/>
    </w:p>
    <w:p w14:paraId="15B4651D" w14:textId="77777777" w:rsidR="0040710D" w:rsidRPr="00457218" w:rsidRDefault="0040710D" w:rsidP="0040710D">
      <w:pPr>
        <w:jc w:val="both"/>
        <w:rPr>
          <w:rFonts w:ascii="Arial" w:hAnsi="Arial" w:cs="Arial"/>
          <w:color w:val="000000"/>
          <w:sz w:val="22"/>
          <w:szCs w:val="22"/>
          <w:highlight w:val="yellow"/>
          <w:lang w:val="en-GB" w:eastAsia="en-GB"/>
        </w:rPr>
      </w:pPr>
    </w:p>
    <w:p w14:paraId="2644FB5E" w14:textId="2816677E" w:rsidR="008A7470" w:rsidRPr="00457218" w:rsidRDefault="008A7470" w:rsidP="00A212A5">
      <w:pPr>
        <w:pStyle w:val="ListParagraph"/>
        <w:numPr>
          <w:ilvl w:val="0"/>
          <w:numId w:val="14"/>
        </w:numPr>
        <w:ind w:left="426"/>
        <w:jc w:val="both"/>
        <w:rPr>
          <w:rFonts w:ascii="Arial" w:hAnsi="Arial" w:cs="Arial"/>
          <w:color w:val="000000"/>
          <w:sz w:val="22"/>
          <w:szCs w:val="22"/>
          <w:highlight w:val="yellow"/>
          <w:lang w:val="en-GB" w:eastAsia="en-GB"/>
        </w:rPr>
      </w:pPr>
      <w:r w:rsidRPr="00457218">
        <w:rPr>
          <w:rFonts w:ascii="Arial" w:hAnsi="Arial" w:cs="Arial"/>
          <w:color w:val="000000"/>
          <w:sz w:val="22"/>
          <w:szCs w:val="22"/>
          <w:highlight w:val="yellow"/>
          <w:lang w:val="en-GB" w:eastAsia="en-GB"/>
        </w:rPr>
        <w:t>a breach, for eight consecutive reporting periods, of the NB</w:t>
      </w:r>
      <w:r w:rsidR="001747C2" w:rsidRPr="00457218">
        <w:rPr>
          <w:rFonts w:ascii="Arial" w:hAnsi="Arial" w:cs="Arial"/>
          <w:color w:val="000000"/>
          <w:sz w:val="22"/>
          <w:szCs w:val="22"/>
          <w:highlight w:val="yellow"/>
          <w:lang w:val="en-GB" w:eastAsia="en-GB"/>
        </w:rPr>
        <w:t>’</w:t>
      </w:r>
      <w:r w:rsidRPr="00457218">
        <w:rPr>
          <w:rFonts w:ascii="Arial" w:hAnsi="Arial" w:cs="Arial"/>
          <w:color w:val="000000"/>
          <w:sz w:val="22"/>
          <w:szCs w:val="22"/>
          <w:highlight w:val="yellow"/>
          <w:lang w:val="en-GB" w:eastAsia="en-GB"/>
        </w:rPr>
        <w:t>s minimum capital requirements;</w:t>
      </w:r>
    </w:p>
    <w:p w14:paraId="60A44689" w14:textId="77777777" w:rsidR="0040710D" w:rsidRPr="00457218" w:rsidRDefault="0040710D" w:rsidP="0040710D">
      <w:pPr>
        <w:jc w:val="both"/>
        <w:rPr>
          <w:rFonts w:ascii="Arial" w:hAnsi="Arial" w:cs="Arial"/>
          <w:color w:val="000000"/>
          <w:sz w:val="22"/>
          <w:szCs w:val="22"/>
          <w:highlight w:val="yellow"/>
          <w:lang w:val="en-GB" w:eastAsia="en-GB"/>
        </w:rPr>
      </w:pPr>
    </w:p>
    <w:p w14:paraId="3F6C1D31" w14:textId="600CF67B" w:rsidR="008A7470" w:rsidRPr="00457218" w:rsidRDefault="00424D07" w:rsidP="00A212A5">
      <w:pPr>
        <w:pStyle w:val="ListParagraph"/>
        <w:numPr>
          <w:ilvl w:val="0"/>
          <w:numId w:val="14"/>
        </w:numPr>
        <w:ind w:left="426"/>
        <w:jc w:val="both"/>
        <w:rPr>
          <w:rFonts w:ascii="Arial" w:hAnsi="Arial" w:cs="Arial"/>
          <w:color w:val="000000"/>
          <w:sz w:val="22"/>
          <w:szCs w:val="22"/>
          <w:highlight w:val="yellow"/>
          <w:lang w:val="en-GB" w:eastAsia="en-GB"/>
        </w:rPr>
      </w:pPr>
      <w:r w:rsidRPr="00457218">
        <w:rPr>
          <w:rFonts w:ascii="Arial" w:hAnsi="Arial" w:cs="Arial"/>
          <w:color w:val="000000"/>
          <w:sz w:val="22"/>
          <w:szCs w:val="22"/>
          <w:highlight w:val="yellow"/>
          <w:lang w:val="en-GB" w:eastAsia="en-GB"/>
        </w:rPr>
        <w:t>10</w:t>
      </w:r>
      <w:r w:rsidR="008A7470" w:rsidRPr="00457218">
        <w:rPr>
          <w:rFonts w:ascii="Arial" w:hAnsi="Arial" w:cs="Arial"/>
          <w:color w:val="000000"/>
          <w:sz w:val="22"/>
          <w:szCs w:val="22"/>
          <w:highlight w:val="yellow"/>
          <w:lang w:val="en-GB" w:eastAsia="en-GB"/>
        </w:rPr>
        <w:t xml:space="preserve"> months of loss-making activities;</w:t>
      </w:r>
    </w:p>
    <w:p w14:paraId="4CA72DCB" w14:textId="77777777" w:rsidR="0040710D" w:rsidRPr="00457218" w:rsidRDefault="0040710D" w:rsidP="0040710D">
      <w:pPr>
        <w:jc w:val="both"/>
        <w:rPr>
          <w:rFonts w:ascii="Arial" w:hAnsi="Arial" w:cs="Arial"/>
          <w:color w:val="000000"/>
          <w:sz w:val="22"/>
          <w:szCs w:val="22"/>
          <w:highlight w:val="yellow"/>
          <w:lang w:val="en-GB" w:eastAsia="en-GB"/>
        </w:rPr>
      </w:pPr>
    </w:p>
    <w:p w14:paraId="31A8A4B0" w14:textId="4494B331" w:rsidR="008A7470" w:rsidRPr="00457218" w:rsidRDefault="008A7470" w:rsidP="00A212A5">
      <w:pPr>
        <w:pStyle w:val="ListParagraph"/>
        <w:numPr>
          <w:ilvl w:val="0"/>
          <w:numId w:val="14"/>
        </w:numPr>
        <w:ind w:left="426"/>
        <w:jc w:val="both"/>
        <w:rPr>
          <w:rFonts w:ascii="Arial" w:hAnsi="Arial" w:cs="Arial"/>
          <w:color w:val="000000"/>
          <w:sz w:val="22"/>
          <w:szCs w:val="22"/>
          <w:highlight w:val="yellow"/>
          <w:lang w:val="en-GB" w:eastAsia="en-GB"/>
        </w:rPr>
      </w:pPr>
      <w:r w:rsidRPr="00457218">
        <w:rPr>
          <w:rFonts w:ascii="Arial" w:hAnsi="Arial" w:cs="Arial"/>
          <w:color w:val="000000"/>
          <w:sz w:val="22"/>
          <w:szCs w:val="22"/>
          <w:highlight w:val="yellow"/>
          <w:lang w:val="en-GB" w:eastAsia="en-GB"/>
        </w:rPr>
        <w:t>a reduction in its holding of highly liquid assets;</w:t>
      </w:r>
    </w:p>
    <w:p w14:paraId="17AB2E9A" w14:textId="77777777" w:rsidR="0040710D" w:rsidRPr="00457218" w:rsidRDefault="0040710D" w:rsidP="0040710D">
      <w:pPr>
        <w:jc w:val="both"/>
        <w:rPr>
          <w:rFonts w:ascii="Arial" w:hAnsi="Arial" w:cs="Arial"/>
          <w:color w:val="000000"/>
          <w:sz w:val="22"/>
          <w:szCs w:val="22"/>
          <w:highlight w:val="yellow"/>
          <w:lang w:val="en-GB" w:eastAsia="en-GB"/>
        </w:rPr>
      </w:pPr>
    </w:p>
    <w:p w14:paraId="2DC2BD25" w14:textId="1D278E95" w:rsidR="008A7470" w:rsidRPr="00457218" w:rsidRDefault="008A7470" w:rsidP="00A212A5">
      <w:pPr>
        <w:pStyle w:val="ListParagraph"/>
        <w:numPr>
          <w:ilvl w:val="0"/>
          <w:numId w:val="14"/>
        </w:numPr>
        <w:ind w:left="426"/>
        <w:jc w:val="both"/>
        <w:rPr>
          <w:rFonts w:ascii="Arial" w:hAnsi="Arial" w:cs="Arial"/>
          <w:color w:val="000000"/>
          <w:sz w:val="22"/>
          <w:szCs w:val="22"/>
          <w:highlight w:val="yellow"/>
          <w:lang w:val="en-GB" w:eastAsia="en-GB"/>
        </w:rPr>
      </w:pPr>
      <w:r w:rsidRPr="00457218">
        <w:rPr>
          <w:rFonts w:ascii="Arial" w:hAnsi="Arial" w:cs="Arial"/>
          <w:color w:val="000000"/>
          <w:sz w:val="22"/>
          <w:szCs w:val="22"/>
          <w:highlight w:val="yellow"/>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457218" w:rsidRDefault="008A7470" w:rsidP="00A212A5">
      <w:pPr>
        <w:pStyle w:val="ListParagraph"/>
        <w:numPr>
          <w:ilvl w:val="0"/>
          <w:numId w:val="14"/>
        </w:numPr>
        <w:ind w:left="426"/>
        <w:jc w:val="both"/>
        <w:rPr>
          <w:rFonts w:ascii="Arial" w:hAnsi="Arial" w:cs="Arial"/>
          <w:color w:val="000000"/>
          <w:sz w:val="22"/>
          <w:szCs w:val="22"/>
          <w:highlight w:val="yellow"/>
          <w:lang w:val="en-GB" w:eastAsia="en-GB"/>
        </w:rPr>
      </w:pPr>
      <w:r w:rsidRPr="00457218">
        <w:rPr>
          <w:rFonts w:ascii="Arial" w:hAnsi="Arial" w:cs="Arial"/>
          <w:color w:val="000000"/>
          <w:sz w:val="22"/>
          <w:szCs w:val="22"/>
          <w:highlight w:val="yellow"/>
          <w:lang w:val="en-GB" w:eastAsia="en-GB"/>
        </w:rPr>
        <w:t>48% of the Bank</w:t>
      </w:r>
      <w:r w:rsidR="001747C2" w:rsidRPr="00457218">
        <w:rPr>
          <w:rFonts w:ascii="Arial" w:hAnsi="Arial" w:cs="Arial"/>
          <w:color w:val="000000"/>
          <w:sz w:val="22"/>
          <w:szCs w:val="22"/>
          <w:highlight w:val="yellow"/>
          <w:lang w:val="en-GB" w:eastAsia="en-GB"/>
        </w:rPr>
        <w:t>’</w:t>
      </w:r>
      <w:r w:rsidRPr="00457218">
        <w:rPr>
          <w:rFonts w:ascii="Arial" w:hAnsi="Arial" w:cs="Arial"/>
          <w:color w:val="000000"/>
          <w:sz w:val="22"/>
          <w:szCs w:val="22"/>
          <w:highlight w:val="yellow"/>
          <w:lang w:val="en-GB" w:eastAsia="en-GB"/>
        </w:rPr>
        <w:t xml:space="preserve">s liabilities being dependent on individuals and a significant increase in </w:t>
      </w:r>
      <w:r w:rsidR="001747C2" w:rsidRPr="00457218">
        <w:rPr>
          <w:rFonts w:ascii="Arial" w:hAnsi="Arial" w:cs="Arial"/>
          <w:color w:val="000000"/>
          <w:sz w:val="22"/>
          <w:szCs w:val="22"/>
          <w:highlight w:val="yellow"/>
          <w:lang w:val="en-GB" w:eastAsia="en-GB"/>
        </w:rPr>
        <w:t>“</w:t>
      </w:r>
      <w:r w:rsidRPr="00457218">
        <w:rPr>
          <w:rFonts w:ascii="Arial" w:hAnsi="Arial" w:cs="Arial"/>
          <w:color w:val="000000"/>
          <w:sz w:val="22"/>
          <w:szCs w:val="22"/>
          <w:highlight w:val="yellow"/>
          <w:lang w:val="en-GB" w:eastAsia="en-GB"/>
        </w:rPr>
        <w:t>adversely classified assets</w:t>
      </w:r>
      <w:r w:rsidR="001747C2" w:rsidRPr="00457218">
        <w:rPr>
          <w:rFonts w:ascii="Arial" w:hAnsi="Arial" w:cs="Arial"/>
          <w:color w:val="000000"/>
          <w:sz w:val="22"/>
          <w:szCs w:val="22"/>
          <w:highlight w:val="yellow"/>
          <w:lang w:val="en-GB" w:eastAsia="en-GB"/>
        </w:rPr>
        <w:t>”</w:t>
      </w:r>
      <w:r w:rsidRPr="00457218">
        <w:rPr>
          <w:rFonts w:ascii="Arial" w:hAnsi="Arial" w:cs="Arial"/>
          <w:color w:val="000000"/>
          <w:sz w:val="22"/>
          <w:szCs w:val="22"/>
          <w:highlight w:val="yellow"/>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3B8815C7" w14:textId="77777777" w:rsidR="000F1195" w:rsidRDefault="000F1195" w:rsidP="008A7470">
      <w:pPr>
        <w:jc w:val="both"/>
        <w:rPr>
          <w:rFonts w:ascii="Arial" w:hAnsi="Arial" w:cs="Arial"/>
          <w:b/>
          <w:bCs/>
          <w:sz w:val="22"/>
          <w:szCs w:val="22"/>
          <w:lang w:val="en-GB"/>
        </w:rPr>
      </w:pPr>
    </w:p>
    <w:p w14:paraId="5199ECB1" w14:textId="269EF775"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361F49F3" w14:textId="50E43D2B" w:rsidR="00E629A1" w:rsidRPr="00E629A1" w:rsidRDefault="00E629A1" w:rsidP="00E629A1">
      <w:pPr>
        <w:pStyle w:val="ListParagraph"/>
        <w:numPr>
          <w:ilvl w:val="0"/>
          <w:numId w:val="23"/>
        </w:numPr>
        <w:ind w:left="709" w:hanging="709"/>
        <w:jc w:val="both"/>
        <w:rPr>
          <w:rFonts w:ascii="Arial" w:hAnsi="Arial" w:cs="Arial"/>
          <w:color w:val="7B7B7B" w:themeColor="accent3" w:themeShade="BF"/>
          <w:sz w:val="22"/>
          <w:szCs w:val="22"/>
          <w:lang w:val="en-GB"/>
        </w:rPr>
      </w:pPr>
      <w:r w:rsidRPr="00E629A1">
        <w:rPr>
          <w:rFonts w:ascii="Arial" w:hAnsi="Arial" w:cs="Arial"/>
          <w:color w:val="7B7B7B" w:themeColor="accent3" w:themeShade="BF"/>
          <w:sz w:val="22"/>
          <w:szCs w:val="22"/>
          <w:lang w:val="en-GB"/>
        </w:rPr>
        <w:t>Foreign proceedings (4.1.1):</w:t>
      </w:r>
    </w:p>
    <w:p w14:paraId="6964ACDE" w14:textId="77777777" w:rsidR="00E629A1" w:rsidRPr="004B3B45" w:rsidRDefault="00E629A1" w:rsidP="00E629A1">
      <w:pPr>
        <w:jc w:val="both"/>
        <w:rPr>
          <w:rFonts w:ascii="Arial" w:hAnsi="Arial" w:cs="Arial"/>
          <w:color w:val="7B7B7B" w:themeColor="accent3" w:themeShade="BF"/>
          <w:sz w:val="22"/>
          <w:szCs w:val="22"/>
          <w:lang w:val="en-GB"/>
        </w:rPr>
      </w:pPr>
    </w:p>
    <w:p w14:paraId="5648A653" w14:textId="77777777" w:rsidR="00E629A1" w:rsidRDefault="00E629A1" w:rsidP="00E629A1">
      <w:pPr>
        <w:ind w:left="709"/>
        <w:jc w:val="both"/>
        <w:rPr>
          <w:rFonts w:ascii="Arial" w:hAnsi="Arial" w:cs="Arial"/>
          <w:color w:val="7B7B7B" w:themeColor="accent3" w:themeShade="BF"/>
          <w:sz w:val="22"/>
          <w:szCs w:val="22"/>
          <w:lang w:val="en-GB"/>
        </w:rPr>
      </w:pPr>
      <w:r w:rsidRPr="004B3B45">
        <w:rPr>
          <w:rFonts w:ascii="Arial" w:hAnsi="Arial" w:cs="Arial"/>
          <w:color w:val="7B7B7B" w:themeColor="accent3" w:themeShade="BF"/>
          <w:sz w:val="22"/>
          <w:szCs w:val="22"/>
          <w:lang w:val="en-GB"/>
        </w:rPr>
        <w:t xml:space="preserve">According to </w:t>
      </w:r>
      <w:r>
        <w:rPr>
          <w:rFonts w:ascii="Arial" w:hAnsi="Arial" w:cs="Arial"/>
          <w:color w:val="7B7B7B" w:themeColor="accent3" w:themeShade="BF"/>
          <w:sz w:val="22"/>
          <w:szCs w:val="22"/>
          <w:lang w:val="en-GB"/>
        </w:rPr>
        <w:t xml:space="preserve">the definitions made in </w:t>
      </w:r>
      <w:r w:rsidRPr="004B3B45">
        <w:rPr>
          <w:rFonts w:ascii="Arial" w:hAnsi="Arial" w:cs="Arial"/>
          <w:color w:val="7B7B7B" w:themeColor="accent3" w:themeShade="BF"/>
          <w:sz w:val="22"/>
          <w:szCs w:val="22"/>
          <w:lang w:val="en-GB"/>
        </w:rPr>
        <w:t>Article 2 of the Model law,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Pr>
          <w:rFonts w:ascii="Arial" w:hAnsi="Arial" w:cs="Arial"/>
          <w:color w:val="7B7B7B" w:themeColor="accent3" w:themeShade="BF"/>
          <w:sz w:val="22"/>
          <w:szCs w:val="22"/>
          <w:lang w:val="en-GB"/>
        </w:rPr>
        <w:t xml:space="preserve"> The definitions of these elements have been tested recently in decisions of English courts (</w:t>
      </w:r>
      <w:proofErr w:type="spellStart"/>
      <w:r>
        <w:rPr>
          <w:rFonts w:ascii="Arial" w:hAnsi="Arial" w:cs="Arial"/>
          <w:color w:val="7B7B7B" w:themeColor="accent3" w:themeShade="BF"/>
          <w:sz w:val="22"/>
          <w:szCs w:val="22"/>
          <w:lang w:val="en-GB"/>
        </w:rPr>
        <w:t>Agrokor</w:t>
      </w:r>
      <w:proofErr w:type="spellEnd"/>
      <w:r>
        <w:rPr>
          <w:rFonts w:ascii="Arial" w:hAnsi="Arial" w:cs="Arial"/>
          <w:color w:val="7B7B7B" w:themeColor="accent3" w:themeShade="BF"/>
          <w:sz w:val="22"/>
          <w:szCs w:val="22"/>
          <w:lang w:val="en-GB"/>
        </w:rPr>
        <w:t xml:space="preserve"> cases), in which the English courts have applied a very broad interpretation of these definitions, enacted in the U.K. in </w:t>
      </w:r>
      <w:r w:rsidRPr="005F7C68">
        <w:rPr>
          <w:rFonts w:ascii="Arial" w:hAnsi="Arial" w:cs="Arial"/>
          <w:color w:val="7B7B7B" w:themeColor="accent3" w:themeShade="BF"/>
          <w:sz w:val="22"/>
          <w:szCs w:val="22"/>
          <w:lang w:val="en-GB"/>
        </w:rPr>
        <w:t>the Cross-Border Insolvency Regulations 2006 (“CBIR”), which implements the Model Law</w:t>
      </w:r>
      <w:r>
        <w:rPr>
          <w:rFonts w:ascii="Arial" w:hAnsi="Arial" w:cs="Arial"/>
          <w:color w:val="7B7B7B" w:themeColor="accent3" w:themeShade="BF"/>
          <w:sz w:val="22"/>
          <w:szCs w:val="22"/>
          <w:lang w:val="en-GB"/>
        </w:rPr>
        <w:t xml:space="preserve">. </w:t>
      </w:r>
    </w:p>
    <w:p w14:paraId="3C21AAA6" w14:textId="77777777" w:rsidR="00E629A1" w:rsidRDefault="00E629A1" w:rsidP="00E629A1">
      <w:pPr>
        <w:ind w:left="709"/>
        <w:jc w:val="both"/>
        <w:rPr>
          <w:rFonts w:ascii="Arial" w:hAnsi="Arial" w:cs="Arial"/>
          <w:color w:val="7B7B7B" w:themeColor="accent3" w:themeShade="BF"/>
          <w:sz w:val="22"/>
          <w:szCs w:val="22"/>
          <w:lang w:val="en-GB"/>
        </w:rPr>
      </w:pPr>
    </w:p>
    <w:p w14:paraId="729C7CBE" w14:textId="77777777" w:rsidR="00E629A1" w:rsidRPr="004B3B45" w:rsidRDefault="00E629A1" w:rsidP="00E629A1">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a view to the regulations of the Model Law and the reasoning of English courts in the aforementioned </w:t>
      </w:r>
      <w:proofErr w:type="spellStart"/>
      <w:r>
        <w:rPr>
          <w:rFonts w:ascii="Arial" w:hAnsi="Arial" w:cs="Arial"/>
          <w:color w:val="7B7B7B" w:themeColor="accent3" w:themeShade="BF"/>
          <w:sz w:val="22"/>
          <w:szCs w:val="22"/>
          <w:lang w:val="en-GB"/>
        </w:rPr>
        <w:t>Agrokor</w:t>
      </w:r>
      <w:proofErr w:type="spellEnd"/>
      <w:r>
        <w:rPr>
          <w:rFonts w:ascii="Arial" w:hAnsi="Arial" w:cs="Arial"/>
          <w:color w:val="7B7B7B" w:themeColor="accent3" w:themeShade="BF"/>
          <w:sz w:val="22"/>
          <w:szCs w:val="22"/>
          <w:lang w:val="en-GB"/>
        </w:rPr>
        <w:t xml:space="preserve"> cases, the classification of Bank’s liquidation as “foreign proceeding” may be assessed as follows: </w:t>
      </w:r>
    </w:p>
    <w:p w14:paraId="786A6813" w14:textId="77777777" w:rsidR="00E629A1" w:rsidRPr="004B3B45" w:rsidRDefault="00E629A1" w:rsidP="00E629A1">
      <w:pPr>
        <w:jc w:val="both"/>
        <w:rPr>
          <w:rFonts w:ascii="Arial" w:hAnsi="Arial" w:cs="Arial"/>
          <w:color w:val="7B7B7B" w:themeColor="accent3" w:themeShade="BF"/>
          <w:sz w:val="22"/>
          <w:szCs w:val="22"/>
          <w:lang w:val="en-GB"/>
        </w:rPr>
      </w:pPr>
    </w:p>
    <w:p w14:paraId="2527A634" w14:textId="77777777" w:rsidR="00E629A1" w:rsidRPr="004B3B45" w:rsidRDefault="00E629A1" w:rsidP="00E629A1">
      <w:pPr>
        <w:pStyle w:val="ListParagraph"/>
        <w:numPr>
          <w:ilvl w:val="0"/>
          <w:numId w:val="22"/>
        </w:numPr>
        <w:jc w:val="both"/>
        <w:rPr>
          <w:rFonts w:ascii="Arial" w:hAnsi="Arial" w:cs="Arial"/>
          <w:color w:val="7B7B7B" w:themeColor="accent3" w:themeShade="BF"/>
          <w:sz w:val="22"/>
          <w:szCs w:val="22"/>
          <w:lang w:val="en-GB"/>
        </w:rPr>
      </w:pPr>
      <w:r w:rsidRPr="004B3B45">
        <w:rPr>
          <w:rFonts w:ascii="Arial" w:hAnsi="Arial" w:cs="Arial"/>
          <w:color w:val="7B7B7B" w:themeColor="accent3" w:themeShade="BF"/>
          <w:sz w:val="22"/>
          <w:szCs w:val="22"/>
          <w:u w:val="single"/>
          <w:lang w:val="en-GB"/>
        </w:rPr>
        <w:t>Collective judicial or administrative proceeding</w:t>
      </w:r>
      <w:r w:rsidRPr="004B3B4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L</w:t>
      </w:r>
      <w:r w:rsidRPr="004B3B45">
        <w:rPr>
          <w:rFonts w:ascii="Arial" w:hAnsi="Arial" w:cs="Arial"/>
          <w:color w:val="7B7B7B" w:themeColor="accent3" w:themeShade="BF"/>
          <w:sz w:val="22"/>
          <w:szCs w:val="22"/>
          <w:lang w:val="en-GB"/>
        </w:rPr>
        <w:t>iquidation proceedings fall into the scope Art 2 of the Model Law. According to the UNCITRAL Guide to Enactment, the proceedings must be a collective one, meaning the proceedings shall concern all stakeholders of an insolvency proceeding.</w:t>
      </w:r>
    </w:p>
    <w:p w14:paraId="7D1FD1C2" w14:textId="77777777" w:rsidR="00E629A1" w:rsidRPr="004B3B45" w:rsidRDefault="00E629A1" w:rsidP="00E629A1">
      <w:pPr>
        <w:jc w:val="both"/>
        <w:rPr>
          <w:rFonts w:ascii="Arial" w:hAnsi="Arial" w:cs="Arial"/>
          <w:color w:val="7B7B7B" w:themeColor="accent3" w:themeShade="BF"/>
          <w:sz w:val="22"/>
          <w:szCs w:val="22"/>
          <w:lang w:val="en-GB"/>
        </w:rPr>
      </w:pPr>
    </w:p>
    <w:p w14:paraId="48BEFA82" w14:textId="77777777" w:rsidR="00E629A1" w:rsidRPr="004B3B45" w:rsidRDefault="00E629A1" w:rsidP="00E629A1">
      <w:pPr>
        <w:pStyle w:val="ListParagraph"/>
        <w:numPr>
          <w:ilvl w:val="0"/>
          <w:numId w:val="22"/>
        </w:numPr>
        <w:jc w:val="both"/>
        <w:rPr>
          <w:rFonts w:ascii="Arial" w:hAnsi="Arial" w:cs="Arial"/>
          <w:color w:val="7B7B7B" w:themeColor="accent3" w:themeShade="BF"/>
          <w:sz w:val="22"/>
          <w:szCs w:val="22"/>
          <w:lang w:val="en-GB"/>
        </w:rPr>
      </w:pPr>
      <w:r w:rsidRPr="004B3B45">
        <w:rPr>
          <w:rFonts w:ascii="Arial" w:hAnsi="Arial" w:cs="Arial"/>
          <w:color w:val="7B7B7B" w:themeColor="accent3" w:themeShade="BF"/>
          <w:sz w:val="22"/>
          <w:szCs w:val="22"/>
          <w:u w:val="single"/>
          <w:lang w:val="en-GB"/>
        </w:rPr>
        <w:t xml:space="preserve">Pursuant to a law relating to insolvency: </w:t>
      </w:r>
      <w:r w:rsidRPr="009C6FE1">
        <w:rPr>
          <w:rFonts w:ascii="Arial" w:hAnsi="Arial" w:cs="Arial"/>
          <w:color w:val="7B7B7B" w:themeColor="accent3" w:themeShade="BF"/>
          <w:sz w:val="22"/>
          <w:szCs w:val="22"/>
          <w:lang w:val="en-GB"/>
        </w:rPr>
        <w:t>In</w:t>
      </w:r>
      <w:r w:rsidRPr="005F7C68">
        <w:rPr>
          <w:rFonts w:ascii="Arial" w:hAnsi="Arial" w:cs="Arial"/>
          <w:color w:val="7B7B7B" w:themeColor="accent3" w:themeShade="BF"/>
          <w:sz w:val="22"/>
          <w:szCs w:val="22"/>
          <w:lang w:val="en-GB"/>
        </w:rPr>
        <w:t xml:space="preserve"> </w:t>
      </w:r>
      <w:r w:rsidRPr="004B3B45">
        <w:rPr>
          <w:rFonts w:ascii="Arial" w:hAnsi="Arial" w:cs="Arial"/>
          <w:color w:val="7B7B7B" w:themeColor="accent3" w:themeShade="BF"/>
          <w:sz w:val="22"/>
          <w:szCs w:val="22"/>
          <w:lang w:val="en-GB"/>
        </w:rPr>
        <w:t>the present case, the liquidation proceedings have not been conducted under the Law of Country A on Banks and Banking Activity (LBBA). The applicable law is not labelled as insolvency law, but it deals and addresses issues related to the insolvency of banks.</w:t>
      </w:r>
      <w:r>
        <w:rPr>
          <w:rFonts w:ascii="Arial" w:hAnsi="Arial" w:cs="Arial"/>
          <w:color w:val="7B7B7B" w:themeColor="accent3" w:themeShade="BF"/>
          <w:sz w:val="22"/>
          <w:szCs w:val="22"/>
          <w:lang w:val="en-GB"/>
        </w:rPr>
        <w:br/>
      </w:r>
    </w:p>
    <w:p w14:paraId="619D30F4" w14:textId="77777777" w:rsidR="00E629A1" w:rsidRPr="009C6FE1" w:rsidRDefault="00E629A1" w:rsidP="00E629A1">
      <w:pPr>
        <w:pStyle w:val="ListParagraph"/>
        <w:rPr>
          <w:rFonts w:ascii="Arial" w:hAnsi="Arial" w:cs="Arial"/>
          <w:color w:val="7B7B7B" w:themeColor="accent3" w:themeShade="BF"/>
          <w:sz w:val="22"/>
          <w:szCs w:val="22"/>
          <w:u w:val="single"/>
          <w:lang w:val="en-GB"/>
        </w:rPr>
      </w:pPr>
    </w:p>
    <w:p w14:paraId="666BF7C6" w14:textId="77777777" w:rsidR="00E629A1" w:rsidRPr="004B3B45" w:rsidRDefault="00E629A1" w:rsidP="00E629A1">
      <w:pPr>
        <w:pStyle w:val="ListParagraph"/>
        <w:numPr>
          <w:ilvl w:val="0"/>
          <w:numId w:val="22"/>
        </w:numPr>
        <w:jc w:val="both"/>
        <w:rPr>
          <w:rFonts w:ascii="Arial" w:hAnsi="Arial" w:cs="Arial"/>
          <w:color w:val="7B7B7B" w:themeColor="accent3" w:themeShade="BF"/>
          <w:sz w:val="22"/>
          <w:szCs w:val="22"/>
          <w:lang w:val="en-GB"/>
        </w:rPr>
      </w:pPr>
      <w:r w:rsidRPr="004B3B45">
        <w:rPr>
          <w:rFonts w:ascii="Arial" w:hAnsi="Arial" w:cs="Arial"/>
          <w:color w:val="7B7B7B" w:themeColor="accent3" w:themeShade="BF"/>
          <w:sz w:val="22"/>
          <w:szCs w:val="22"/>
          <w:u w:val="single"/>
          <w:lang w:val="en-GB"/>
        </w:rPr>
        <w:t>Control or supervision by a foreign court:</w:t>
      </w:r>
      <w:r w:rsidRPr="004B3B45">
        <w:rPr>
          <w:rFonts w:ascii="Arial" w:hAnsi="Arial" w:cs="Arial"/>
          <w:color w:val="7B7B7B" w:themeColor="accent3" w:themeShade="BF"/>
          <w:sz w:val="22"/>
          <w:szCs w:val="22"/>
          <w:lang w:val="en-GB"/>
        </w:rPr>
        <w:t xml:space="preserve"> The Deposit Guarantee Fund (DGF), a governmental body of Country A controls the debtor’s assets and supervises the liquidations proceedings. According to the UNCITRAL Guide to Enactment, control or supervision may be exercised not only directly by the court but also by an insolvency representative […]. Mere supervision of an insolvency representative by a licensing authority would not be sufficient. In the case hand, DGF is controlling and supervising the liquidation proceedings without the participation of an insolvency court, which is </w:t>
      </w:r>
      <w:r>
        <w:rPr>
          <w:rFonts w:ascii="Arial" w:hAnsi="Arial" w:cs="Arial"/>
          <w:color w:val="7B7B7B" w:themeColor="accent3" w:themeShade="BF"/>
          <w:sz w:val="22"/>
          <w:szCs w:val="22"/>
          <w:lang w:val="en-GB"/>
        </w:rPr>
        <w:t xml:space="preserve">somewhat </w:t>
      </w:r>
      <w:r w:rsidRPr="004B3B45">
        <w:rPr>
          <w:rFonts w:ascii="Arial" w:hAnsi="Arial" w:cs="Arial"/>
          <w:color w:val="7B7B7B" w:themeColor="accent3" w:themeShade="BF"/>
          <w:sz w:val="22"/>
          <w:szCs w:val="22"/>
          <w:lang w:val="en-GB"/>
        </w:rPr>
        <w:t xml:space="preserve">problematic. Further, </w:t>
      </w:r>
      <w:r>
        <w:rPr>
          <w:rFonts w:ascii="Arial" w:hAnsi="Arial" w:cs="Arial"/>
          <w:color w:val="7B7B7B" w:themeColor="accent3" w:themeShade="BF"/>
          <w:sz w:val="22"/>
          <w:szCs w:val="22"/>
          <w:lang w:val="en-GB"/>
        </w:rPr>
        <w:t>d</w:t>
      </w:r>
      <w:r w:rsidRPr="004B3B45">
        <w:rPr>
          <w:rFonts w:ascii="Arial" w:hAnsi="Arial" w:cs="Arial"/>
          <w:color w:val="7B7B7B" w:themeColor="accent3" w:themeShade="BF"/>
          <w:sz w:val="22"/>
          <w:szCs w:val="22"/>
          <w:lang w:val="en-GB"/>
        </w:rPr>
        <w:t>ue to the fact that the main activity of DGF is to provide insurance to bank depositors in Country A, which activity is not primarily linked with the banking system. As a result, it could be argued that DGF is a licensed authority in the meaning of the UNICITRAL Guide to Enactment and thus its controlling and supervising activity over the assets of the Bank is not in compliance with the criteria of “control and supervision”.</w:t>
      </w:r>
      <w:r>
        <w:rPr>
          <w:rFonts w:ascii="Arial" w:hAnsi="Arial" w:cs="Arial"/>
          <w:color w:val="7B7B7B" w:themeColor="accent3" w:themeShade="BF"/>
          <w:sz w:val="22"/>
          <w:szCs w:val="22"/>
          <w:lang w:val="en-GB"/>
        </w:rPr>
        <w:t xml:space="preserve"> However, the English courts in the </w:t>
      </w:r>
      <w:proofErr w:type="spellStart"/>
      <w:r>
        <w:rPr>
          <w:rFonts w:ascii="Arial" w:hAnsi="Arial" w:cs="Arial"/>
          <w:color w:val="7B7B7B" w:themeColor="accent3" w:themeShade="BF"/>
          <w:sz w:val="22"/>
          <w:szCs w:val="22"/>
          <w:lang w:val="en-GB"/>
        </w:rPr>
        <w:t>Agrokor</w:t>
      </w:r>
      <w:proofErr w:type="spellEnd"/>
      <w:r>
        <w:rPr>
          <w:rFonts w:ascii="Arial" w:hAnsi="Arial" w:cs="Arial"/>
          <w:color w:val="7B7B7B" w:themeColor="accent3" w:themeShade="BF"/>
          <w:sz w:val="22"/>
          <w:szCs w:val="22"/>
          <w:lang w:val="en-GB"/>
        </w:rPr>
        <w:t xml:space="preserve"> cases have also stated clearly that t</w:t>
      </w:r>
      <w:r w:rsidRPr="00E1562D">
        <w:rPr>
          <w:rFonts w:ascii="Arial" w:hAnsi="Arial" w:cs="Arial"/>
          <w:color w:val="7B7B7B" w:themeColor="accent3" w:themeShade="BF"/>
          <w:sz w:val="22"/>
          <w:szCs w:val="22"/>
          <w:lang w:val="en-GB"/>
        </w:rPr>
        <w:t xml:space="preserve">he level of court supervision required by the Model Law is relatively low. </w:t>
      </w:r>
      <w:r>
        <w:rPr>
          <w:rFonts w:ascii="Arial" w:hAnsi="Arial" w:cs="Arial"/>
          <w:color w:val="7B7B7B" w:themeColor="accent3" w:themeShade="BF"/>
          <w:sz w:val="22"/>
          <w:szCs w:val="22"/>
          <w:lang w:val="en-GB"/>
        </w:rPr>
        <w:t xml:space="preserve">Moreover, the courts made clear that the court supervision can also </w:t>
      </w:r>
      <w:r w:rsidRPr="00E1562D">
        <w:rPr>
          <w:rFonts w:ascii="Arial" w:hAnsi="Arial" w:cs="Arial"/>
          <w:color w:val="7B7B7B" w:themeColor="accent3" w:themeShade="BF"/>
          <w:sz w:val="22"/>
          <w:szCs w:val="22"/>
          <w:lang w:val="en-GB"/>
        </w:rPr>
        <w:t>be potential, rather than actual and indirect rather than direct</w:t>
      </w:r>
      <w:r>
        <w:rPr>
          <w:rFonts w:ascii="Arial" w:hAnsi="Arial" w:cs="Arial"/>
          <w:color w:val="7B7B7B" w:themeColor="accent3" w:themeShade="BF"/>
          <w:sz w:val="22"/>
          <w:szCs w:val="22"/>
          <w:lang w:val="en-GB"/>
        </w:rPr>
        <w:t>, so the fact that under the “</w:t>
      </w:r>
      <w:r w:rsidRPr="00E1562D">
        <w:rPr>
          <w:rFonts w:ascii="Arial" w:hAnsi="Arial" w:cs="Arial"/>
          <w:color w:val="7B7B7B" w:themeColor="accent3" w:themeShade="BF"/>
          <w:sz w:val="22"/>
          <w:szCs w:val="22"/>
          <w:lang w:val="en-GB"/>
        </w:rPr>
        <w:t xml:space="preserve">Lex </w:t>
      </w:r>
      <w:proofErr w:type="spellStart"/>
      <w:r w:rsidRPr="00E1562D">
        <w:rPr>
          <w:rFonts w:ascii="Arial" w:hAnsi="Arial" w:cs="Arial"/>
          <w:color w:val="7B7B7B" w:themeColor="accent3" w:themeShade="BF"/>
          <w:sz w:val="22"/>
          <w:szCs w:val="22"/>
          <w:lang w:val="en-GB"/>
        </w:rPr>
        <w:t>Agrokor</w:t>
      </w:r>
      <w:proofErr w:type="spellEnd"/>
      <w:r>
        <w:rPr>
          <w:rFonts w:ascii="Arial" w:hAnsi="Arial" w:cs="Arial"/>
          <w:color w:val="7B7B7B" w:themeColor="accent3" w:themeShade="BF"/>
          <w:sz w:val="22"/>
          <w:szCs w:val="22"/>
          <w:lang w:val="en-GB"/>
        </w:rPr>
        <w:t xml:space="preserve">”, which was the </w:t>
      </w:r>
      <w:r>
        <w:rPr>
          <w:rFonts w:ascii="Arial" w:hAnsi="Arial" w:cs="Arial"/>
          <w:color w:val="7B7B7B" w:themeColor="accent3" w:themeShade="BF"/>
          <w:sz w:val="22"/>
          <w:szCs w:val="22"/>
          <w:lang w:val="en-GB"/>
        </w:rPr>
        <w:lastRenderedPageBreak/>
        <w:t xml:space="preserve">Croatian law assessed by English courts as “foreign law”, </w:t>
      </w:r>
      <w:r w:rsidRPr="00E1562D">
        <w:rPr>
          <w:rFonts w:ascii="Arial" w:hAnsi="Arial" w:cs="Arial"/>
          <w:color w:val="7B7B7B" w:themeColor="accent3" w:themeShade="BF"/>
          <w:sz w:val="22"/>
          <w:szCs w:val="22"/>
          <w:lang w:val="en-GB"/>
        </w:rPr>
        <w:t xml:space="preserve">some control </w:t>
      </w:r>
      <w:r>
        <w:rPr>
          <w:rFonts w:ascii="Arial" w:hAnsi="Arial" w:cs="Arial"/>
          <w:color w:val="7B7B7B" w:themeColor="accent3" w:themeShade="BF"/>
          <w:sz w:val="22"/>
          <w:szCs w:val="22"/>
          <w:lang w:val="en-GB"/>
        </w:rPr>
        <w:t xml:space="preserve">was given </w:t>
      </w:r>
      <w:r w:rsidRPr="00E1562D">
        <w:rPr>
          <w:rFonts w:ascii="Arial" w:hAnsi="Arial" w:cs="Arial"/>
          <w:color w:val="7B7B7B" w:themeColor="accent3" w:themeShade="BF"/>
          <w:sz w:val="22"/>
          <w:szCs w:val="22"/>
          <w:lang w:val="en-GB"/>
        </w:rPr>
        <w:t xml:space="preserve">to the Croatian government, did not negate the </w:t>
      </w:r>
      <w:r>
        <w:rPr>
          <w:rFonts w:ascii="Arial" w:hAnsi="Arial" w:cs="Arial"/>
          <w:color w:val="7B7B7B" w:themeColor="accent3" w:themeShade="BF"/>
          <w:sz w:val="22"/>
          <w:szCs w:val="22"/>
          <w:lang w:val="en-GB"/>
        </w:rPr>
        <w:t>“</w:t>
      </w:r>
      <w:r w:rsidRPr="00E1562D">
        <w:rPr>
          <w:rFonts w:ascii="Arial" w:hAnsi="Arial" w:cs="Arial"/>
          <w:color w:val="7B7B7B" w:themeColor="accent3" w:themeShade="BF"/>
          <w:sz w:val="22"/>
          <w:szCs w:val="22"/>
          <w:lang w:val="en-GB"/>
        </w:rPr>
        <w:t>supervision of the court</w:t>
      </w:r>
      <w:r>
        <w:rPr>
          <w:rFonts w:ascii="Arial" w:hAnsi="Arial" w:cs="Arial"/>
          <w:color w:val="7B7B7B" w:themeColor="accent3" w:themeShade="BF"/>
          <w:sz w:val="22"/>
          <w:szCs w:val="22"/>
          <w:lang w:val="en-GB"/>
        </w:rPr>
        <w:t xml:space="preserve">”. Based on these interpretations it can therefore be assumed that the requirement of supervision by a court is also fulfilled.   </w:t>
      </w:r>
    </w:p>
    <w:p w14:paraId="570D5FCA" w14:textId="77777777" w:rsidR="00E629A1" w:rsidRPr="005358F9" w:rsidRDefault="00E629A1" w:rsidP="00E629A1">
      <w:pPr>
        <w:pStyle w:val="ListParagraph"/>
        <w:spacing w:before="100" w:beforeAutospacing="1" w:after="100" w:afterAutospacing="1"/>
        <w:ind w:left="1080"/>
        <w:jc w:val="both"/>
        <w:rPr>
          <w:rFonts w:ascii="Arial" w:hAnsi="Arial" w:cs="Arial"/>
          <w:b/>
          <w:bCs/>
          <w:sz w:val="22"/>
          <w:szCs w:val="22"/>
          <w:lang w:eastAsia="en-GB"/>
        </w:rPr>
      </w:pPr>
    </w:p>
    <w:p w14:paraId="79E81748" w14:textId="2C0F3B89" w:rsidR="00E629A1" w:rsidRPr="00E629A1" w:rsidRDefault="00E629A1" w:rsidP="00E629A1">
      <w:pPr>
        <w:pStyle w:val="ListParagraph"/>
        <w:numPr>
          <w:ilvl w:val="0"/>
          <w:numId w:val="22"/>
        </w:numPr>
        <w:jc w:val="both"/>
        <w:rPr>
          <w:rFonts w:ascii="Arial" w:hAnsi="Arial" w:cs="Arial"/>
          <w:color w:val="7B7B7B" w:themeColor="accent3" w:themeShade="BF"/>
          <w:sz w:val="22"/>
          <w:szCs w:val="22"/>
          <w:lang w:val="en-GB"/>
        </w:rPr>
      </w:pPr>
      <w:r w:rsidRPr="009D73C3">
        <w:rPr>
          <w:rFonts w:ascii="Arial" w:hAnsi="Arial" w:cs="Arial"/>
          <w:color w:val="7B7B7B" w:themeColor="accent3" w:themeShade="BF"/>
          <w:sz w:val="22"/>
          <w:szCs w:val="22"/>
          <w:u w:val="single"/>
          <w:lang w:val="en-GB"/>
        </w:rPr>
        <w:t>For the purpose of reorganization or liquidation</w:t>
      </w:r>
      <w:r w:rsidRPr="004B3B4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Pr="004B3B45">
        <w:rPr>
          <w:rFonts w:ascii="Arial" w:hAnsi="Arial" w:cs="Arial"/>
          <w:color w:val="7B7B7B" w:themeColor="accent3" w:themeShade="BF"/>
          <w:sz w:val="22"/>
          <w:szCs w:val="22"/>
          <w:lang w:val="en-GB"/>
        </w:rPr>
        <w:t xml:space="preserve">his </w:t>
      </w:r>
      <w:r>
        <w:rPr>
          <w:rFonts w:ascii="Arial" w:hAnsi="Arial" w:cs="Arial"/>
          <w:color w:val="7B7B7B" w:themeColor="accent3" w:themeShade="BF"/>
          <w:sz w:val="22"/>
          <w:szCs w:val="22"/>
          <w:lang w:val="en-GB"/>
        </w:rPr>
        <w:t>requirement seems to be</w:t>
      </w:r>
      <w:r w:rsidRPr="004B3B45">
        <w:rPr>
          <w:rFonts w:ascii="Arial" w:hAnsi="Arial" w:cs="Arial"/>
          <w:color w:val="7B7B7B" w:themeColor="accent3" w:themeShade="BF"/>
          <w:sz w:val="22"/>
          <w:szCs w:val="22"/>
          <w:lang w:val="en-GB"/>
        </w:rPr>
        <w:t xml:space="preserve"> unproblematic. </w:t>
      </w:r>
      <w:r>
        <w:rPr>
          <w:rFonts w:ascii="Arial" w:hAnsi="Arial" w:cs="Arial"/>
          <w:color w:val="7B7B7B" w:themeColor="accent3" w:themeShade="BF"/>
          <w:sz w:val="22"/>
          <w:szCs w:val="22"/>
          <w:lang w:val="en-GB"/>
        </w:rPr>
        <w:t xml:space="preserve">In the </w:t>
      </w:r>
      <w:proofErr w:type="spellStart"/>
      <w:r>
        <w:rPr>
          <w:rFonts w:ascii="Arial" w:hAnsi="Arial" w:cs="Arial"/>
          <w:color w:val="7B7B7B" w:themeColor="accent3" w:themeShade="BF"/>
          <w:sz w:val="22"/>
          <w:szCs w:val="22"/>
          <w:lang w:val="en-GB"/>
        </w:rPr>
        <w:t>Agrokor</w:t>
      </w:r>
      <w:proofErr w:type="spellEnd"/>
      <w:r>
        <w:rPr>
          <w:rFonts w:ascii="Arial" w:hAnsi="Arial" w:cs="Arial"/>
          <w:color w:val="7B7B7B" w:themeColor="accent3" w:themeShade="BF"/>
          <w:sz w:val="22"/>
          <w:szCs w:val="22"/>
          <w:lang w:val="en-GB"/>
        </w:rPr>
        <w:t xml:space="preserve"> cases, the English courts have made clear with regard to this requirement </w:t>
      </w:r>
      <w:r w:rsidRPr="00390B0D">
        <w:rPr>
          <w:rFonts w:ascii="Arial" w:hAnsi="Arial" w:cs="Arial"/>
          <w:color w:val="7B7B7B" w:themeColor="accent3" w:themeShade="BF"/>
          <w:sz w:val="22"/>
          <w:szCs w:val="22"/>
          <w:lang w:val="en-GB"/>
        </w:rPr>
        <w:t xml:space="preserve">that the purpose of the Lex </w:t>
      </w:r>
      <w:proofErr w:type="spellStart"/>
      <w:r w:rsidRPr="00390B0D">
        <w:rPr>
          <w:rFonts w:ascii="Arial" w:hAnsi="Arial" w:cs="Arial"/>
          <w:color w:val="7B7B7B" w:themeColor="accent3" w:themeShade="BF"/>
          <w:sz w:val="22"/>
          <w:szCs w:val="22"/>
          <w:lang w:val="en-GB"/>
        </w:rPr>
        <w:t>Agrokor</w:t>
      </w:r>
      <w:proofErr w:type="spellEnd"/>
      <w:r>
        <w:rPr>
          <w:rFonts w:ascii="Arial" w:hAnsi="Arial" w:cs="Arial"/>
          <w:color w:val="7B7B7B" w:themeColor="accent3" w:themeShade="BF"/>
          <w:sz w:val="22"/>
          <w:szCs w:val="22"/>
          <w:lang w:val="en-GB"/>
        </w:rPr>
        <w:t>, which</w:t>
      </w:r>
      <w:r w:rsidRPr="00390B0D">
        <w:rPr>
          <w:rFonts w:ascii="Arial" w:hAnsi="Arial" w:cs="Arial"/>
          <w:color w:val="7B7B7B" w:themeColor="accent3" w:themeShade="BF"/>
          <w:sz w:val="22"/>
          <w:szCs w:val="22"/>
          <w:lang w:val="en-GB"/>
        </w:rPr>
        <w:t xml:space="preserve"> was to protect the stability of the economic system against systemic shocks by enabling the restructuring of companies of systemic importance that get into financial difficulty</w:t>
      </w:r>
      <w:r>
        <w:rPr>
          <w:rFonts w:ascii="Arial" w:hAnsi="Arial" w:cs="Arial"/>
          <w:color w:val="7B7B7B" w:themeColor="accent3" w:themeShade="BF"/>
          <w:sz w:val="22"/>
          <w:szCs w:val="22"/>
          <w:lang w:val="en-GB"/>
        </w:rPr>
        <w:t>, was sufficient</w:t>
      </w:r>
      <w:r w:rsidRPr="00390B0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same reasoning can be applied to the purpose of the LBBA. This requirement is therefore</w:t>
      </w:r>
      <w:r w:rsidRPr="004B3B45">
        <w:rPr>
          <w:rFonts w:ascii="Arial" w:hAnsi="Arial" w:cs="Arial"/>
          <w:color w:val="7B7B7B" w:themeColor="accent3" w:themeShade="BF"/>
          <w:sz w:val="22"/>
          <w:szCs w:val="22"/>
          <w:lang w:val="en-GB"/>
        </w:rPr>
        <w:t xml:space="preserve"> fulfilled.</w:t>
      </w:r>
    </w:p>
    <w:p w14:paraId="57D21B64" w14:textId="77777777" w:rsidR="00E629A1" w:rsidRDefault="00E629A1" w:rsidP="00E629A1">
      <w:pPr>
        <w:jc w:val="both"/>
        <w:rPr>
          <w:rFonts w:ascii="Arial" w:hAnsi="Arial" w:cs="Arial"/>
          <w:sz w:val="22"/>
          <w:szCs w:val="22"/>
          <w:lang w:val="en-GB"/>
        </w:rPr>
      </w:pPr>
    </w:p>
    <w:p w14:paraId="3271BD72" w14:textId="77777777" w:rsidR="00E629A1" w:rsidRPr="00E629A1" w:rsidRDefault="00E629A1" w:rsidP="00E629A1">
      <w:pPr>
        <w:ind w:left="709"/>
        <w:jc w:val="both"/>
        <w:rPr>
          <w:rFonts w:ascii="Arial" w:hAnsi="Arial" w:cs="Arial"/>
          <w:color w:val="7B7B7B" w:themeColor="accent3" w:themeShade="BF"/>
          <w:sz w:val="22"/>
          <w:szCs w:val="22"/>
          <w:lang w:val="en-GB"/>
        </w:rPr>
      </w:pPr>
      <w:r w:rsidRPr="00E629A1">
        <w:rPr>
          <w:rFonts w:ascii="Arial" w:hAnsi="Arial" w:cs="Arial"/>
          <w:color w:val="7B7B7B" w:themeColor="accent3" w:themeShade="BF"/>
          <w:sz w:val="22"/>
          <w:szCs w:val="22"/>
          <w:lang w:val="en-GB"/>
        </w:rPr>
        <w:t>As result, it can therefore be assumed that the Bank’s liquidation proceedings under the LBBA comprise a “foreign proceeding” within the meaning of article 2(a) of the Model Law.</w:t>
      </w:r>
    </w:p>
    <w:p w14:paraId="507D8A64" w14:textId="77777777" w:rsidR="00E629A1" w:rsidRDefault="00E629A1" w:rsidP="00E629A1">
      <w:pPr>
        <w:autoSpaceDE w:val="0"/>
        <w:autoSpaceDN w:val="0"/>
        <w:adjustRightInd w:val="0"/>
        <w:spacing w:line="276" w:lineRule="auto"/>
        <w:jc w:val="both"/>
        <w:rPr>
          <w:rFonts w:ascii="Arial" w:hAnsi="Arial" w:cs="Arial"/>
          <w:sz w:val="22"/>
          <w:szCs w:val="22"/>
          <w:lang w:val="en-GB"/>
        </w:rPr>
      </w:pPr>
    </w:p>
    <w:p w14:paraId="7B32FF35" w14:textId="77777777" w:rsidR="00E629A1" w:rsidRPr="00E629A1" w:rsidRDefault="00E629A1" w:rsidP="00E629A1">
      <w:pPr>
        <w:pStyle w:val="ListParagraph"/>
        <w:numPr>
          <w:ilvl w:val="0"/>
          <w:numId w:val="23"/>
        </w:numPr>
        <w:ind w:left="709" w:hanging="709"/>
        <w:jc w:val="both"/>
        <w:rPr>
          <w:rFonts w:ascii="Arial" w:hAnsi="Arial" w:cs="Arial"/>
          <w:color w:val="7B7B7B" w:themeColor="accent3" w:themeShade="BF"/>
          <w:sz w:val="22"/>
          <w:szCs w:val="22"/>
          <w:lang w:val="en-GB"/>
        </w:rPr>
      </w:pPr>
      <w:r w:rsidRPr="00E629A1">
        <w:rPr>
          <w:rFonts w:ascii="Arial" w:hAnsi="Arial" w:cs="Arial"/>
          <w:color w:val="7B7B7B" w:themeColor="accent3" w:themeShade="BF"/>
          <w:sz w:val="22"/>
          <w:szCs w:val="22"/>
          <w:lang w:val="en-GB"/>
        </w:rPr>
        <w:t>Foreign representatives (4.1.2):</w:t>
      </w:r>
    </w:p>
    <w:p w14:paraId="6E758F22" w14:textId="77777777" w:rsidR="00E629A1" w:rsidRPr="00E629A1" w:rsidRDefault="00E629A1" w:rsidP="00E629A1">
      <w:pPr>
        <w:ind w:left="709"/>
        <w:jc w:val="both"/>
        <w:rPr>
          <w:rFonts w:ascii="Arial" w:hAnsi="Arial" w:cs="Arial"/>
          <w:color w:val="7B7B7B" w:themeColor="accent3" w:themeShade="BF"/>
          <w:sz w:val="22"/>
          <w:szCs w:val="22"/>
          <w:lang w:val="en-GB"/>
        </w:rPr>
      </w:pPr>
    </w:p>
    <w:p w14:paraId="2F01075C" w14:textId="77777777" w:rsidR="00E629A1" w:rsidRPr="00E629A1" w:rsidRDefault="00E629A1" w:rsidP="00E629A1">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regulations of </w:t>
      </w:r>
      <w:r w:rsidRPr="004B3B45">
        <w:rPr>
          <w:rFonts w:ascii="Arial" w:hAnsi="Arial" w:cs="Arial"/>
          <w:color w:val="7B7B7B" w:themeColor="accent3" w:themeShade="BF"/>
          <w:sz w:val="22"/>
          <w:szCs w:val="22"/>
          <w:lang w:val="en-GB"/>
        </w:rPr>
        <w:t xml:space="preserve">Article 2 of the Model </w:t>
      </w:r>
      <w:r>
        <w:rPr>
          <w:rFonts w:ascii="Arial" w:hAnsi="Arial" w:cs="Arial"/>
          <w:color w:val="7B7B7B" w:themeColor="accent3" w:themeShade="BF"/>
          <w:sz w:val="22"/>
          <w:szCs w:val="22"/>
          <w:lang w:val="en-GB"/>
        </w:rPr>
        <w:t>L</w:t>
      </w:r>
      <w:r w:rsidRPr="004B3B45">
        <w:rPr>
          <w:rFonts w:ascii="Arial" w:hAnsi="Arial" w:cs="Arial"/>
          <w:color w:val="7B7B7B" w:themeColor="accent3" w:themeShade="BF"/>
          <w:sz w:val="22"/>
          <w:szCs w:val="22"/>
          <w:lang w:val="en-GB"/>
        </w:rPr>
        <w:t>aw</w:t>
      </w:r>
      <w:r>
        <w:rPr>
          <w:rFonts w:ascii="Arial" w:hAnsi="Arial" w:cs="Arial"/>
          <w:color w:val="7B7B7B" w:themeColor="accent3" w:themeShade="BF"/>
          <w:sz w:val="22"/>
          <w:szCs w:val="22"/>
          <w:lang w:val="en-GB"/>
        </w:rPr>
        <w:t xml:space="preserve"> also contain the important definition of a </w:t>
      </w:r>
      <w:r w:rsidRPr="00E629A1">
        <w:rPr>
          <w:rFonts w:ascii="Arial" w:hAnsi="Arial" w:cs="Arial"/>
          <w:color w:val="7B7B7B" w:themeColor="accent3" w:themeShade="BF"/>
          <w:sz w:val="22"/>
          <w:szCs w:val="22"/>
          <w:lang w:val="en-GB"/>
        </w:rPr>
        <w:t xml:space="preserve">“foreign representative”, which is considered to be a person or body (including those of interim nature), who is authorised by “a judicial or other authority competent to control or supervise a foreign proceeding” in a foreign proceeding to administer the reorganisation or liquidation of the debtor’s assets or affairs, or to act as representative of the foreign proceeding. With a view to the regulations of the LBBA related to the role of the DGF and to and the concrete appointment of Ms </w:t>
      </w:r>
      <w:proofErr w:type="spellStart"/>
      <w:r w:rsidRPr="00E629A1">
        <w:rPr>
          <w:rFonts w:ascii="Arial" w:hAnsi="Arial" w:cs="Arial"/>
          <w:color w:val="7B7B7B" w:themeColor="accent3" w:themeShade="BF"/>
          <w:sz w:val="22"/>
          <w:szCs w:val="22"/>
          <w:lang w:val="en-GB"/>
        </w:rPr>
        <w:t>G as</w:t>
      </w:r>
      <w:proofErr w:type="spellEnd"/>
      <w:r w:rsidRPr="00E629A1">
        <w:rPr>
          <w:rFonts w:ascii="Arial" w:hAnsi="Arial" w:cs="Arial"/>
          <w:color w:val="7B7B7B" w:themeColor="accent3" w:themeShade="BF"/>
          <w:sz w:val="22"/>
          <w:szCs w:val="22"/>
          <w:lang w:val="en-GB"/>
        </w:rPr>
        <w:t xml:space="preserve"> authorized officer by Resolution 1513, the aforementioned requirements for classification as “foreign representative” seem to be fulfilled. The fast that the Resolution 1513 expressly excludes from Ms G’s authority the power to claim damages from a related party of the Bank does not put the classification of each the DGF and Ms G as “foreign representative” in question because the </w:t>
      </w:r>
      <w:r w:rsidRPr="004B3B45">
        <w:rPr>
          <w:rFonts w:ascii="Arial" w:hAnsi="Arial" w:cs="Arial"/>
          <w:color w:val="7B7B7B" w:themeColor="accent3" w:themeShade="BF"/>
          <w:sz w:val="22"/>
          <w:szCs w:val="22"/>
          <w:lang w:val="en-GB"/>
        </w:rPr>
        <w:t xml:space="preserve">Article 2 of the Model </w:t>
      </w:r>
      <w:r>
        <w:rPr>
          <w:rFonts w:ascii="Arial" w:hAnsi="Arial" w:cs="Arial"/>
          <w:color w:val="7B7B7B" w:themeColor="accent3" w:themeShade="BF"/>
          <w:sz w:val="22"/>
          <w:szCs w:val="22"/>
          <w:lang w:val="en-GB"/>
        </w:rPr>
        <w:t>L</w:t>
      </w:r>
      <w:r w:rsidRPr="004B3B45">
        <w:rPr>
          <w:rFonts w:ascii="Arial" w:hAnsi="Arial" w:cs="Arial"/>
          <w:color w:val="7B7B7B" w:themeColor="accent3" w:themeShade="BF"/>
          <w:sz w:val="22"/>
          <w:szCs w:val="22"/>
          <w:lang w:val="en-GB"/>
        </w:rPr>
        <w:t>aw</w:t>
      </w:r>
      <w:r>
        <w:rPr>
          <w:rFonts w:ascii="Arial" w:hAnsi="Arial" w:cs="Arial"/>
          <w:color w:val="7B7B7B" w:themeColor="accent3" w:themeShade="BF"/>
          <w:sz w:val="22"/>
          <w:szCs w:val="22"/>
          <w:lang w:val="en-GB"/>
        </w:rPr>
        <w:t xml:space="preserve"> expressly states that both, a person or a body, can be considered to be a representative. In conclusion, it can therefore be assumed </w:t>
      </w:r>
      <w:r w:rsidRPr="00A15792">
        <w:rPr>
          <w:rFonts w:ascii="Arial" w:hAnsi="Arial" w:cs="Arial"/>
          <w:color w:val="7B7B7B" w:themeColor="accent3" w:themeShade="BF"/>
          <w:sz w:val="22"/>
          <w:szCs w:val="22"/>
          <w:lang w:val="en-GB"/>
        </w:rPr>
        <w:t xml:space="preserve">that </w:t>
      </w:r>
      <w:r w:rsidRPr="00E629A1">
        <w:rPr>
          <w:rFonts w:ascii="Arial" w:hAnsi="Arial" w:cs="Arial"/>
          <w:color w:val="7B7B7B" w:themeColor="accent3" w:themeShade="BF"/>
          <w:sz w:val="22"/>
          <w:szCs w:val="22"/>
          <w:lang w:val="en-GB"/>
        </w:rPr>
        <w:t>the Applicants fall within the definition of “foreign representatives” as foreseen by Article 2(d) of the Model Law.</w:t>
      </w:r>
    </w:p>
    <w:p w14:paraId="70C6A8B6" w14:textId="558EAD19"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2A3E344F" w14:textId="232ECD82" w:rsidR="009B5832" w:rsidRPr="005C579A" w:rsidRDefault="00C606C3" w:rsidP="005C579A">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sectPr w:rsidR="009B5832" w:rsidRPr="005C579A"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4133" w14:textId="77777777" w:rsidR="00691E84" w:rsidRDefault="00691E84" w:rsidP="00241B44">
      <w:r>
        <w:separator/>
      </w:r>
    </w:p>
  </w:endnote>
  <w:endnote w:type="continuationSeparator" w:id="0">
    <w:p w14:paraId="4ECB161E" w14:textId="77777777" w:rsidR="00691E84" w:rsidRDefault="00691E8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Next">
    <w:altName w:val="Cambria"/>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57C76097" w:rsidR="0036760B" w:rsidRPr="00784B4B" w:rsidRDefault="00863DA5" w:rsidP="0036760B">
    <w:pPr>
      <w:pStyle w:val="Footer"/>
      <w:ind w:right="360" w:firstLine="360"/>
      <w:rPr>
        <w:rFonts w:ascii="Arial" w:hAnsi="Arial" w:cs="Arial"/>
        <w:sz w:val="18"/>
        <w:szCs w:val="18"/>
      </w:rPr>
    </w:pPr>
    <w:r w:rsidRPr="00863DA5">
      <w:rPr>
        <w:rFonts w:ascii="Arial" w:hAnsi="Arial" w:cs="Arial"/>
        <w:sz w:val="18"/>
        <w:szCs w:val="18"/>
      </w:rPr>
      <w:t>202122-602</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AD6D" w14:textId="77777777" w:rsidR="00863DA5" w:rsidRDefault="00863D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0BF6" w14:textId="77777777" w:rsidR="00691E84" w:rsidRDefault="00691E84" w:rsidP="00241B44">
      <w:r>
        <w:separator/>
      </w:r>
    </w:p>
  </w:footnote>
  <w:footnote w:type="continuationSeparator" w:id="0">
    <w:p w14:paraId="3FEFAC0C" w14:textId="77777777" w:rsidR="00691E84" w:rsidRDefault="00691E8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1FA9" w14:textId="77777777" w:rsidR="00863DA5" w:rsidRDefault="00863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EA26" w14:textId="77777777" w:rsidR="00863DA5" w:rsidRDefault="00863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E9DC" w14:textId="77777777" w:rsidR="00863DA5" w:rsidRDefault="00863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5A696A"/>
    <w:multiLevelType w:val="hybridMultilevel"/>
    <w:tmpl w:val="47A63B2E"/>
    <w:lvl w:ilvl="0" w:tplc="77045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35927"/>
    <w:multiLevelType w:val="hybridMultilevel"/>
    <w:tmpl w:val="213EB41E"/>
    <w:lvl w:ilvl="0" w:tplc="F6AEF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4B590F"/>
    <w:multiLevelType w:val="hybridMultilevel"/>
    <w:tmpl w:val="1BAE5636"/>
    <w:lvl w:ilvl="0" w:tplc="1AD82D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EC768E5"/>
    <w:multiLevelType w:val="hybridMultilevel"/>
    <w:tmpl w:val="D602A84A"/>
    <w:lvl w:ilvl="0" w:tplc="26E45E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DF505C"/>
    <w:multiLevelType w:val="hybridMultilevel"/>
    <w:tmpl w:val="869A531C"/>
    <w:lvl w:ilvl="0" w:tplc="211C9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602982"/>
    <w:multiLevelType w:val="hybridMultilevel"/>
    <w:tmpl w:val="2F46F1F8"/>
    <w:lvl w:ilvl="0" w:tplc="B32087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0A5653"/>
    <w:multiLevelType w:val="hybridMultilevel"/>
    <w:tmpl w:val="78D611E2"/>
    <w:lvl w:ilvl="0" w:tplc="318EA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18154C"/>
    <w:multiLevelType w:val="hybridMultilevel"/>
    <w:tmpl w:val="C284FB9A"/>
    <w:lvl w:ilvl="0" w:tplc="1AD82D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7303F09"/>
    <w:multiLevelType w:val="hybridMultilevel"/>
    <w:tmpl w:val="5DACF986"/>
    <w:lvl w:ilvl="0" w:tplc="1AD82D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5"/>
  </w:num>
  <w:num w:numId="3">
    <w:abstractNumId w:val="9"/>
  </w:num>
  <w:num w:numId="4">
    <w:abstractNumId w:val="4"/>
  </w:num>
  <w:num w:numId="5">
    <w:abstractNumId w:val="22"/>
  </w:num>
  <w:num w:numId="6">
    <w:abstractNumId w:val="21"/>
  </w:num>
  <w:num w:numId="7">
    <w:abstractNumId w:val="18"/>
  </w:num>
  <w:num w:numId="8">
    <w:abstractNumId w:val="7"/>
  </w:num>
  <w:num w:numId="9">
    <w:abstractNumId w:val="8"/>
  </w:num>
  <w:num w:numId="10">
    <w:abstractNumId w:val="13"/>
  </w:num>
  <w:num w:numId="11">
    <w:abstractNumId w:val="0"/>
  </w:num>
  <w:num w:numId="12">
    <w:abstractNumId w:val="11"/>
  </w:num>
  <w:num w:numId="13">
    <w:abstractNumId w:val="12"/>
  </w:num>
  <w:num w:numId="14">
    <w:abstractNumId w:val="3"/>
  </w:num>
  <w:num w:numId="15">
    <w:abstractNumId w:val="2"/>
  </w:num>
  <w:num w:numId="16">
    <w:abstractNumId w:val="10"/>
  </w:num>
  <w:num w:numId="17">
    <w:abstractNumId w:val="1"/>
  </w:num>
  <w:num w:numId="18">
    <w:abstractNumId w:val="5"/>
  </w:num>
  <w:num w:numId="19">
    <w:abstractNumId w:val="19"/>
  </w:num>
  <w:num w:numId="20">
    <w:abstractNumId w:val="6"/>
  </w:num>
  <w:num w:numId="21">
    <w:abstractNumId w:val="14"/>
  </w:num>
  <w:num w:numId="22">
    <w:abstractNumId w:val="20"/>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04A3"/>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195"/>
    <w:rsid w:val="000F1677"/>
    <w:rsid w:val="000F3D6C"/>
    <w:rsid w:val="000F579C"/>
    <w:rsid w:val="00101707"/>
    <w:rsid w:val="00114082"/>
    <w:rsid w:val="0011473D"/>
    <w:rsid w:val="00115C85"/>
    <w:rsid w:val="00123855"/>
    <w:rsid w:val="00126A4D"/>
    <w:rsid w:val="00133E6E"/>
    <w:rsid w:val="00140E0A"/>
    <w:rsid w:val="0014171F"/>
    <w:rsid w:val="0014622C"/>
    <w:rsid w:val="00151A5A"/>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1CB0"/>
    <w:rsid w:val="001A24E7"/>
    <w:rsid w:val="001A2B78"/>
    <w:rsid w:val="001A7E9A"/>
    <w:rsid w:val="001B0F70"/>
    <w:rsid w:val="001B5016"/>
    <w:rsid w:val="001C45FC"/>
    <w:rsid w:val="001D02C5"/>
    <w:rsid w:val="001D4862"/>
    <w:rsid w:val="001E19C8"/>
    <w:rsid w:val="001E25B9"/>
    <w:rsid w:val="001E49E0"/>
    <w:rsid w:val="001E7B5A"/>
    <w:rsid w:val="001F524D"/>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019"/>
    <w:rsid w:val="003144EF"/>
    <w:rsid w:val="003148CA"/>
    <w:rsid w:val="00315506"/>
    <w:rsid w:val="00322F3B"/>
    <w:rsid w:val="00326292"/>
    <w:rsid w:val="00326415"/>
    <w:rsid w:val="00330937"/>
    <w:rsid w:val="00330F31"/>
    <w:rsid w:val="0033442A"/>
    <w:rsid w:val="00334648"/>
    <w:rsid w:val="0033649E"/>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1C5C"/>
    <w:rsid w:val="003C1CAB"/>
    <w:rsid w:val="003C4471"/>
    <w:rsid w:val="003C66B1"/>
    <w:rsid w:val="003D0A6D"/>
    <w:rsid w:val="003E0B16"/>
    <w:rsid w:val="003E217F"/>
    <w:rsid w:val="003E67D1"/>
    <w:rsid w:val="004058D3"/>
    <w:rsid w:val="00405DC1"/>
    <w:rsid w:val="0040710D"/>
    <w:rsid w:val="0041139B"/>
    <w:rsid w:val="00413D3A"/>
    <w:rsid w:val="00415F1F"/>
    <w:rsid w:val="00416CC4"/>
    <w:rsid w:val="004200E0"/>
    <w:rsid w:val="0042108F"/>
    <w:rsid w:val="00422242"/>
    <w:rsid w:val="00424D07"/>
    <w:rsid w:val="00430FED"/>
    <w:rsid w:val="00434A8C"/>
    <w:rsid w:val="00435583"/>
    <w:rsid w:val="00437297"/>
    <w:rsid w:val="00443403"/>
    <w:rsid w:val="00443B0A"/>
    <w:rsid w:val="00444284"/>
    <w:rsid w:val="00445CE6"/>
    <w:rsid w:val="004534C2"/>
    <w:rsid w:val="0045446F"/>
    <w:rsid w:val="0045683E"/>
    <w:rsid w:val="00457218"/>
    <w:rsid w:val="00463F9B"/>
    <w:rsid w:val="0047025B"/>
    <w:rsid w:val="00491675"/>
    <w:rsid w:val="00493855"/>
    <w:rsid w:val="0049508F"/>
    <w:rsid w:val="004A171E"/>
    <w:rsid w:val="004A57DD"/>
    <w:rsid w:val="004A7B51"/>
    <w:rsid w:val="004A7D71"/>
    <w:rsid w:val="004A7EF3"/>
    <w:rsid w:val="004B11FD"/>
    <w:rsid w:val="004B23A2"/>
    <w:rsid w:val="004B3B45"/>
    <w:rsid w:val="004D1A5A"/>
    <w:rsid w:val="004D2FFF"/>
    <w:rsid w:val="004D3721"/>
    <w:rsid w:val="004D64F9"/>
    <w:rsid w:val="004E0549"/>
    <w:rsid w:val="004E1622"/>
    <w:rsid w:val="004E2E92"/>
    <w:rsid w:val="004E30B0"/>
    <w:rsid w:val="004E622C"/>
    <w:rsid w:val="004E66C3"/>
    <w:rsid w:val="004F2492"/>
    <w:rsid w:val="004F431F"/>
    <w:rsid w:val="004F5FDF"/>
    <w:rsid w:val="0050157D"/>
    <w:rsid w:val="00506803"/>
    <w:rsid w:val="0050682B"/>
    <w:rsid w:val="00507AAC"/>
    <w:rsid w:val="005177FE"/>
    <w:rsid w:val="0052263B"/>
    <w:rsid w:val="00524728"/>
    <w:rsid w:val="00530003"/>
    <w:rsid w:val="005323E7"/>
    <w:rsid w:val="005331CA"/>
    <w:rsid w:val="0053353F"/>
    <w:rsid w:val="005358F9"/>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C579A"/>
    <w:rsid w:val="005D43E0"/>
    <w:rsid w:val="005D58A3"/>
    <w:rsid w:val="005E1B79"/>
    <w:rsid w:val="005E5C28"/>
    <w:rsid w:val="005F026D"/>
    <w:rsid w:val="005F0B27"/>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51FF"/>
    <w:rsid w:val="00656B37"/>
    <w:rsid w:val="00657087"/>
    <w:rsid w:val="0066252C"/>
    <w:rsid w:val="006661EF"/>
    <w:rsid w:val="0067294B"/>
    <w:rsid w:val="00677736"/>
    <w:rsid w:val="0067785F"/>
    <w:rsid w:val="00677AEB"/>
    <w:rsid w:val="00680566"/>
    <w:rsid w:val="00680EF2"/>
    <w:rsid w:val="006839C2"/>
    <w:rsid w:val="00687A1D"/>
    <w:rsid w:val="00691E84"/>
    <w:rsid w:val="006920CC"/>
    <w:rsid w:val="00697EA1"/>
    <w:rsid w:val="006A1850"/>
    <w:rsid w:val="006A2646"/>
    <w:rsid w:val="006A3DF0"/>
    <w:rsid w:val="006A6530"/>
    <w:rsid w:val="006B435A"/>
    <w:rsid w:val="006B4C64"/>
    <w:rsid w:val="006B4FFC"/>
    <w:rsid w:val="006D3EB1"/>
    <w:rsid w:val="006D6BD5"/>
    <w:rsid w:val="006E303F"/>
    <w:rsid w:val="006E481A"/>
    <w:rsid w:val="006E5298"/>
    <w:rsid w:val="006F2CE3"/>
    <w:rsid w:val="006F734A"/>
    <w:rsid w:val="00700D83"/>
    <w:rsid w:val="00704852"/>
    <w:rsid w:val="00706297"/>
    <w:rsid w:val="00706AD5"/>
    <w:rsid w:val="0070742B"/>
    <w:rsid w:val="007074E9"/>
    <w:rsid w:val="00707FC8"/>
    <w:rsid w:val="00713DA4"/>
    <w:rsid w:val="00714BF1"/>
    <w:rsid w:val="00716C61"/>
    <w:rsid w:val="00721383"/>
    <w:rsid w:val="0072554C"/>
    <w:rsid w:val="00725911"/>
    <w:rsid w:val="00731DBD"/>
    <w:rsid w:val="007333CC"/>
    <w:rsid w:val="0073399A"/>
    <w:rsid w:val="007603F5"/>
    <w:rsid w:val="00764DB0"/>
    <w:rsid w:val="0076764D"/>
    <w:rsid w:val="0077498C"/>
    <w:rsid w:val="007752BD"/>
    <w:rsid w:val="00784128"/>
    <w:rsid w:val="00784B4B"/>
    <w:rsid w:val="007854ED"/>
    <w:rsid w:val="00793173"/>
    <w:rsid w:val="007A053D"/>
    <w:rsid w:val="007B3AC7"/>
    <w:rsid w:val="007C1FCC"/>
    <w:rsid w:val="007C32A8"/>
    <w:rsid w:val="007C3FE5"/>
    <w:rsid w:val="007C6201"/>
    <w:rsid w:val="007C6988"/>
    <w:rsid w:val="007D28A1"/>
    <w:rsid w:val="007D50C4"/>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3634C"/>
    <w:rsid w:val="0084683C"/>
    <w:rsid w:val="00853A74"/>
    <w:rsid w:val="0085491A"/>
    <w:rsid w:val="00860E61"/>
    <w:rsid w:val="00863DA5"/>
    <w:rsid w:val="008723F3"/>
    <w:rsid w:val="00881DE6"/>
    <w:rsid w:val="008837A6"/>
    <w:rsid w:val="0089145D"/>
    <w:rsid w:val="008A0C6E"/>
    <w:rsid w:val="008A2746"/>
    <w:rsid w:val="008A4DF2"/>
    <w:rsid w:val="008A6CFE"/>
    <w:rsid w:val="008A7470"/>
    <w:rsid w:val="008A77DB"/>
    <w:rsid w:val="008B1A08"/>
    <w:rsid w:val="008B2DE3"/>
    <w:rsid w:val="008B5333"/>
    <w:rsid w:val="008B6223"/>
    <w:rsid w:val="008B64A0"/>
    <w:rsid w:val="008C66E0"/>
    <w:rsid w:val="008E1224"/>
    <w:rsid w:val="008E2DFA"/>
    <w:rsid w:val="008E3339"/>
    <w:rsid w:val="008E549B"/>
    <w:rsid w:val="008F18EF"/>
    <w:rsid w:val="008F20FC"/>
    <w:rsid w:val="008F2B24"/>
    <w:rsid w:val="008F5FFE"/>
    <w:rsid w:val="0090421A"/>
    <w:rsid w:val="00905A43"/>
    <w:rsid w:val="00912C79"/>
    <w:rsid w:val="00916950"/>
    <w:rsid w:val="009260A2"/>
    <w:rsid w:val="00942123"/>
    <w:rsid w:val="00951031"/>
    <w:rsid w:val="0095207B"/>
    <w:rsid w:val="00956085"/>
    <w:rsid w:val="00957951"/>
    <w:rsid w:val="00962045"/>
    <w:rsid w:val="00962FC6"/>
    <w:rsid w:val="009634F7"/>
    <w:rsid w:val="00967EDA"/>
    <w:rsid w:val="00970897"/>
    <w:rsid w:val="00972F1F"/>
    <w:rsid w:val="00980314"/>
    <w:rsid w:val="009816D0"/>
    <w:rsid w:val="00991428"/>
    <w:rsid w:val="00992676"/>
    <w:rsid w:val="00996691"/>
    <w:rsid w:val="009A3198"/>
    <w:rsid w:val="009A4880"/>
    <w:rsid w:val="009A7865"/>
    <w:rsid w:val="009B0723"/>
    <w:rsid w:val="009B07AD"/>
    <w:rsid w:val="009B0883"/>
    <w:rsid w:val="009B15E2"/>
    <w:rsid w:val="009B48CC"/>
    <w:rsid w:val="009B5832"/>
    <w:rsid w:val="009B6312"/>
    <w:rsid w:val="009B7A50"/>
    <w:rsid w:val="009C050A"/>
    <w:rsid w:val="009C0850"/>
    <w:rsid w:val="009C0B8E"/>
    <w:rsid w:val="009C1BC8"/>
    <w:rsid w:val="009C2442"/>
    <w:rsid w:val="009D0811"/>
    <w:rsid w:val="009D0EE1"/>
    <w:rsid w:val="009D30BB"/>
    <w:rsid w:val="009D73C3"/>
    <w:rsid w:val="009E2AEB"/>
    <w:rsid w:val="009E2E27"/>
    <w:rsid w:val="009E4DE3"/>
    <w:rsid w:val="00A00E65"/>
    <w:rsid w:val="00A047EE"/>
    <w:rsid w:val="00A114EA"/>
    <w:rsid w:val="00A153F7"/>
    <w:rsid w:val="00A212A5"/>
    <w:rsid w:val="00A2274A"/>
    <w:rsid w:val="00A235B7"/>
    <w:rsid w:val="00A27A7A"/>
    <w:rsid w:val="00A407EF"/>
    <w:rsid w:val="00A46B4C"/>
    <w:rsid w:val="00A5117B"/>
    <w:rsid w:val="00A54689"/>
    <w:rsid w:val="00A60074"/>
    <w:rsid w:val="00A6627C"/>
    <w:rsid w:val="00A71019"/>
    <w:rsid w:val="00A81029"/>
    <w:rsid w:val="00A82CFD"/>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C70"/>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05A6"/>
    <w:rsid w:val="00C02F29"/>
    <w:rsid w:val="00C10C13"/>
    <w:rsid w:val="00C1354B"/>
    <w:rsid w:val="00C17111"/>
    <w:rsid w:val="00C20747"/>
    <w:rsid w:val="00C20AFE"/>
    <w:rsid w:val="00C22A25"/>
    <w:rsid w:val="00C23B79"/>
    <w:rsid w:val="00C2777A"/>
    <w:rsid w:val="00C33D50"/>
    <w:rsid w:val="00C35671"/>
    <w:rsid w:val="00C35B77"/>
    <w:rsid w:val="00C370D3"/>
    <w:rsid w:val="00C376EB"/>
    <w:rsid w:val="00C4003A"/>
    <w:rsid w:val="00C466BD"/>
    <w:rsid w:val="00C46EC1"/>
    <w:rsid w:val="00C504E5"/>
    <w:rsid w:val="00C53E2C"/>
    <w:rsid w:val="00C550C8"/>
    <w:rsid w:val="00C56B61"/>
    <w:rsid w:val="00C606C3"/>
    <w:rsid w:val="00C620F4"/>
    <w:rsid w:val="00C63577"/>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1EEB"/>
    <w:rsid w:val="00D444C5"/>
    <w:rsid w:val="00D45AEA"/>
    <w:rsid w:val="00D56A37"/>
    <w:rsid w:val="00D57202"/>
    <w:rsid w:val="00D63EFD"/>
    <w:rsid w:val="00D64826"/>
    <w:rsid w:val="00D80DF2"/>
    <w:rsid w:val="00D81200"/>
    <w:rsid w:val="00D84752"/>
    <w:rsid w:val="00D85AB0"/>
    <w:rsid w:val="00D86B3B"/>
    <w:rsid w:val="00D8748A"/>
    <w:rsid w:val="00D93196"/>
    <w:rsid w:val="00D97A93"/>
    <w:rsid w:val="00DA1083"/>
    <w:rsid w:val="00DA26C8"/>
    <w:rsid w:val="00DB243C"/>
    <w:rsid w:val="00DB35CB"/>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364"/>
    <w:rsid w:val="00E26E19"/>
    <w:rsid w:val="00E30435"/>
    <w:rsid w:val="00E31DF3"/>
    <w:rsid w:val="00E32814"/>
    <w:rsid w:val="00E33486"/>
    <w:rsid w:val="00E450A4"/>
    <w:rsid w:val="00E506BE"/>
    <w:rsid w:val="00E51157"/>
    <w:rsid w:val="00E55547"/>
    <w:rsid w:val="00E57410"/>
    <w:rsid w:val="00E60F17"/>
    <w:rsid w:val="00E629A1"/>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B69A6"/>
    <w:rsid w:val="00EC2AEA"/>
    <w:rsid w:val="00EC7B11"/>
    <w:rsid w:val="00EC7F95"/>
    <w:rsid w:val="00ED0BC4"/>
    <w:rsid w:val="00ED3771"/>
    <w:rsid w:val="00ED42F3"/>
    <w:rsid w:val="00ED6A32"/>
    <w:rsid w:val="00EE3F08"/>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3DF"/>
    <w:rsid w:val="00F60538"/>
    <w:rsid w:val="00F61DD2"/>
    <w:rsid w:val="00F6523A"/>
    <w:rsid w:val="00F66AFF"/>
    <w:rsid w:val="00F71433"/>
    <w:rsid w:val="00F7241A"/>
    <w:rsid w:val="00F83E76"/>
    <w:rsid w:val="00F90A57"/>
    <w:rsid w:val="00F92747"/>
    <w:rsid w:val="00F92920"/>
    <w:rsid w:val="00F97C5B"/>
    <w:rsid w:val="00FA05D2"/>
    <w:rsid w:val="00FA359A"/>
    <w:rsid w:val="00FA3D50"/>
    <w:rsid w:val="00FB009F"/>
    <w:rsid w:val="00FB07A0"/>
    <w:rsid w:val="00FB25B0"/>
    <w:rsid w:val="00FB6136"/>
    <w:rsid w:val="00FC266C"/>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5004">
      <w:bodyDiv w:val="1"/>
      <w:marLeft w:val="0"/>
      <w:marRight w:val="0"/>
      <w:marTop w:val="0"/>
      <w:marBottom w:val="0"/>
      <w:divBdr>
        <w:top w:val="none" w:sz="0" w:space="0" w:color="auto"/>
        <w:left w:val="none" w:sz="0" w:space="0" w:color="auto"/>
        <w:bottom w:val="none" w:sz="0" w:space="0" w:color="auto"/>
        <w:right w:val="none" w:sz="0" w:space="0" w:color="auto"/>
      </w:divBdr>
      <w:divsChild>
        <w:div w:id="1603800629">
          <w:marLeft w:val="0"/>
          <w:marRight w:val="0"/>
          <w:marTop w:val="0"/>
          <w:marBottom w:val="0"/>
          <w:divBdr>
            <w:top w:val="none" w:sz="0" w:space="0" w:color="auto"/>
            <w:left w:val="none" w:sz="0" w:space="0" w:color="auto"/>
            <w:bottom w:val="none" w:sz="0" w:space="0" w:color="auto"/>
            <w:right w:val="none" w:sz="0" w:space="0" w:color="auto"/>
          </w:divBdr>
          <w:divsChild>
            <w:div w:id="67502656">
              <w:marLeft w:val="0"/>
              <w:marRight w:val="0"/>
              <w:marTop w:val="0"/>
              <w:marBottom w:val="0"/>
              <w:divBdr>
                <w:top w:val="none" w:sz="0" w:space="0" w:color="auto"/>
                <w:left w:val="none" w:sz="0" w:space="0" w:color="auto"/>
                <w:bottom w:val="none" w:sz="0" w:space="0" w:color="auto"/>
                <w:right w:val="none" w:sz="0" w:space="0" w:color="auto"/>
              </w:divBdr>
              <w:divsChild>
                <w:div w:id="19354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9682">
      <w:bodyDiv w:val="1"/>
      <w:marLeft w:val="0"/>
      <w:marRight w:val="0"/>
      <w:marTop w:val="0"/>
      <w:marBottom w:val="0"/>
      <w:divBdr>
        <w:top w:val="none" w:sz="0" w:space="0" w:color="auto"/>
        <w:left w:val="none" w:sz="0" w:space="0" w:color="auto"/>
        <w:bottom w:val="none" w:sz="0" w:space="0" w:color="auto"/>
        <w:right w:val="none" w:sz="0" w:space="0" w:color="auto"/>
      </w:divBdr>
      <w:divsChild>
        <w:div w:id="991448910">
          <w:marLeft w:val="0"/>
          <w:marRight w:val="0"/>
          <w:marTop w:val="0"/>
          <w:marBottom w:val="0"/>
          <w:divBdr>
            <w:top w:val="none" w:sz="0" w:space="0" w:color="auto"/>
            <w:left w:val="none" w:sz="0" w:space="0" w:color="auto"/>
            <w:bottom w:val="none" w:sz="0" w:space="0" w:color="auto"/>
            <w:right w:val="none" w:sz="0" w:space="0" w:color="auto"/>
          </w:divBdr>
          <w:divsChild>
            <w:div w:id="1392850045">
              <w:marLeft w:val="0"/>
              <w:marRight w:val="0"/>
              <w:marTop w:val="0"/>
              <w:marBottom w:val="0"/>
              <w:divBdr>
                <w:top w:val="none" w:sz="0" w:space="0" w:color="auto"/>
                <w:left w:val="none" w:sz="0" w:space="0" w:color="auto"/>
                <w:bottom w:val="none" w:sz="0" w:space="0" w:color="auto"/>
                <w:right w:val="none" w:sz="0" w:space="0" w:color="auto"/>
              </w:divBdr>
              <w:divsChild>
                <w:div w:id="14608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6575">
      <w:bodyDiv w:val="1"/>
      <w:marLeft w:val="0"/>
      <w:marRight w:val="0"/>
      <w:marTop w:val="0"/>
      <w:marBottom w:val="0"/>
      <w:divBdr>
        <w:top w:val="none" w:sz="0" w:space="0" w:color="auto"/>
        <w:left w:val="none" w:sz="0" w:space="0" w:color="auto"/>
        <w:bottom w:val="none" w:sz="0" w:space="0" w:color="auto"/>
        <w:right w:val="none" w:sz="0" w:space="0" w:color="auto"/>
      </w:divBdr>
      <w:divsChild>
        <w:div w:id="1907378058">
          <w:marLeft w:val="0"/>
          <w:marRight w:val="0"/>
          <w:marTop w:val="0"/>
          <w:marBottom w:val="0"/>
          <w:divBdr>
            <w:top w:val="none" w:sz="0" w:space="0" w:color="auto"/>
            <w:left w:val="none" w:sz="0" w:space="0" w:color="auto"/>
            <w:bottom w:val="none" w:sz="0" w:space="0" w:color="auto"/>
            <w:right w:val="none" w:sz="0" w:space="0" w:color="auto"/>
          </w:divBdr>
          <w:divsChild>
            <w:div w:id="647320568">
              <w:marLeft w:val="0"/>
              <w:marRight w:val="0"/>
              <w:marTop w:val="0"/>
              <w:marBottom w:val="0"/>
              <w:divBdr>
                <w:top w:val="none" w:sz="0" w:space="0" w:color="auto"/>
                <w:left w:val="none" w:sz="0" w:space="0" w:color="auto"/>
                <w:bottom w:val="none" w:sz="0" w:space="0" w:color="auto"/>
                <w:right w:val="none" w:sz="0" w:space="0" w:color="auto"/>
              </w:divBdr>
              <w:divsChild>
                <w:div w:id="1284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8342">
      <w:bodyDiv w:val="1"/>
      <w:marLeft w:val="0"/>
      <w:marRight w:val="0"/>
      <w:marTop w:val="0"/>
      <w:marBottom w:val="0"/>
      <w:divBdr>
        <w:top w:val="none" w:sz="0" w:space="0" w:color="auto"/>
        <w:left w:val="none" w:sz="0" w:space="0" w:color="auto"/>
        <w:bottom w:val="none" w:sz="0" w:space="0" w:color="auto"/>
        <w:right w:val="none" w:sz="0" w:space="0" w:color="auto"/>
      </w:divBdr>
      <w:divsChild>
        <w:div w:id="1429500927">
          <w:marLeft w:val="0"/>
          <w:marRight w:val="0"/>
          <w:marTop w:val="0"/>
          <w:marBottom w:val="0"/>
          <w:divBdr>
            <w:top w:val="none" w:sz="0" w:space="0" w:color="auto"/>
            <w:left w:val="none" w:sz="0" w:space="0" w:color="auto"/>
            <w:bottom w:val="none" w:sz="0" w:space="0" w:color="auto"/>
            <w:right w:val="none" w:sz="0" w:space="0" w:color="auto"/>
          </w:divBdr>
          <w:divsChild>
            <w:div w:id="84885524">
              <w:marLeft w:val="0"/>
              <w:marRight w:val="0"/>
              <w:marTop w:val="0"/>
              <w:marBottom w:val="0"/>
              <w:divBdr>
                <w:top w:val="none" w:sz="0" w:space="0" w:color="auto"/>
                <w:left w:val="none" w:sz="0" w:space="0" w:color="auto"/>
                <w:bottom w:val="none" w:sz="0" w:space="0" w:color="auto"/>
                <w:right w:val="none" w:sz="0" w:space="0" w:color="auto"/>
              </w:divBdr>
              <w:divsChild>
                <w:div w:id="433600152">
                  <w:marLeft w:val="0"/>
                  <w:marRight w:val="0"/>
                  <w:marTop w:val="0"/>
                  <w:marBottom w:val="0"/>
                  <w:divBdr>
                    <w:top w:val="none" w:sz="0" w:space="0" w:color="auto"/>
                    <w:left w:val="none" w:sz="0" w:space="0" w:color="auto"/>
                    <w:bottom w:val="none" w:sz="0" w:space="0" w:color="auto"/>
                    <w:right w:val="none" w:sz="0" w:space="0" w:color="auto"/>
                  </w:divBdr>
                  <w:divsChild>
                    <w:div w:id="21166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74663">
      <w:bodyDiv w:val="1"/>
      <w:marLeft w:val="0"/>
      <w:marRight w:val="0"/>
      <w:marTop w:val="0"/>
      <w:marBottom w:val="0"/>
      <w:divBdr>
        <w:top w:val="none" w:sz="0" w:space="0" w:color="auto"/>
        <w:left w:val="none" w:sz="0" w:space="0" w:color="auto"/>
        <w:bottom w:val="none" w:sz="0" w:space="0" w:color="auto"/>
        <w:right w:val="none" w:sz="0" w:space="0" w:color="auto"/>
      </w:divBdr>
      <w:divsChild>
        <w:div w:id="1127747062">
          <w:marLeft w:val="0"/>
          <w:marRight w:val="0"/>
          <w:marTop w:val="0"/>
          <w:marBottom w:val="0"/>
          <w:divBdr>
            <w:top w:val="none" w:sz="0" w:space="0" w:color="auto"/>
            <w:left w:val="none" w:sz="0" w:space="0" w:color="auto"/>
            <w:bottom w:val="none" w:sz="0" w:space="0" w:color="auto"/>
            <w:right w:val="none" w:sz="0" w:space="0" w:color="auto"/>
          </w:divBdr>
          <w:divsChild>
            <w:div w:id="1719091707">
              <w:marLeft w:val="0"/>
              <w:marRight w:val="0"/>
              <w:marTop w:val="0"/>
              <w:marBottom w:val="0"/>
              <w:divBdr>
                <w:top w:val="none" w:sz="0" w:space="0" w:color="auto"/>
                <w:left w:val="none" w:sz="0" w:space="0" w:color="auto"/>
                <w:bottom w:val="none" w:sz="0" w:space="0" w:color="auto"/>
                <w:right w:val="none" w:sz="0" w:space="0" w:color="auto"/>
              </w:divBdr>
              <w:divsChild>
                <w:div w:id="5480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1034">
      <w:bodyDiv w:val="1"/>
      <w:marLeft w:val="0"/>
      <w:marRight w:val="0"/>
      <w:marTop w:val="0"/>
      <w:marBottom w:val="0"/>
      <w:divBdr>
        <w:top w:val="none" w:sz="0" w:space="0" w:color="auto"/>
        <w:left w:val="none" w:sz="0" w:space="0" w:color="auto"/>
        <w:bottom w:val="none" w:sz="0" w:space="0" w:color="auto"/>
        <w:right w:val="none" w:sz="0" w:space="0" w:color="auto"/>
      </w:divBdr>
      <w:divsChild>
        <w:div w:id="1769891421">
          <w:marLeft w:val="0"/>
          <w:marRight w:val="0"/>
          <w:marTop w:val="0"/>
          <w:marBottom w:val="0"/>
          <w:divBdr>
            <w:top w:val="none" w:sz="0" w:space="0" w:color="auto"/>
            <w:left w:val="none" w:sz="0" w:space="0" w:color="auto"/>
            <w:bottom w:val="none" w:sz="0" w:space="0" w:color="auto"/>
            <w:right w:val="none" w:sz="0" w:space="0" w:color="auto"/>
          </w:divBdr>
          <w:divsChild>
            <w:div w:id="1441217359">
              <w:marLeft w:val="0"/>
              <w:marRight w:val="0"/>
              <w:marTop w:val="0"/>
              <w:marBottom w:val="0"/>
              <w:divBdr>
                <w:top w:val="none" w:sz="0" w:space="0" w:color="auto"/>
                <w:left w:val="none" w:sz="0" w:space="0" w:color="auto"/>
                <w:bottom w:val="none" w:sz="0" w:space="0" w:color="auto"/>
                <w:right w:val="none" w:sz="0" w:space="0" w:color="auto"/>
              </w:divBdr>
              <w:divsChild>
                <w:div w:id="4213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0072358">
      <w:bodyDiv w:val="1"/>
      <w:marLeft w:val="0"/>
      <w:marRight w:val="0"/>
      <w:marTop w:val="0"/>
      <w:marBottom w:val="0"/>
      <w:divBdr>
        <w:top w:val="none" w:sz="0" w:space="0" w:color="auto"/>
        <w:left w:val="none" w:sz="0" w:space="0" w:color="auto"/>
        <w:bottom w:val="none" w:sz="0" w:space="0" w:color="auto"/>
        <w:right w:val="none" w:sz="0" w:space="0" w:color="auto"/>
      </w:divBdr>
      <w:divsChild>
        <w:div w:id="1173950980">
          <w:marLeft w:val="0"/>
          <w:marRight w:val="0"/>
          <w:marTop w:val="0"/>
          <w:marBottom w:val="0"/>
          <w:divBdr>
            <w:top w:val="none" w:sz="0" w:space="0" w:color="auto"/>
            <w:left w:val="none" w:sz="0" w:space="0" w:color="auto"/>
            <w:bottom w:val="none" w:sz="0" w:space="0" w:color="auto"/>
            <w:right w:val="none" w:sz="0" w:space="0" w:color="auto"/>
          </w:divBdr>
          <w:divsChild>
            <w:div w:id="594291877">
              <w:marLeft w:val="0"/>
              <w:marRight w:val="0"/>
              <w:marTop w:val="0"/>
              <w:marBottom w:val="0"/>
              <w:divBdr>
                <w:top w:val="none" w:sz="0" w:space="0" w:color="auto"/>
                <w:left w:val="none" w:sz="0" w:space="0" w:color="auto"/>
                <w:bottom w:val="none" w:sz="0" w:space="0" w:color="auto"/>
                <w:right w:val="none" w:sz="0" w:space="0" w:color="auto"/>
              </w:divBdr>
              <w:divsChild>
                <w:div w:id="14356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3570">
      <w:bodyDiv w:val="1"/>
      <w:marLeft w:val="0"/>
      <w:marRight w:val="0"/>
      <w:marTop w:val="0"/>
      <w:marBottom w:val="0"/>
      <w:divBdr>
        <w:top w:val="none" w:sz="0" w:space="0" w:color="auto"/>
        <w:left w:val="none" w:sz="0" w:space="0" w:color="auto"/>
        <w:bottom w:val="none" w:sz="0" w:space="0" w:color="auto"/>
        <w:right w:val="none" w:sz="0" w:space="0" w:color="auto"/>
      </w:divBdr>
      <w:divsChild>
        <w:div w:id="1298104273">
          <w:marLeft w:val="0"/>
          <w:marRight w:val="0"/>
          <w:marTop w:val="0"/>
          <w:marBottom w:val="0"/>
          <w:divBdr>
            <w:top w:val="none" w:sz="0" w:space="0" w:color="auto"/>
            <w:left w:val="none" w:sz="0" w:space="0" w:color="auto"/>
            <w:bottom w:val="none" w:sz="0" w:space="0" w:color="auto"/>
            <w:right w:val="none" w:sz="0" w:space="0" w:color="auto"/>
          </w:divBdr>
          <w:divsChild>
            <w:div w:id="1427533000">
              <w:marLeft w:val="0"/>
              <w:marRight w:val="0"/>
              <w:marTop w:val="0"/>
              <w:marBottom w:val="0"/>
              <w:divBdr>
                <w:top w:val="none" w:sz="0" w:space="0" w:color="auto"/>
                <w:left w:val="none" w:sz="0" w:space="0" w:color="auto"/>
                <w:bottom w:val="none" w:sz="0" w:space="0" w:color="auto"/>
                <w:right w:val="none" w:sz="0" w:space="0" w:color="auto"/>
              </w:divBdr>
              <w:divsChild>
                <w:div w:id="1658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8470">
      <w:bodyDiv w:val="1"/>
      <w:marLeft w:val="0"/>
      <w:marRight w:val="0"/>
      <w:marTop w:val="0"/>
      <w:marBottom w:val="0"/>
      <w:divBdr>
        <w:top w:val="none" w:sz="0" w:space="0" w:color="auto"/>
        <w:left w:val="none" w:sz="0" w:space="0" w:color="auto"/>
        <w:bottom w:val="none" w:sz="0" w:space="0" w:color="auto"/>
        <w:right w:val="none" w:sz="0" w:space="0" w:color="auto"/>
      </w:divBdr>
      <w:divsChild>
        <w:div w:id="468480169">
          <w:marLeft w:val="0"/>
          <w:marRight w:val="0"/>
          <w:marTop w:val="0"/>
          <w:marBottom w:val="0"/>
          <w:divBdr>
            <w:top w:val="none" w:sz="0" w:space="0" w:color="auto"/>
            <w:left w:val="none" w:sz="0" w:space="0" w:color="auto"/>
            <w:bottom w:val="none" w:sz="0" w:space="0" w:color="auto"/>
            <w:right w:val="none" w:sz="0" w:space="0" w:color="auto"/>
          </w:divBdr>
          <w:divsChild>
            <w:div w:id="1868443725">
              <w:marLeft w:val="0"/>
              <w:marRight w:val="0"/>
              <w:marTop w:val="0"/>
              <w:marBottom w:val="0"/>
              <w:divBdr>
                <w:top w:val="none" w:sz="0" w:space="0" w:color="auto"/>
                <w:left w:val="none" w:sz="0" w:space="0" w:color="auto"/>
                <w:bottom w:val="none" w:sz="0" w:space="0" w:color="auto"/>
                <w:right w:val="none" w:sz="0" w:space="0" w:color="auto"/>
              </w:divBdr>
              <w:divsChild>
                <w:div w:id="6853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5853">
      <w:bodyDiv w:val="1"/>
      <w:marLeft w:val="0"/>
      <w:marRight w:val="0"/>
      <w:marTop w:val="0"/>
      <w:marBottom w:val="0"/>
      <w:divBdr>
        <w:top w:val="none" w:sz="0" w:space="0" w:color="auto"/>
        <w:left w:val="none" w:sz="0" w:space="0" w:color="auto"/>
        <w:bottom w:val="none" w:sz="0" w:space="0" w:color="auto"/>
        <w:right w:val="none" w:sz="0" w:space="0" w:color="auto"/>
      </w:divBdr>
      <w:divsChild>
        <w:div w:id="2059356556">
          <w:marLeft w:val="0"/>
          <w:marRight w:val="0"/>
          <w:marTop w:val="0"/>
          <w:marBottom w:val="0"/>
          <w:divBdr>
            <w:top w:val="none" w:sz="0" w:space="0" w:color="auto"/>
            <w:left w:val="none" w:sz="0" w:space="0" w:color="auto"/>
            <w:bottom w:val="none" w:sz="0" w:space="0" w:color="auto"/>
            <w:right w:val="none" w:sz="0" w:space="0" w:color="auto"/>
          </w:divBdr>
          <w:divsChild>
            <w:div w:id="1567305241">
              <w:marLeft w:val="0"/>
              <w:marRight w:val="0"/>
              <w:marTop w:val="0"/>
              <w:marBottom w:val="0"/>
              <w:divBdr>
                <w:top w:val="none" w:sz="0" w:space="0" w:color="auto"/>
                <w:left w:val="none" w:sz="0" w:space="0" w:color="auto"/>
                <w:bottom w:val="none" w:sz="0" w:space="0" w:color="auto"/>
                <w:right w:val="none" w:sz="0" w:space="0" w:color="auto"/>
              </w:divBdr>
              <w:divsChild>
                <w:div w:id="14303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0929">
      <w:bodyDiv w:val="1"/>
      <w:marLeft w:val="0"/>
      <w:marRight w:val="0"/>
      <w:marTop w:val="0"/>
      <w:marBottom w:val="0"/>
      <w:divBdr>
        <w:top w:val="none" w:sz="0" w:space="0" w:color="auto"/>
        <w:left w:val="none" w:sz="0" w:space="0" w:color="auto"/>
        <w:bottom w:val="none" w:sz="0" w:space="0" w:color="auto"/>
        <w:right w:val="none" w:sz="0" w:space="0" w:color="auto"/>
      </w:divBdr>
      <w:divsChild>
        <w:div w:id="1399665899">
          <w:marLeft w:val="0"/>
          <w:marRight w:val="0"/>
          <w:marTop w:val="0"/>
          <w:marBottom w:val="0"/>
          <w:divBdr>
            <w:top w:val="none" w:sz="0" w:space="0" w:color="auto"/>
            <w:left w:val="none" w:sz="0" w:space="0" w:color="auto"/>
            <w:bottom w:val="none" w:sz="0" w:space="0" w:color="auto"/>
            <w:right w:val="none" w:sz="0" w:space="0" w:color="auto"/>
          </w:divBdr>
          <w:divsChild>
            <w:div w:id="1110205546">
              <w:marLeft w:val="0"/>
              <w:marRight w:val="0"/>
              <w:marTop w:val="0"/>
              <w:marBottom w:val="0"/>
              <w:divBdr>
                <w:top w:val="none" w:sz="0" w:space="0" w:color="auto"/>
                <w:left w:val="none" w:sz="0" w:space="0" w:color="auto"/>
                <w:bottom w:val="none" w:sz="0" w:space="0" w:color="auto"/>
                <w:right w:val="none" w:sz="0" w:space="0" w:color="auto"/>
              </w:divBdr>
              <w:divsChild>
                <w:div w:id="10840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1770189">
      <w:bodyDiv w:val="1"/>
      <w:marLeft w:val="0"/>
      <w:marRight w:val="0"/>
      <w:marTop w:val="0"/>
      <w:marBottom w:val="0"/>
      <w:divBdr>
        <w:top w:val="none" w:sz="0" w:space="0" w:color="auto"/>
        <w:left w:val="none" w:sz="0" w:space="0" w:color="auto"/>
        <w:bottom w:val="none" w:sz="0" w:space="0" w:color="auto"/>
        <w:right w:val="none" w:sz="0" w:space="0" w:color="auto"/>
      </w:divBdr>
      <w:divsChild>
        <w:div w:id="672298531">
          <w:marLeft w:val="0"/>
          <w:marRight w:val="0"/>
          <w:marTop w:val="0"/>
          <w:marBottom w:val="0"/>
          <w:divBdr>
            <w:top w:val="none" w:sz="0" w:space="0" w:color="auto"/>
            <w:left w:val="none" w:sz="0" w:space="0" w:color="auto"/>
            <w:bottom w:val="none" w:sz="0" w:space="0" w:color="auto"/>
            <w:right w:val="none" w:sz="0" w:space="0" w:color="auto"/>
          </w:divBdr>
          <w:divsChild>
            <w:div w:id="1847861645">
              <w:marLeft w:val="0"/>
              <w:marRight w:val="0"/>
              <w:marTop w:val="0"/>
              <w:marBottom w:val="0"/>
              <w:divBdr>
                <w:top w:val="none" w:sz="0" w:space="0" w:color="auto"/>
                <w:left w:val="none" w:sz="0" w:space="0" w:color="auto"/>
                <w:bottom w:val="none" w:sz="0" w:space="0" w:color="auto"/>
                <w:right w:val="none" w:sz="0" w:space="0" w:color="auto"/>
              </w:divBdr>
              <w:divsChild>
                <w:div w:id="545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7877">
      <w:bodyDiv w:val="1"/>
      <w:marLeft w:val="0"/>
      <w:marRight w:val="0"/>
      <w:marTop w:val="0"/>
      <w:marBottom w:val="0"/>
      <w:divBdr>
        <w:top w:val="none" w:sz="0" w:space="0" w:color="auto"/>
        <w:left w:val="none" w:sz="0" w:space="0" w:color="auto"/>
        <w:bottom w:val="none" w:sz="0" w:space="0" w:color="auto"/>
        <w:right w:val="none" w:sz="0" w:space="0" w:color="auto"/>
      </w:divBdr>
      <w:divsChild>
        <w:div w:id="1992051776">
          <w:marLeft w:val="0"/>
          <w:marRight w:val="0"/>
          <w:marTop w:val="0"/>
          <w:marBottom w:val="0"/>
          <w:divBdr>
            <w:top w:val="none" w:sz="0" w:space="0" w:color="auto"/>
            <w:left w:val="none" w:sz="0" w:space="0" w:color="auto"/>
            <w:bottom w:val="none" w:sz="0" w:space="0" w:color="auto"/>
            <w:right w:val="none" w:sz="0" w:space="0" w:color="auto"/>
          </w:divBdr>
          <w:divsChild>
            <w:div w:id="1884712787">
              <w:marLeft w:val="0"/>
              <w:marRight w:val="0"/>
              <w:marTop w:val="0"/>
              <w:marBottom w:val="0"/>
              <w:divBdr>
                <w:top w:val="none" w:sz="0" w:space="0" w:color="auto"/>
                <w:left w:val="none" w:sz="0" w:space="0" w:color="auto"/>
                <w:bottom w:val="none" w:sz="0" w:space="0" w:color="auto"/>
                <w:right w:val="none" w:sz="0" w:space="0" w:color="auto"/>
              </w:divBdr>
              <w:divsChild>
                <w:div w:id="16878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5299">
      <w:bodyDiv w:val="1"/>
      <w:marLeft w:val="0"/>
      <w:marRight w:val="0"/>
      <w:marTop w:val="0"/>
      <w:marBottom w:val="0"/>
      <w:divBdr>
        <w:top w:val="none" w:sz="0" w:space="0" w:color="auto"/>
        <w:left w:val="none" w:sz="0" w:space="0" w:color="auto"/>
        <w:bottom w:val="none" w:sz="0" w:space="0" w:color="auto"/>
        <w:right w:val="none" w:sz="0" w:space="0" w:color="auto"/>
      </w:divBdr>
      <w:divsChild>
        <w:div w:id="1558474415">
          <w:marLeft w:val="0"/>
          <w:marRight w:val="0"/>
          <w:marTop w:val="0"/>
          <w:marBottom w:val="0"/>
          <w:divBdr>
            <w:top w:val="none" w:sz="0" w:space="0" w:color="auto"/>
            <w:left w:val="none" w:sz="0" w:space="0" w:color="auto"/>
            <w:bottom w:val="none" w:sz="0" w:space="0" w:color="auto"/>
            <w:right w:val="none" w:sz="0" w:space="0" w:color="auto"/>
          </w:divBdr>
          <w:divsChild>
            <w:div w:id="923032711">
              <w:marLeft w:val="0"/>
              <w:marRight w:val="0"/>
              <w:marTop w:val="0"/>
              <w:marBottom w:val="0"/>
              <w:divBdr>
                <w:top w:val="none" w:sz="0" w:space="0" w:color="auto"/>
                <w:left w:val="none" w:sz="0" w:space="0" w:color="auto"/>
                <w:bottom w:val="none" w:sz="0" w:space="0" w:color="auto"/>
                <w:right w:val="none" w:sz="0" w:space="0" w:color="auto"/>
              </w:divBdr>
              <w:divsChild>
                <w:div w:id="1033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1000">
      <w:bodyDiv w:val="1"/>
      <w:marLeft w:val="0"/>
      <w:marRight w:val="0"/>
      <w:marTop w:val="0"/>
      <w:marBottom w:val="0"/>
      <w:divBdr>
        <w:top w:val="none" w:sz="0" w:space="0" w:color="auto"/>
        <w:left w:val="none" w:sz="0" w:space="0" w:color="auto"/>
        <w:bottom w:val="none" w:sz="0" w:space="0" w:color="auto"/>
        <w:right w:val="none" w:sz="0" w:space="0" w:color="auto"/>
      </w:divBdr>
      <w:divsChild>
        <w:div w:id="834800566">
          <w:marLeft w:val="0"/>
          <w:marRight w:val="0"/>
          <w:marTop w:val="0"/>
          <w:marBottom w:val="0"/>
          <w:divBdr>
            <w:top w:val="none" w:sz="0" w:space="0" w:color="auto"/>
            <w:left w:val="none" w:sz="0" w:space="0" w:color="auto"/>
            <w:bottom w:val="none" w:sz="0" w:space="0" w:color="auto"/>
            <w:right w:val="none" w:sz="0" w:space="0" w:color="auto"/>
          </w:divBdr>
          <w:divsChild>
            <w:div w:id="597955964">
              <w:marLeft w:val="0"/>
              <w:marRight w:val="0"/>
              <w:marTop w:val="0"/>
              <w:marBottom w:val="0"/>
              <w:divBdr>
                <w:top w:val="none" w:sz="0" w:space="0" w:color="auto"/>
                <w:left w:val="none" w:sz="0" w:space="0" w:color="auto"/>
                <w:bottom w:val="none" w:sz="0" w:space="0" w:color="auto"/>
                <w:right w:val="none" w:sz="0" w:space="0" w:color="auto"/>
              </w:divBdr>
              <w:divsChild>
                <w:div w:id="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064">
      <w:bodyDiv w:val="1"/>
      <w:marLeft w:val="0"/>
      <w:marRight w:val="0"/>
      <w:marTop w:val="0"/>
      <w:marBottom w:val="0"/>
      <w:divBdr>
        <w:top w:val="none" w:sz="0" w:space="0" w:color="auto"/>
        <w:left w:val="none" w:sz="0" w:space="0" w:color="auto"/>
        <w:bottom w:val="none" w:sz="0" w:space="0" w:color="auto"/>
        <w:right w:val="none" w:sz="0" w:space="0" w:color="auto"/>
      </w:divBdr>
      <w:divsChild>
        <w:div w:id="430321159">
          <w:marLeft w:val="0"/>
          <w:marRight w:val="0"/>
          <w:marTop w:val="0"/>
          <w:marBottom w:val="0"/>
          <w:divBdr>
            <w:top w:val="none" w:sz="0" w:space="0" w:color="auto"/>
            <w:left w:val="none" w:sz="0" w:space="0" w:color="auto"/>
            <w:bottom w:val="none" w:sz="0" w:space="0" w:color="auto"/>
            <w:right w:val="none" w:sz="0" w:space="0" w:color="auto"/>
          </w:divBdr>
          <w:divsChild>
            <w:div w:id="528418243">
              <w:marLeft w:val="0"/>
              <w:marRight w:val="0"/>
              <w:marTop w:val="0"/>
              <w:marBottom w:val="0"/>
              <w:divBdr>
                <w:top w:val="none" w:sz="0" w:space="0" w:color="auto"/>
                <w:left w:val="none" w:sz="0" w:space="0" w:color="auto"/>
                <w:bottom w:val="none" w:sz="0" w:space="0" w:color="auto"/>
                <w:right w:val="none" w:sz="0" w:space="0" w:color="auto"/>
              </w:divBdr>
              <w:divsChild>
                <w:div w:id="14965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908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14">
          <w:marLeft w:val="0"/>
          <w:marRight w:val="0"/>
          <w:marTop w:val="0"/>
          <w:marBottom w:val="0"/>
          <w:divBdr>
            <w:top w:val="none" w:sz="0" w:space="0" w:color="auto"/>
            <w:left w:val="none" w:sz="0" w:space="0" w:color="auto"/>
            <w:bottom w:val="none" w:sz="0" w:space="0" w:color="auto"/>
            <w:right w:val="none" w:sz="0" w:space="0" w:color="auto"/>
          </w:divBdr>
          <w:divsChild>
            <w:div w:id="1715084540">
              <w:marLeft w:val="0"/>
              <w:marRight w:val="0"/>
              <w:marTop w:val="0"/>
              <w:marBottom w:val="0"/>
              <w:divBdr>
                <w:top w:val="none" w:sz="0" w:space="0" w:color="auto"/>
                <w:left w:val="none" w:sz="0" w:space="0" w:color="auto"/>
                <w:bottom w:val="none" w:sz="0" w:space="0" w:color="auto"/>
                <w:right w:val="none" w:sz="0" w:space="0" w:color="auto"/>
              </w:divBdr>
              <w:divsChild>
                <w:div w:id="3493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6001">
      <w:bodyDiv w:val="1"/>
      <w:marLeft w:val="0"/>
      <w:marRight w:val="0"/>
      <w:marTop w:val="0"/>
      <w:marBottom w:val="0"/>
      <w:divBdr>
        <w:top w:val="none" w:sz="0" w:space="0" w:color="auto"/>
        <w:left w:val="none" w:sz="0" w:space="0" w:color="auto"/>
        <w:bottom w:val="none" w:sz="0" w:space="0" w:color="auto"/>
        <w:right w:val="none" w:sz="0" w:space="0" w:color="auto"/>
      </w:divBdr>
      <w:divsChild>
        <w:div w:id="1227766097">
          <w:marLeft w:val="0"/>
          <w:marRight w:val="0"/>
          <w:marTop w:val="0"/>
          <w:marBottom w:val="0"/>
          <w:divBdr>
            <w:top w:val="none" w:sz="0" w:space="0" w:color="auto"/>
            <w:left w:val="none" w:sz="0" w:space="0" w:color="auto"/>
            <w:bottom w:val="none" w:sz="0" w:space="0" w:color="auto"/>
            <w:right w:val="none" w:sz="0" w:space="0" w:color="auto"/>
          </w:divBdr>
          <w:divsChild>
            <w:div w:id="1648165209">
              <w:marLeft w:val="0"/>
              <w:marRight w:val="0"/>
              <w:marTop w:val="0"/>
              <w:marBottom w:val="0"/>
              <w:divBdr>
                <w:top w:val="none" w:sz="0" w:space="0" w:color="auto"/>
                <w:left w:val="none" w:sz="0" w:space="0" w:color="auto"/>
                <w:bottom w:val="none" w:sz="0" w:space="0" w:color="auto"/>
                <w:right w:val="none" w:sz="0" w:space="0" w:color="auto"/>
              </w:divBdr>
              <w:divsChild>
                <w:div w:id="6263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5702">
      <w:bodyDiv w:val="1"/>
      <w:marLeft w:val="0"/>
      <w:marRight w:val="0"/>
      <w:marTop w:val="0"/>
      <w:marBottom w:val="0"/>
      <w:divBdr>
        <w:top w:val="none" w:sz="0" w:space="0" w:color="auto"/>
        <w:left w:val="none" w:sz="0" w:space="0" w:color="auto"/>
        <w:bottom w:val="none" w:sz="0" w:space="0" w:color="auto"/>
        <w:right w:val="none" w:sz="0" w:space="0" w:color="auto"/>
      </w:divBdr>
      <w:divsChild>
        <w:div w:id="1321422823">
          <w:marLeft w:val="0"/>
          <w:marRight w:val="0"/>
          <w:marTop w:val="0"/>
          <w:marBottom w:val="0"/>
          <w:divBdr>
            <w:top w:val="none" w:sz="0" w:space="0" w:color="auto"/>
            <w:left w:val="none" w:sz="0" w:space="0" w:color="auto"/>
            <w:bottom w:val="none" w:sz="0" w:space="0" w:color="auto"/>
            <w:right w:val="none" w:sz="0" w:space="0" w:color="auto"/>
          </w:divBdr>
          <w:divsChild>
            <w:div w:id="841819341">
              <w:marLeft w:val="0"/>
              <w:marRight w:val="0"/>
              <w:marTop w:val="0"/>
              <w:marBottom w:val="0"/>
              <w:divBdr>
                <w:top w:val="none" w:sz="0" w:space="0" w:color="auto"/>
                <w:left w:val="none" w:sz="0" w:space="0" w:color="auto"/>
                <w:bottom w:val="none" w:sz="0" w:space="0" w:color="auto"/>
                <w:right w:val="none" w:sz="0" w:space="0" w:color="auto"/>
              </w:divBdr>
              <w:divsChild>
                <w:div w:id="6033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7624">
      <w:bodyDiv w:val="1"/>
      <w:marLeft w:val="0"/>
      <w:marRight w:val="0"/>
      <w:marTop w:val="0"/>
      <w:marBottom w:val="0"/>
      <w:divBdr>
        <w:top w:val="none" w:sz="0" w:space="0" w:color="auto"/>
        <w:left w:val="none" w:sz="0" w:space="0" w:color="auto"/>
        <w:bottom w:val="none" w:sz="0" w:space="0" w:color="auto"/>
        <w:right w:val="none" w:sz="0" w:space="0" w:color="auto"/>
      </w:divBdr>
      <w:divsChild>
        <w:div w:id="936181833">
          <w:marLeft w:val="0"/>
          <w:marRight w:val="0"/>
          <w:marTop w:val="0"/>
          <w:marBottom w:val="0"/>
          <w:divBdr>
            <w:top w:val="none" w:sz="0" w:space="0" w:color="auto"/>
            <w:left w:val="none" w:sz="0" w:space="0" w:color="auto"/>
            <w:bottom w:val="none" w:sz="0" w:space="0" w:color="auto"/>
            <w:right w:val="none" w:sz="0" w:space="0" w:color="auto"/>
          </w:divBdr>
          <w:divsChild>
            <w:div w:id="740564292">
              <w:marLeft w:val="0"/>
              <w:marRight w:val="0"/>
              <w:marTop w:val="0"/>
              <w:marBottom w:val="0"/>
              <w:divBdr>
                <w:top w:val="none" w:sz="0" w:space="0" w:color="auto"/>
                <w:left w:val="none" w:sz="0" w:space="0" w:color="auto"/>
                <w:bottom w:val="none" w:sz="0" w:space="0" w:color="auto"/>
                <w:right w:val="none" w:sz="0" w:space="0" w:color="auto"/>
              </w:divBdr>
              <w:divsChild>
                <w:div w:id="825173456">
                  <w:marLeft w:val="0"/>
                  <w:marRight w:val="0"/>
                  <w:marTop w:val="0"/>
                  <w:marBottom w:val="0"/>
                  <w:divBdr>
                    <w:top w:val="none" w:sz="0" w:space="0" w:color="auto"/>
                    <w:left w:val="none" w:sz="0" w:space="0" w:color="auto"/>
                    <w:bottom w:val="none" w:sz="0" w:space="0" w:color="auto"/>
                    <w:right w:val="none" w:sz="0" w:space="0" w:color="auto"/>
                  </w:divBdr>
                  <w:divsChild>
                    <w:div w:id="12160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29043">
      <w:bodyDiv w:val="1"/>
      <w:marLeft w:val="0"/>
      <w:marRight w:val="0"/>
      <w:marTop w:val="0"/>
      <w:marBottom w:val="0"/>
      <w:divBdr>
        <w:top w:val="none" w:sz="0" w:space="0" w:color="auto"/>
        <w:left w:val="none" w:sz="0" w:space="0" w:color="auto"/>
        <w:bottom w:val="none" w:sz="0" w:space="0" w:color="auto"/>
        <w:right w:val="none" w:sz="0" w:space="0" w:color="auto"/>
      </w:divBdr>
      <w:divsChild>
        <w:div w:id="1361012833">
          <w:marLeft w:val="0"/>
          <w:marRight w:val="0"/>
          <w:marTop w:val="0"/>
          <w:marBottom w:val="0"/>
          <w:divBdr>
            <w:top w:val="none" w:sz="0" w:space="0" w:color="auto"/>
            <w:left w:val="none" w:sz="0" w:space="0" w:color="auto"/>
            <w:bottom w:val="none" w:sz="0" w:space="0" w:color="auto"/>
            <w:right w:val="none" w:sz="0" w:space="0" w:color="auto"/>
          </w:divBdr>
          <w:divsChild>
            <w:div w:id="2087797206">
              <w:marLeft w:val="0"/>
              <w:marRight w:val="0"/>
              <w:marTop w:val="0"/>
              <w:marBottom w:val="0"/>
              <w:divBdr>
                <w:top w:val="none" w:sz="0" w:space="0" w:color="auto"/>
                <w:left w:val="none" w:sz="0" w:space="0" w:color="auto"/>
                <w:bottom w:val="none" w:sz="0" w:space="0" w:color="auto"/>
                <w:right w:val="none" w:sz="0" w:space="0" w:color="auto"/>
              </w:divBdr>
              <w:divsChild>
                <w:div w:id="15732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2836">
      <w:bodyDiv w:val="1"/>
      <w:marLeft w:val="0"/>
      <w:marRight w:val="0"/>
      <w:marTop w:val="0"/>
      <w:marBottom w:val="0"/>
      <w:divBdr>
        <w:top w:val="none" w:sz="0" w:space="0" w:color="auto"/>
        <w:left w:val="none" w:sz="0" w:space="0" w:color="auto"/>
        <w:bottom w:val="none" w:sz="0" w:space="0" w:color="auto"/>
        <w:right w:val="none" w:sz="0" w:space="0" w:color="auto"/>
      </w:divBdr>
      <w:divsChild>
        <w:div w:id="1041831780">
          <w:marLeft w:val="0"/>
          <w:marRight w:val="0"/>
          <w:marTop w:val="0"/>
          <w:marBottom w:val="0"/>
          <w:divBdr>
            <w:top w:val="none" w:sz="0" w:space="0" w:color="auto"/>
            <w:left w:val="none" w:sz="0" w:space="0" w:color="auto"/>
            <w:bottom w:val="none" w:sz="0" w:space="0" w:color="auto"/>
            <w:right w:val="none" w:sz="0" w:space="0" w:color="auto"/>
          </w:divBdr>
          <w:divsChild>
            <w:div w:id="1174104543">
              <w:marLeft w:val="0"/>
              <w:marRight w:val="0"/>
              <w:marTop w:val="0"/>
              <w:marBottom w:val="0"/>
              <w:divBdr>
                <w:top w:val="none" w:sz="0" w:space="0" w:color="auto"/>
                <w:left w:val="none" w:sz="0" w:space="0" w:color="auto"/>
                <w:bottom w:val="none" w:sz="0" w:space="0" w:color="auto"/>
                <w:right w:val="none" w:sz="0" w:space="0" w:color="auto"/>
              </w:divBdr>
              <w:divsChild>
                <w:div w:id="10755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27396">
      <w:bodyDiv w:val="1"/>
      <w:marLeft w:val="0"/>
      <w:marRight w:val="0"/>
      <w:marTop w:val="0"/>
      <w:marBottom w:val="0"/>
      <w:divBdr>
        <w:top w:val="none" w:sz="0" w:space="0" w:color="auto"/>
        <w:left w:val="none" w:sz="0" w:space="0" w:color="auto"/>
        <w:bottom w:val="none" w:sz="0" w:space="0" w:color="auto"/>
        <w:right w:val="none" w:sz="0" w:space="0" w:color="auto"/>
      </w:divBdr>
      <w:divsChild>
        <w:div w:id="1699087687">
          <w:marLeft w:val="0"/>
          <w:marRight w:val="0"/>
          <w:marTop w:val="0"/>
          <w:marBottom w:val="0"/>
          <w:divBdr>
            <w:top w:val="none" w:sz="0" w:space="0" w:color="auto"/>
            <w:left w:val="none" w:sz="0" w:space="0" w:color="auto"/>
            <w:bottom w:val="none" w:sz="0" w:space="0" w:color="auto"/>
            <w:right w:val="none" w:sz="0" w:space="0" w:color="auto"/>
          </w:divBdr>
          <w:divsChild>
            <w:div w:id="132259618">
              <w:marLeft w:val="0"/>
              <w:marRight w:val="0"/>
              <w:marTop w:val="0"/>
              <w:marBottom w:val="0"/>
              <w:divBdr>
                <w:top w:val="none" w:sz="0" w:space="0" w:color="auto"/>
                <w:left w:val="none" w:sz="0" w:space="0" w:color="auto"/>
                <w:bottom w:val="none" w:sz="0" w:space="0" w:color="auto"/>
                <w:right w:val="none" w:sz="0" w:space="0" w:color="auto"/>
              </w:divBdr>
              <w:divsChild>
                <w:div w:id="17719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48872">
      <w:bodyDiv w:val="1"/>
      <w:marLeft w:val="0"/>
      <w:marRight w:val="0"/>
      <w:marTop w:val="0"/>
      <w:marBottom w:val="0"/>
      <w:divBdr>
        <w:top w:val="none" w:sz="0" w:space="0" w:color="auto"/>
        <w:left w:val="none" w:sz="0" w:space="0" w:color="auto"/>
        <w:bottom w:val="none" w:sz="0" w:space="0" w:color="auto"/>
        <w:right w:val="none" w:sz="0" w:space="0" w:color="auto"/>
      </w:divBdr>
      <w:divsChild>
        <w:div w:id="1951740170">
          <w:marLeft w:val="0"/>
          <w:marRight w:val="0"/>
          <w:marTop w:val="0"/>
          <w:marBottom w:val="0"/>
          <w:divBdr>
            <w:top w:val="none" w:sz="0" w:space="0" w:color="auto"/>
            <w:left w:val="none" w:sz="0" w:space="0" w:color="auto"/>
            <w:bottom w:val="none" w:sz="0" w:space="0" w:color="auto"/>
            <w:right w:val="none" w:sz="0" w:space="0" w:color="auto"/>
          </w:divBdr>
          <w:divsChild>
            <w:div w:id="942342497">
              <w:marLeft w:val="0"/>
              <w:marRight w:val="0"/>
              <w:marTop w:val="0"/>
              <w:marBottom w:val="0"/>
              <w:divBdr>
                <w:top w:val="none" w:sz="0" w:space="0" w:color="auto"/>
                <w:left w:val="none" w:sz="0" w:space="0" w:color="auto"/>
                <w:bottom w:val="none" w:sz="0" w:space="0" w:color="auto"/>
                <w:right w:val="none" w:sz="0" w:space="0" w:color="auto"/>
              </w:divBdr>
              <w:divsChild>
                <w:div w:id="16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15</Pages>
  <Words>5914</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CN &amp; Avocats</cp:lastModifiedBy>
  <cp:revision>74</cp:revision>
  <cp:lastPrinted>2019-08-27T05:42:00Z</cp:lastPrinted>
  <dcterms:created xsi:type="dcterms:W3CDTF">2022-07-31T04:24:00Z</dcterms:created>
  <dcterms:modified xsi:type="dcterms:W3CDTF">2022-07-31T20:51:00Z</dcterms:modified>
</cp:coreProperties>
</file>